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6B" w:rsidRDefault="00350C6B">
      <w:pPr>
        <w:pStyle w:val="ET"/>
      </w:pPr>
      <w:r>
        <w:t>COUR DES COMPTES</w:t>
      </w:r>
    </w:p>
    <w:p w:rsidR="00350C6B" w:rsidRDefault="00350C6B" w:rsidP="00A93886">
      <w:pPr>
        <w:pStyle w:val="ET"/>
      </w:pPr>
      <w:r>
        <w:tab/>
        <w:t xml:space="preserve">     ------- </w:t>
      </w:r>
    </w:p>
    <w:p w:rsidR="00350C6B" w:rsidRDefault="00350C6B" w:rsidP="00F9116B">
      <w:pPr>
        <w:pStyle w:val="ET"/>
      </w:pPr>
      <w:r>
        <w:t xml:space="preserve">PREMIERE CHAMBRE </w:t>
      </w:r>
    </w:p>
    <w:p w:rsidR="00350C6B" w:rsidRDefault="00350C6B" w:rsidP="00A93886">
      <w:pPr>
        <w:pStyle w:val="ET"/>
      </w:pPr>
      <w:r>
        <w:tab/>
        <w:t xml:space="preserve">     ------- </w:t>
      </w:r>
    </w:p>
    <w:p w:rsidR="00350C6B" w:rsidRDefault="00350C6B" w:rsidP="00F9116B">
      <w:pPr>
        <w:pStyle w:val="ET"/>
      </w:pPr>
      <w:r>
        <w:t xml:space="preserve">PREMIERE section </w:t>
      </w:r>
    </w:p>
    <w:p w:rsidR="00350C6B" w:rsidRDefault="00350C6B" w:rsidP="00A93886">
      <w:pPr>
        <w:pStyle w:val="ET"/>
      </w:pPr>
      <w:r>
        <w:tab/>
        <w:t xml:space="preserve">     ------- </w:t>
      </w:r>
    </w:p>
    <w:p w:rsidR="00350C6B" w:rsidRDefault="00350C6B" w:rsidP="00F9116B">
      <w:pPr>
        <w:pStyle w:val="ET"/>
      </w:pPr>
    </w:p>
    <w:p w:rsidR="00350C6B" w:rsidRDefault="00350C6B" w:rsidP="00F9116B">
      <w:pPr>
        <w:pStyle w:val="Header"/>
        <w:rPr>
          <w:b/>
          <w:bCs/>
          <w:i/>
          <w:iCs/>
        </w:rPr>
      </w:pPr>
      <w:r>
        <w:t xml:space="preserve">              </w:t>
      </w:r>
      <w:r w:rsidRPr="009F09C2">
        <w:rPr>
          <w:b/>
          <w:bCs/>
          <w:i/>
          <w:iCs/>
        </w:rPr>
        <w:t>Arrêt n° 4</w:t>
      </w:r>
      <w:r>
        <w:rPr>
          <w:b/>
          <w:bCs/>
          <w:i/>
          <w:iCs/>
        </w:rPr>
        <w:t>7979</w:t>
      </w:r>
    </w:p>
    <w:p w:rsidR="00350C6B" w:rsidRPr="009F09C2" w:rsidRDefault="00350C6B" w:rsidP="00F9116B">
      <w:pPr>
        <w:pStyle w:val="Header"/>
        <w:rPr>
          <w:b/>
          <w:bCs/>
          <w:i/>
          <w:iCs/>
        </w:rPr>
      </w:pPr>
      <w:r>
        <w:fldChar w:fldCharType="begin"/>
      </w:r>
      <w:r>
        <w:fldChar w:fldCharType="end"/>
      </w:r>
    </w:p>
    <w:p w:rsidR="00350C6B" w:rsidRDefault="00350C6B" w:rsidP="00F13E45">
      <w:pPr>
        <w:pStyle w:val="OR"/>
        <w:ind w:left="5245"/>
      </w:pPr>
      <w:r>
        <w:t>RECEVEURS DES IMPOTS DE LA REUNION</w:t>
      </w:r>
    </w:p>
    <w:p w:rsidR="00350C6B" w:rsidRDefault="00350C6B">
      <w:pPr>
        <w:pStyle w:val="OR"/>
      </w:pPr>
    </w:p>
    <w:p w:rsidR="00350C6B" w:rsidRDefault="00350C6B" w:rsidP="00F13E45">
      <w:pPr>
        <w:pStyle w:val="OR"/>
        <w:ind w:hanging="425"/>
      </w:pPr>
      <w:r>
        <w:t>Exercices 1991 à 2000 (suites)</w:t>
      </w:r>
    </w:p>
    <w:p w:rsidR="00350C6B" w:rsidRDefault="00350C6B">
      <w:pPr>
        <w:pStyle w:val="OR"/>
      </w:pPr>
    </w:p>
    <w:p w:rsidR="00350C6B" w:rsidRDefault="00350C6B" w:rsidP="00F13E45">
      <w:pPr>
        <w:pStyle w:val="OR"/>
        <w:ind w:hanging="425"/>
      </w:pPr>
      <w:r>
        <w:t>Rapport de suites n° 2006-608-1</w:t>
      </w:r>
    </w:p>
    <w:p w:rsidR="00350C6B" w:rsidRDefault="00350C6B">
      <w:pPr>
        <w:pStyle w:val="OR"/>
      </w:pPr>
    </w:p>
    <w:p w:rsidR="00350C6B" w:rsidRDefault="00350C6B" w:rsidP="00F13E45">
      <w:pPr>
        <w:pStyle w:val="OR"/>
        <w:ind w:hanging="425"/>
      </w:pPr>
      <w:r>
        <w:t>Audience publique du 20 décembre 2006</w:t>
      </w:r>
    </w:p>
    <w:p w:rsidR="00350C6B" w:rsidRDefault="00350C6B">
      <w:pPr>
        <w:pStyle w:val="OR"/>
      </w:pPr>
    </w:p>
    <w:p w:rsidR="00350C6B" w:rsidRDefault="00350C6B">
      <w:pPr>
        <w:pStyle w:val="OR"/>
      </w:pPr>
    </w:p>
    <w:p w:rsidR="00350C6B" w:rsidRDefault="00350C6B">
      <w:pPr>
        <w:pStyle w:val="OR"/>
      </w:pPr>
    </w:p>
    <w:p w:rsidR="00350C6B" w:rsidRPr="003974F5" w:rsidRDefault="00350C6B" w:rsidP="00FA51D4">
      <w:pPr>
        <w:pStyle w:val="PS"/>
      </w:pPr>
      <w:r>
        <w:fldChar w:fldCharType="begin"/>
      </w:r>
      <w:r>
        <w:fldChar w:fldCharType="end"/>
      </w:r>
      <w:r>
        <w:t>LA COUR DES COMPTES a rendu l’arrêt suivant :</w:t>
      </w:r>
    </w:p>
    <w:p w:rsidR="00350C6B" w:rsidRDefault="00350C6B" w:rsidP="00197CC3">
      <w:pPr>
        <w:pStyle w:val="ps0"/>
        <w:ind w:left="1134" w:firstLine="1701"/>
      </w:pPr>
      <w:r>
        <w:t>LA COUR,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Vu l'arrêt n° 39270 du 5 avril 2004, envoyé à fin de notification le 19 juillet 2004, par lequel elle a statué provisoirement sur la gestion des receveurs des impôts de la direction des services fiscaux de la Réunion pour les exercices 1991 à 2001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Vu les justifications produites en exécution dudit arrêt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Vu l'arrêt n° 39269 du 5 avril 2004, envoyé à fin de notification le 19 juillet 2004, par lequel elle a statué définitivement sur la gestion des receveurs des impôts de la direction des services fiscaux de la Réunion pour les exercices 1991 à 2000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Vu le code des juridictions financières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Vu le code général des impôts et le livre des procédures fiscales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Vu le décret n° 77-1017 du 1</w:t>
      </w:r>
      <w:r>
        <w:rPr>
          <w:vertAlign w:val="superscript"/>
        </w:rPr>
        <w:t>er</w:t>
      </w:r>
      <w:r>
        <w:t xml:space="preserve"> septembre 1977 relatif à la responsabilité des receveurs des administrations financières ;</w:t>
      </w:r>
    </w:p>
    <w:p w:rsidR="00350C6B" w:rsidRDefault="00350C6B" w:rsidP="0053272F">
      <w:pPr>
        <w:pStyle w:val="Rapport"/>
        <w:spacing w:after="480"/>
        <w:ind w:left="1701" w:hanging="1701"/>
        <w:rPr>
          <w:i/>
          <w:sz w:val="16"/>
          <w:szCs w:val="16"/>
        </w:rPr>
      </w:pPr>
    </w:p>
    <w:p w:rsidR="00350C6B" w:rsidRPr="0053272F" w:rsidRDefault="00350C6B" w:rsidP="0053272F">
      <w:pPr>
        <w:pStyle w:val="Rapport"/>
        <w:spacing w:after="480"/>
        <w:ind w:left="1701" w:hanging="1701"/>
        <w:rPr>
          <w:i/>
          <w:sz w:val="16"/>
          <w:szCs w:val="16"/>
        </w:rPr>
      </w:pPr>
      <w:r w:rsidRPr="0053272F">
        <w:rPr>
          <w:i/>
          <w:sz w:val="16"/>
          <w:szCs w:val="16"/>
        </w:rPr>
        <w:t>CR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Vu les lois de finances des exercices 1991 à 2000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Vu l’article 60 modifié de la loi n° 63-156 du 23 février 1963 portant loi de finances pour 1963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Vu l'arrêté n° 06-346 du Premier président du 10 octobre 2006 relatif à la création et à la composition des sections au sein de la première chambre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Sur le rapport de M. Deconfin, conseiller maître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Vu les conclusions n° 765 du procureur général de la République du 12 octobre 2006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Entendu à l'audience publique de ce jour, M. Deconfin, en son rapport, et M. Perrin , avocat général, ceux-ci s'étant ensuite retirés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Entendu à huis clos, le ministère public et le rapporteur s'étant retirés, M. </w:t>
      </w:r>
      <w:r>
        <w:rPr>
          <w:color w:val="000000"/>
        </w:rPr>
        <w:t>X.-H. </w:t>
      </w:r>
      <w:r>
        <w:t>Martin, conseiller maître, en ses observations ;</w:t>
      </w:r>
    </w:p>
    <w:p w:rsidR="00350C6B" w:rsidRDefault="00350C6B" w:rsidP="0053272F">
      <w:pPr>
        <w:pStyle w:val="BodyText"/>
        <w:spacing w:after="480" w:line="240" w:lineRule="auto"/>
        <w:ind w:left="1701" w:firstLine="0"/>
        <w:jc w:val="center"/>
      </w:pPr>
      <w:r>
        <w:t>STATUANT DEFINITIVEMENT,</w:t>
      </w:r>
    </w:p>
    <w:p w:rsidR="00350C6B" w:rsidRDefault="00350C6B" w:rsidP="0053272F">
      <w:pPr>
        <w:pStyle w:val="BodyText"/>
        <w:spacing w:after="480" w:line="240" w:lineRule="auto"/>
        <w:ind w:left="1701" w:firstLine="0"/>
        <w:jc w:val="center"/>
      </w:pPr>
      <w:r>
        <w:t>ORDONNE :</w:t>
      </w:r>
    </w:p>
    <w:p w:rsidR="00350C6B" w:rsidRDefault="00350C6B" w:rsidP="0053272F">
      <w:pPr>
        <w:pStyle w:val="BodyText"/>
        <w:spacing w:after="480" w:line="240" w:lineRule="auto"/>
        <w:ind w:left="1701" w:firstLine="0"/>
        <w:rPr>
          <w:b/>
          <w:u w:val="single"/>
        </w:rPr>
      </w:pPr>
      <w:r>
        <w:rPr>
          <w:b/>
          <w:u w:val="single"/>
        </w:rPr>
        <w:t>Au titre des exercices 1991 à 1993</w:t>
      </w:r>
    </w:p>
    <w:p w:rsidR="00350C6B" w:rsidRDefault="00350C6B" w:rsidP="0053272F">
      <w:pPr>
        <w:pStyle w:val="Rapport"/>
        <w:spacing w:after="480"/>
        <w:ind w:left="1701" w:firstLine="1134"/>
      </w:pPr>
      <w:r>
        <w:t xml:space="preserve">Attendu que, par arrêt provisoire susvisé, la Cour n’a prononcé de charge qu’à l’encontre de M. X, receveur divisionnaire à </w:t>
      </w:r>
      <w:r>
        <w:rPr>
          <w:b/>
        </w:rPr>
        <w:t xml:space="preserve">Saint-Denis ouest </w:t>
      </w:r>
      <w:r>
        <w:t>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Mention est faite</w:t>
      </w:r>
      <w:r>
        <w:rPr>
          <w:b/>
        </w:rPr>
        <w:t xml:space="preserve"> </w:t>
      </w:r>
      <w:r>
        <w:t xml:space="preserve">que l’injonction de versement, au titre de l’exercice 1992, adressée à M. X, receveur à </w:t>
      </w:r>
      <w:r>
        <w:rPr>
          <w:b/>
        </w:rPr>
        <w:t>Saint-Denis ouest</w:t>
      </w:r>
      <w:r>
        <w:t>, est levée par arrêt n°47978 de ce jour, et que, par ce même arrêt, le receveur divisionnaire est constitué débiteur envers l'Etat ;</w:t>
      </w:r>
    </w:p>
    <w:p w:rsidR="00350C6B" w:rsidRDefault="00350C6B" w:rsidP="0053272F">
      <w:pPr>
        <w:pStyle w:val="BodyText"/>
        <w:spacing w:after="480" w:line="240" w:lineRule="auto"/>
        <w:ind w:left="1701" w:firstLine="0"/>
        <w:rPr>
          <w:b/>
          <w:u w:val="single"/>
        </w:rPr>
      </w:pPr>
      <w:r>
        <w:rPr>
          <w:b/>
          <w:u w:val="single"/>
        </w:rPr>
        <w:t>Au titre des exercices 1994 à 2000</w:t>
      </w:r>
    </w:p>
    <w:p w:rsidR="00350C6B" w:rsidRDefault="00350C6B" w:rsidP="0053272F">
      <w:pPr>
        <w:pStyle w:val="Rapport"/>
        <w:spacing w:after="480"/>
        <w:ind w:left="1701" w:firstLine="1134"/>
      </w:pPr>
      <w:r>
        <w:t xml:space="preserve">Attendu que, par arrêt provisoire susvisé, la Cour n'avait prononcé de charge qu'à l’encontre de M. Y, receveur principal à </w:t>
      </w:r>
      <w:r>
        <w:rPr>
          <w:b/>
        </w:rPr>
        <w:t xml:space="preserve">Saint-Pierre </w:t>
      </w:r>
      <w:r>
        <w:t>;</w:t>
      </w:r>
    </w:p>
    <w:p w:rsidR="00350C6B" w:rsidRDefault="00350C6B" w:rsidP="0053272F">
      <w:pPr>
        <w:pStyle w:val="Rapport"/>
        <w:spacing w:after="480"/>
        <w:ind w:left="1701" w:firstLine="1134"/>
      </w:pPr>
      <w:r>
        <w:br w:type="page"/>
        <w:t>Attendu que M. Z Alexis restait redevable de taxe sur la valeur ajoutée et de frais de poursuites d'un montant de 41 682,56 €, mis en recouvrement de 1983 à 1985 ; qu'il avait fait l'objet d'une liquidation des biens le 14 août 1985 ; qu'il est décédé le 4 février 1992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 xml:space="preserve">Attendu que, par arrêt provisoire susvisé, la Cour avait enjoint à M. Y, receveur principal à </w:t>
      </w:r>
      <w:r>
        <w:rPr>
          <w:b/>
        </w:rPr>
        <w:t xml:space="preserve">Saint-Pierre, </w:t>
      </w:r>
      <w:r>
        <w:t>en poste depuis le 11 septembre 1998, de préciser l'état civil de la présumée héritière et de faire usage du droit de communication auprès du liquidateur, conformément aux dispositions de l'article L 81 du livre des procédures fiscales, afin de contrôler sa gestion du dossier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Attendu qu’en réponse à ladite injonction, le comptable a indiqué : que l'épouse du redevable est décédée le 3 octobre 2003 ; que l'unique héritière a décidé d'accepter la succession de ses parents ; que l'enquête effectuée auprès du liquidateur n'a pas relevé de faute de gestion ;</w:t>
      </w:r>
    </w:p>
    <w:p w:rsidR="00350C6B" w:rsidRDefault="00350C6B" w:rsidP="0053272F">
      <w:pPr>
        <w:pStyle w:val="Rapport"/>
        <w:spacing w:after="480"/>
        <w:ind w:left="1701" w:firstLine="1134"/>
      </w:pPr>
      <w:r>
        <w:t xml:space="preserve"> L’injonction, au titre des exercices 1998 à 2000, adressée à M. Y, est levée ; 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En conséquence M. Y est déchargé de sa gestion durant les années 1998, du 11 septembre, à 2000.</w:t>
      </w:r>
    </w:p>
    <w:p w:rsidR="00350C6B" w:rsidRDefault="00350C6B" w:rsidP="00C57B24">
      <w:pPr>
        <w:pStyle w:val="ps0"/>
        <w:ind w:firstLine="0"/>
        <w:jc w:val="center"/>
      </w:pPr>
      <w:r>
        <w:t>--------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Fait et jugé en la Cour des comptes, première chambre, première section, le vingt décembre deux mille six. Présents : MM. Malingre, président de section, X.</w:t>
      </w:r>
      <w:r>
        <w:noBreakHyphen/>
        <w:t>H</w:t>
      </w:r>
      <w:r>
        <w:rPr>
          <w:color w:val="000000"/>
        </w:rPr>
        <w:t>. </w:t>
      </w:r>
      <w:r>
        <w:t>Martin, Mme Moati et M. Lair, conseillers maîtres.</w:t>
      </w:r>
    </w:p>
    <w:p w:rsidR="00350C6B" w:rsidRDefault="00350C6B" w:rsidP="0053272F">
      <w:pPr>
        <w:pStyle w:val="ps0"/>
      </w:pPr>
      <w:r>
        <w:t>Signé : Malingre, président de section, et Rackelboom, greffier.</w:t>
      </w:r>
    </w:p>
    <w:p w:rsidR="00350C6B" w:rsidRDefault="00350C6B" w:rsidP="0053272F">
      <w:pPr>
        <w:pStyle w:val="Rapport"/>
        <w:spacing w:after="480"/>
        <w:ind w:left="1701" w:firstLine="1134"/>
      </w:pPr>
      <w:r>
        <w:t>Collationné, certifié conforme à la minute étant au greffe de la Cour des comptes et délivré par moi, secrétaire général.</w:t>
      </w:r>
    </w:p>
    <w:sectPr w:rsidR="00350C6B" w:rsidSect="003974F5">
      <w:headerReference w:type="default" r:id="rId6"/>
      <w:footerReference w:type="even" r:id="rId7"/>
      <w:footerReference w:type="default" r:id="rId8"/>
      <w:pgSz w:w="11907" w:h="16840"/>
      <w:pgMar w:top="1701" w:right="1134" w:bottom="1134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C6B" w:rsidRDefault="00350C6B">
      <w:r>
        <w:separator/>
      </w:r>
    </w:p>
  </w:endnote>
  <w:endnote w:type="continuationSeparator" w:id="1">
    <w:p w:rsidR="00350C6B" w:rsidRDefault="00350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C6B" w:rsidRDefault="00350C6B" w:rsidP="009F47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0C6B" w:rsidRDefault="00350C6B" w:rsidP="009F471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C6B" w:rsidRDefault="00350C6B" w:rsidP="009F471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C6B" w:rsidRDefault="00350C6B">
      <w:r>
        <w:separator/>
      </w:r>
    </w:p>
  </w:footnote>
  <w:footnote w:type="continuationSeparator" w:id="1">
    <w:p w:rsidR="00350C6B" w:rsidRDefault="00350C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C6B" w:rsidRDefault="00350C6B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0322F4"/>
    <w:rsid w:val="000F506C"/>
    <w:rsid w:val="00180A5B"/>
    <w:rsid w:val="00190351"/>
    <w:rsid w:val="00197CC3"/>
    <w:rsid w:val="001C6AF5"/>
    <w:rsid w:val="001D370E"/>
    <w:rsid w:val="0020221B"/>
    <w:rsid w:val="00202FB4"/>
    <w:rsid w:val="00216892"/>
    <w:rsid w:val="002410D7"/>
    <w:rsid w:val="0026530D"/>
    <w:rsid w:val="0029140B"/>
    <w:rsid w:val="002D1AFF"/>
    <w:rsid w:val="002D631A"/>
    <w:rsid w:val="002E50DE"/>
    <w:rsid w:val="00300952"/>
    <w:rsid w:val="0030608D"/>
    <w:rsid w:val="00326063"/>
    <w:rsid w:val="00350C6B"/>
    <w:rsid w:val="00374425"/>
    <w:rsid w:val="003974F5"/>
    <w:rsid w:val="003C0D22"/>
    <w:rsid w:val="003F50A8"/>
    <w:rsid w:val="0042055E"/>
    <w:rsid w:val="004539FE"/>
    <w:rsid w:val="0048480C"/>
    <w:rsid w:val="0053272F"/>
    <w:rsid w:val="0053720D"/>
    <w:rsid w:val="00555EC1"/>
    <w:rsid w:val="00645447"/>
    <w:rsid w:val="006F1798"/>
    <w:rsid w:val="00716B76"/>
    <w:rsid w:val="007B15F4"/>
    <w:rsid w:val="007B6773"/>
    <w:rsid w:val="007E4AB4"/>
    <w:rsid w:val="007F4A92"/>
    <w:rsid w:val="00807254"/>
    <w:rsid w:val="00855672"/>
    <w:rsid w:val="008679A0"/>
    <w:rsid w:val="008A3BAD"/>
    <w:rsid w:val="00900EE4"/>
    <w:rsid w:val="009552D5"/>
    <w:rsid w:val="00991245"/>
    <w:rsid w:val="009A57DA"/>
    <w:rsid w:val="009F09C2"/>
    <w:rsid w:val="009F2246"/>
    <w:rsid w:val="009F471C"/>
    <w:rsid w:val="00A8521A"/>
    <w:rsid w:val="00A93886"/>
    <w:rsid w:val="00AB704E"/>
    <w:rsid w:val="00AD5688"/>
    <w:rsid w:val="00AF3177"/>
    <w:rsid w:val="00B145EC"/>
    <w:rsid w:val="00B20A7F"/>
    <w:rsid w:val="00B473A2"/>
    <w:rsid w:val="00C03993"/>
    <w:rsid w:val="00C3084A"/>
    <w:rsid w:val="00C50383"/>
    <w:rsid w:val="00C57B24"/>
    <w:rsid w:val="00C901A0"/>
    <w:rsid w:val="00CE6152"/>
    <w:rsid w:val="00D1159C"/>
    <w:rsid w:val="00D8207F"/>
    <w:rsid w:val="00E823A2"/>
    <w:rsid w:val="00E93736"/>
    <w:rsid w:val="00F13E45"/>
    <w:rsid w:val="00F9116B"/>
    <w:rsid w:val="00F94E8E"/>
    <w:rsid w:val="00FA51D4"/>
    <w:rsid w:val="00FF0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D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E50DE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E50DE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2E50DE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2E50DE"/>
    <w:pPr>
      <w:ind w:left="708"/>
    </w:pPr>
  </w:style>
  <w:style w:type="paragraph" w:styleId="Header">
    <w:name w:val="header"/>
    <w:basedOn w:val="Normal"/>
    <w:link w:val="HeaderChar"/>
    <w:uiPriority w:val="99"/>
    <w:rsid w:val="002E50DE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2E50DE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2E50DE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2E50DE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2E50DE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2E50DE"/>
    <w:pPr>
      <w:spacing w:after="240"/>
      <w:ind w:firstLine="1418"/>
    </w:pPr>
  </w:style>
  <w:style w:type="paragraph" w:customStyle="1" w:styleId="IN">
    <w:name w:val="IN"/>
    <w:basedOn w:val="P0"/>
    <w:uiPriority w:val="99"/>
    <w:rsid w:val="002E50DE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2E50DE"/>
    <w:pPr>
      <w:ind w:left="0"/>
    </w:pPr>
  </w:style>
  <w:style w:type="paragraph" w:customStyle="1" w:styleId="PE">
    <w:name w:val="PE"/>
    <w:basedOn w:val="IN"/>
    <w:uiPriority w:val="99"/>
    <w:rsid w:val="002E50DE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2E50DE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rsid w:val="002E50DE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2E50DE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197CC3"/>
    <w:pPr>
      <w:widowControl w:val="0"/>
      <w:spacing w:after="120" w:line="360" w:lineRule="auto"/>
      <w:ind w:firstLine="1134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ps0">
    <w:name w:val="ps"/>
    <w:basedOn w:val="Normal"/>
    <w:uiPriority w:val="99"/>
    <w:rsid w:val="00197CC3"/>
    <w:pPr>
      <w:spacing w:after="480"/>
      <w:ind w:left="1701" w:firstLine="1134"/>
      <w:jc w:val="both"/>
    </w:pPr>
    <w:rPr>
      <w:sz w:val="24"/>
      <w:szCs w:val="24"/>
    </w:rPr>
  </w:style>
  <w:style w:type="paragraph" w:customStyle="1" w:styleId="Rapport">
    <w:name w:val="Rapport"/>
    <w:basedOn w:val="Normal"/>
    <w:uiPriority w:val="99"/>
    <w:rsid w:val="00197CC3"/>
    <w:pPr>
      <w:spacing w:after="120"/>
      <w:ind w:firstLine="1418"/>
      <w:jc w:val="both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F4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Footer">
    <w:name w:val="footer"/>
    <w:basedOn w:val="Normal"/>
    <w:link w:val="FooterChar"/>
    <w:uiPriority w:val="99"/>
    <w:rsid w:val="009F4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9F471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4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jameta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1</TotalTime>
  <Pages>3</Pages>
  <Words>616</Words>
  <Characters>3388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Cours des Comptes</cp:lastModifiedBy>
  <cp:revision>3</cp:revision>
  <cp:lastPrinted>2007-07-19T15:53:00Z</cp:lastPrinted>
  <dcterms:created xsi:type="dcterms:W3CDTF">2007-07-19T15:45:00Z</dcterms:created>
  <dcterms:modified xsi:type="dcterms:W3CDTF">2007-07-19T15:53:00Z</dcterms:modified>
</cp:coreProperties>
</file>