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945" w:rsidRPr="00F635D6" w:rsidRDefault="00B76945">
      <w:pPr>
        <w:pStyle w:val="ET"/>
        <w:rPr>
          <w:color w:val="000000"/>
        </w:rPr>
      </w:pPr>
      <w:r w:rsidRPr="00F635D6">
        <w:rPr>
          <w:color w:val="000000"/>
        </w:rPr>
        <w:t>COUR DES COMPTES</w:t>
      </w:r>
    </w:p>
    <w:p w:rsidR="00B76945" w:rsidRPr="00F635D6" w:rsidRDefault="00B76945">
      <w:pPr>
        <w:pStyle w:val="ET"/>
        <w:rPr>
          <w:color w:val="000000"/>
        </w:rPr>
      </w:pPr>
      <w:r w:rsidRPr="00F635D6">
        <w:rPr>
          <w:color w:val="000000"/>
        </w:rPr>
        <w:tab/>
        <w:t xml:space="preserve">    ------ </w:t>
      </w:r>
    </w:p>
    <w:p w:rsidR="00B76945" w:rsidRPr="00F635D6" w:rsidRDefault="00B76945">
      <w:pPr>
        <w:pStyle w:val="ET"/>
        <w:rPr>
          <w:color w:val="000000"/>
        </w:rPr>
      </w:pPr>
      <w:r w:rsidRPr="00F635D6">
        <w:rPr>
          <w:color w:val="000000"/>
        </w:rPr>
        <w:t>TROISIEME CHAMBRE</w:t>
      </w:r>
    </w:p>
    <w:p w:rsidR="00B76945" w:rsidRPr="00F635D6" w:rsidRDefault="00B76945" w:rsidP="000434DD">
      <w:pPr>
        <w:pStyle w:val="ET"/>
        <w:rPr>
          <w:color w:val="000000"/>
        </w:rPr>
      </w:pPr>
      <w:r w:rsidRPr="00F635D6">
        <w:rPr>
          <w:color w:val="000000"/>
        </w:rPr>
        <w:tab/>
        <w:t xml:space="preserve">    ------ </w:t>
      </w:r>
    </w:p>
    <w:p w:rsidR="00B76945" w:rsidRPr="00F635D6" w:rsidRDefault="00B76945">
      <w:pPr>
        <w:pStyle w:val="ET"/>
        <w:rPr>
          <w:color w:val="000000"/>
        </w:rPr>
      </w:pPr>
      <w:r w:rsidRPr="00F635D6">
        <w:rPr>
          <w:color w:val="000000"/>
        </w:rPr>
        <w:t>QUATRIeme SECTION</w:t>
      </w:r>
    </w:p>
    <w:p w:rsidR="00B76945" w:rsidRPr="00F635D6" w:rsidRDefault="00B76945">
      <w:pPr>
        <w:pStyle w:val="ET"/>
        <w:rPr>
          <w:color w:val="000000"/>
        </w:rPr>
      </w:pPr>
      <w:r w:rsidRPr="00F635D6">
        <w:rPr>
          <w:color w:val="000000"/>
        </w:rPr>
        <w:tab/>
        <w:t xml:space="preserve">    ------ </w:t>
      </w:r>
    </w:p>
    <w:p w:rsidR="00B76945" w:rsidRPr="00F635D6" w:rsidRDefault="00B76945" w:rsidP="000434DD">
      <w:pPr>
        <w:pStyle w:val="Header"/>
        <w:rPr>
          <w:b/>
          <w:bCs/>
          <w:i/>
          <w:iCs/>
          <w:color w:val="000000"/>
        </w:rPr>
      </w:pPr>
      <w:r w:rsidRPr="00F635D6">
        <w:rPr>
          <w:color w:val="000000"/>
        </w:rPr>
        <w:t xml:space="preserve">       </w:t>
      </w:r>
      <w:r w:rsidRPr="00F635D6">
        <w:rPr>
          <w:b/>
          <w:bCs/>
          <w:i/>
          <w:iCs/>
          <w:color w:val="000000"/>
        </w:rPr>
        <w:t>Arrêt n° 48206</w:t>
      </w:r>
      <w:r>
        <w:fldChar w:fldCharType="begin"/>
      </w:r>
      <w:r>
        <w:fldChar w:fldCharType="end"/>
      </w:r>
    </w:p>
    <w:p w:rsidR="00B76945" w:rsidRPr="00F635D6" w:rsidRDefault="00B76945" w:rsidP="007C6484">
      <w:pPr>
        <w:pStyle w:val="OR"/>
        <w:ind w:right="-284"/>
        <w:rPr>
          <w:color w:val="000000"/>
        </w:rPr>
      </w:pPr>
      <w:r w:rsidRPr="00F635D6">
        <w:rPr>
          <w:color w:val="000000"/>
        </w:rPr>
        <w:t>UNIVERSITE DE STRASBOURG I</w:t>
      </w:r>
    </w:p>
    <w:p w:rsidR="00B76945" w:rsidRPr="00F635D6" w:rsidRDefault="00B76945" w:rsidP="007C6484">
      <w:pPr>
        <w:pStyle w:val="OR"/>
        <w:ind w:right="-284"/>
        <w:rPr>
          <w:color w:val="000000"/>
        </w:rPr>
      </w:pPr>
      <w:r w:rsidRPr="00F635D6">
        <w:rPr>
          <w:color w:val="000000"/>
        </w:rPr>
        <w:t>LOUIS PASTEUR CNRS ET INSERM</w:t>
      </w:r>
    </w:p>
    <w:p w:rsidR="00B76945" w:rsidRPr="00F635D6" w:rsidRDefault="00B76945" w:rsidP="007C6484">
      <w:pPr>
        <w:pStyle w:val="OR"/>
        <w:ind w:right="-284"/>
        <w:rPr>
          <w:color w:val="000000"/>
        </w:rPr>
      </w:pPr>
    </w:p>
    <w:p w:rsidR="00B76945" w:rsidRPr="00F635D6" w:rsidRDefault="00B76945" w:rsidP="007C6484">
      <w:pPr>
        <w:pStyle w:val="OR"/>
        <w:ind w:right="-284"/>
        <w:rPr>
          <w:color w:val="000000"/>
        </w:rPr>
      </w:pPr>
      <w:r w:rsidRPr="00F635D6">
        <w:rPr>
          <w:color w:val="000000"/>
        </w:rPr>
        <w:t>ASSOCIATION POUR LE DEVELOPPEMENT DE LA RECHERCHE MOLECULAIRE (ADEREGEM)</w:t>
      </w:r>
    </w:p>
    <w:p w:rsidR="00B76945" w:rsidRPr="00F635D6" w:rsidRDefault="00B76945" w:rsidP="006F2EDD">
      <w:pPr>
        <w:pStyle w:val="OR"/>
        <w:rPr>
          <w:color w:val="000000"/>
        </w:rPr>
      </w:pPr>
    </w:p>
    <w:p w:rsidR="00B76945" w:rsidRPr="00F635D6" w:rsidRDefault="00B76945" w:rsidP="006F2EDD">
      <w:pPr>
        <w:pStyle w:val="OR"/>
        <w:rPr>
          <w:color w:val="000000"/>
        </w:rPr>
      </w:pPr>
      <w:r w:rsidRPr="00F635D6">
        <w:rPr>
          <w:color w:val="000000"/>
        </w:rPr>
        <w:t>Gestion de fait</w:t>
      </w:r>
    </w:p>
    <w:p w:rsidR="00B76945" w:rsidRPr="00F635D6" w:rsidRDefault="00B76945" w:rsidP="006F2EDD">
      <w:pPr>
        <w:pStyle w:val="OR"/>
        <w:rPr>
          <w:color w:val="000000"/>
        </w:rPr>
      </w:pPr>
    </w:p>
    <w:p w:rsidR="00B76945" w:rsidRPr="00F635D6" w:rsidRDefault="00B76945" w:rsidP="006F2EDD">
      <w:pPr>
        <w:pStyle w:val="OR"/>
        <w:rPr>
          <w:color w:val="000000"/>
        </w:rPr>
      </w:pPr>
      <w:r w:rsidRPr="00F635D6">
        <w:rPr>
          <w:color w:val="000000"/>
        </w:rPr>
        <w:t>Rapport n° 2007-042-0</w:t>
      </w:r>
    </w:p>
    <w:p w:rsidR="00B76945" w:rsidRPr="00F635D6" w:rsidRDefault="00B76945" w:rsidP="006F2EDD">
      <w:pPr>
        <w:pStyle w:val="OR"/>
        <w:rPr>
          <w:color w:val="000000"/>
        </w:rPr>
      </w:pPr>
    </w:p>
    <w:p w:rsidR="00B76945" w:rsidRPr="00F635D6" w:rsidRDefault="00B76945" w:rsidP="007C6484">
      <w:pPr>
        <w:pStyle w:val="OR"/>
        <w:ind w:right="-284"/>
        <w:rPr>
          <w:color w:val="000000"/>
        </w:rPr>
      </w:pPr>
      <w:r w:rsidRPr="00F635D6">
        <w:rPr>
          <w:color w:val="000000"/>
        </w:rPr>
        <w:t>Séance du 13 mars 2007</w:t>
      </w:r>
    </w:p>
    <w:p w:rsidR="00B76945" w:rsidRPr="00F635D6" w:rsidRDefault="00B76945" w:rsidP="007C6484">
      <w:pPr>
        <w:pStyle w:val="OR"/>
        <w:ind w:right="-284"/>
        <w:rPr>
          <w:color w:val="000000"/>
        </w:rPr>
      </w:pPr>
    </w:p>
    <w:p w:rsidR="00B76945" w:rsidRPr="00F635D6" w:rsidRDefault="00B76945" w:rsidP="007C6484">
      <w:pPr>
        <w:pStyle w:val="OR"/>
        <w:ind w:right="-284"/>
        <w:rPr>
          <w:color w:val="000000"/>
        </w:rPr>
      </w:pPr>
      <w:r w:rsidRPr="00F635D6">
        <w:rPr>
          <w:color w:val="000000"/>
        </w:rPr>
        <w:t>Lecture publique du 27 avril 2007</w:t>
      </w:r>
    </w:p>
    <w:p w:rsidR="00B76945" w:rsidRDefault="00B76945">
      <w:pPr>
        <w:pStyle w:val="PS"/>
        <w:rPr>
          <w:color w:val="000000"/>
        </w:rPr>
      </w:pPr>
    </w:p>
    <w:p w:rsidR="00B76945" w:rsidRDefault="00B76945">
      <w:pPr>
        <w:pStyle w:val="PS"/>
        <w:rPr>
          <w:color w:val="000000"/>
        </w:rPr>
      </w:pPr>
      <w:r w:rsidRPr="00F635D6">
        <w:rPr>
          <w:color w:val="000000"/>
        </w:rPr>
        <w:t>LA COUR</w:t>
      </w:r>
      <w:r>
        <w:rPr>
          <w:color w:val="000000"/>
        </w:rPr>
        <w:t xml:space="preserve"> DES COMPTES a rendu l’arrêt suivant :</w:t>
      </w:r>
    </w:p>
    <w:p w:rsidR="00B76945" w:rsidRPr="00F635D6" w:rsidRDefault="00B76945">
      <w:pPr>
        <w:pStyle w:val="PS"/>
        <w:rPr>
          <w:color w:val="000000"/>
        </w:rPr>
      </w:pPr>
      <w:r w:rsidRPr="00F635D6">
        <w:rPr>
          <w:color w:val="000000"/>
        </w:rPr>
        <w:t>LA COUR,</w:t>
      </w:r>
    </w:p>
    <w:p w:rsidR="00B76945" w:rsidRPr="00F635D6" w:rsidRDefault="00B76945" w:rsidP="00BD7E7F">
      <w:pPr>
        <w:pStyle w:val="PS"/>
        <w:rPr>
          <w:color w:val="000000"/>
        </w:rPr>
      </w:pPr>
      <w:r w:rsidRPr="00F635D6">
        <w:rPr>
          <w:color w:val="000000"/>
        </w:rPr>
        <w:t>Vu l’arrêt n° 45425 en date des 4 avril et 8 juin 2006 par lequel M.</w:t>
      </w:r>
      <w:r>
        <w:rPr>
          <w:color w:val="000000"/>
        </w:rPr>
        <w:t> </w:t>
      </w:r>
      <w:r w:rsidRPr="00F635D6">
        <w:rPr>
          <w:color w:val="000000"/>
        </w:rPr>
        <w:t>Pierre</w:t>
      </w:r>
      <w:r>
        <w:rPr>
          <w:color w:val="000000"/>
        </w:rPr>
        <w:t> </w:t>
      </w:r>
      <w:r w:rsidRPr="00F635D6">
        <w:rPr>
          <w:color w:val="000000"/>
        </w:rPr>
        <w:t xml:space="preserve">X a été condamné pour immixtion dans les fonctions de comptable public au paiement d’une amende de 300,00 € à répartir entre </w:t>
      </w:r>
      <w:r w:rsidRPr="00F635D6">
        <w:rPr>
          <w:caps/>
          <w:color w:val="000000"/>
        </w:rPr>
        <w:t xml:space="preserve">l'université Louis Pasteur Strasbourg I, </w:t>
      </w:r>
      <w:r w:rsidRPr="00F635D6">
        <w:rPr>
          <w:color w:val="000000"/>
        </w:rPr>
        <w:t>le</w:t>
      </w:r>
      <w:r w:rsidRPr="00F635D6">
        <w:rPr>
          <w:caps/>
          <w:color w:val="000000"/>
        </w:rPr>
        <w:t xml:space="preserve"> CNRS et </w:t>
      </w:r>
      <w:r w:rsidRPr="00F635D6">
        <w:rPr>
          <w:color w:val="000000"/>
        </w:rPr>
        <w:t>l</w:t>
      </w:r>
      <w:r w:rsidRPr="00F635D6">
        <w:rPr>
          <w:caps/>
          <w:color w:val="000000"/>
        </w:rPr>
        <w:t>'INSERM</w:t>
      </w:r>
      <w:r w:rsidRPr="00F635D6">
        <w:rPr>
          <w:color w:val="000000"/>
        </w:rPr>
        <w:t> ;</w:t>
      </w:r>
    </w:p>
    <w:p w:rsidR="00B76945" w:rsidRPr="00F635D6" w:rsidRDefault="00B76945" w:rsidP="00BD7E7F">
      <w:pPr>
        <w:pStyle w:val="PS"/>
        <w:rPr>
          <w:color w:val="000000"/>
        </w:rPr>
      </w:pPr>
      <w:r w:rsidRPr="00F635D6">
        <w:rPr>
          <w:color w:val="000000"/>
        </w:rPr>
        <w:t>Vu la lettre en date du 11 octobre 2006 du trésorier payeur général des créances spéciales du Trésor attestant que M. Pierre X s’est acquitté du règlement de la somme précitée ;</w:t>
      </w:r>
    </w:p>
    <w:p w:rsidR="00B76945" w:rsidRPr="00F635D6" w:rsidRDefault="00B76945" w:rsidP="00BD7E7F">
      <w:pPr>
        <w:pStyle w:val="PS"/>
        <w:rPr>
          <w:color w:val="000000"/>
        </w:rPr>
      </w:pPr>
      <w:r w:rsidRPr="00F635D6">
        <w:rPr>
          <w:color w:val="000000"/>
        </w:rPr>
        <w:t>Vu la lettre du greffe en date du 15 février 2007 informant M.</w:t>
      </w:r>
      <w:r>
        <w:rPr>
          <w:color w:val="000000"/>
        </w:rPr>
        <w:t> </w:t>
      </w:r>
      <w:r w:rsidRPr="00F635D6">
        <w:rPr>
          <w:color w:val="000000"/>
        </w:rPr>
        <w:t>Pierre</w:t>
      </w:r>
      <w:r>
        <w:rPr>
          <w:color w:val="000000"/>
        </w:rPr>
        <w:t> </w:t>
      </w:r>
      <w:r w:rsidRPr="00F635D6">
        <w:rPr>
          <w:color w:val="000000"/>
        </w:rPr>
        <w:t>X et les établissements précités de la tenue d'une audience publique et de la possibilité d'y présenter des observations ;</w:t>
      </w:r>
    </w:p>
    <w:p w:rsidR="00B76945" w:rsidRPr="00F635D6" w:rsidRDefault="00B76945" w:rsidP="00BD7E7F">
      <w:pPr>
        <w:pStyle w:val="PS"/>
        <w:rPr>
          <w:color w:val="000000"/>
        </w:rPr>
      </w:pPr>
      <w:r w:rsidRPr="00F635D6">
        <w:rPr>
          <w:color w:val="000000"/>
        </w:rPr>
        <w:t>Vu la feuille de présence à l'audience du 13 mars 2007, attestant que M. Pierre X et les établissements précités ne se sont pas présentés à celle-ci ;</w:t>
      </w:r>
    </w:p>
    <w:p w:rsidR="00B76945" w:rsidRPr="00F635D6" w:rsidRDefault="00B76945" w:rsidP="00BD7E7F">
      <w:pPr>
        <w:pStyle w:val="PS"/>
        <w:rPr>
          <w:color w:val="000000"/>
        </w:rPr>
      </w:pPr>
      <w:r w:rsidRPr="00F635D6">
        <w:rPr>
          <w:color w:val="000000"/>
        </w:rPr>
        <w:t>Vu le code des juridictions financières ;</w:t>
      </w:r>
    </w:p>
    <w:p w:rsidR="00B76945" w:rsidRPr="00F635D6" w:rsidRDefault="00B76945" w:rsidP="00BD7E7F">
      <w:pPr>
        <w:pStyle w:val="IN"/>
        <w:rPr>
          <w:color w:val="000000"/>
        </w:rPr>
      </w:pPr>
      <w:r w:rsidRPr="00F635D6">
        <w:rPr>
          <w:color w:val="000000"/>
        </w:rPr>
        <w:t>MNT</w:t>
      </w:r>
    </w:p>
    <w:p w:rsidR="00B76945" w:rsidRPr="00F635D6" w:rsidRDefault="00B76945" w:rsidP="00BD7E7F">
      <w:pPr>
        <w:pStyle w:val="PS"/>
        <w:rPr>
          <w:color w:val="000000"/>
        </w:rPr>
        <w:sectPr w:rsidR="00B76945" w:rsidRPr="00F635D6" w:rsidSect="00BD7E7F">
          <w:headerReference w:type="default" r:id="rId7"/>
          <w:headerReference w:type="first" r:id="rId8"/>
          <w:pgSz w:w="11907" w:h="16840" w:code="9"/>
          <w:pgMar w:top="1134" w:right="1134" w:bottom="1134" w:left="567" w:header="720" w:footer="720" w:gutter="0"/>
          <w:cols w:space="720"/>
          <w:titlePg/>
        </w:sectPr>
      </w:pPr>
    </w:p>
    <w:p w:rsidR="00B76945" w:rsidRPr="00F635D6" w:rsidRDefault="00B76945" w:rsidP="00BD7E7F">
      <w:pPr>
        <w:pStyle w:val="PS"/>
        <w:rPr>
          <w:color w:val="000000"/>
        </w:rPr>
      </w:pPr>
      <w:r w:rsidRPr="00F635D6">
        <w:rPr>
          <w:color w:val="000000"/>
        </w:rPr>
        <w:t>Vu l'article 60 de la loi de finances n° 63-156 du 23 février 1963 ;</w:t>
      </w:r>
    </w:p>
    <w:p w:rsidR="00B76945" w:rsidRPr="00F635D6" w:rsidRDefault="00B76945" w:rsidP="00BD7E7F">
      <w:pPr>
        <w:pStyle w:val="PS"/>
        <w:rPr>
          <w:color w:val="000000"/>
        </w:rPr>
      </w:pPr>
      <w:r w:rsidRPr="00F635D6">
        <w:rPr>
          <w:color w:val="000000"/>
        </w:rPr>
        <w:t>Entendu à l'audience publique de ce jour M. Duchadeuil, conseiller maître, en son rapport, et M. Bertucci, premier avocat général, en ses conclusions ;</w:t>
      </w:r>
    </w:p>
    <w:p w:rsidR="00B76945" w:rsidRPr="00F635D6" w:rsidRDefault="00B76945" w:rsidP="00BD7E7F">
      <w:pPr>
        <w:pStyle w:val="PS"/>
        <w:rPr>
          <w:color w:val="000000"/>
        </w:rPr>
      </w:pPr>
      <w:r w:rsidRPr="00F635D6">
        <w:rPr>
          <w:color w:val="000000"/>
        </w:rPr>
        <w:t>Ayant délibéré hors la présence du rapporteur, et après avoir entendu M. Mayaud, conseiller maître, en ses observations ;</w:t>
      </w:r>
    </w:p>
    <w:p w:rsidR="00B76945" w:rsidRPr="00F635D6" w:rsidRDefault="00B76945" w:rsidP="00BD7E7F">
      <w:pPr>
        <w:pStyle w:val="PS"/>
        <w:jc w:val="center"/>
        <w:rPr>
          <w:color w:val="000000"/>
        </w:rPr>
      </w:pPr>
      <w:r w:rsidRPr="00F635D6">
        <w:rPr>
          <w:color w:val="000000"/>
        </w:rPr>
        <w:t>STATUANT DEFINITIVEMENT,</w:t>
      </w:r>
    </w:p>
    <w:p w:rsidR="00B76945" w:rsidRPr="00F635D6" w:rsidRDefault="00B76945" w:rsidP="00BD7E7F">
      <w:pPr>
        <w:pStyle w:val="PS"/>
        <w:jc w:val="center"/>
        <w:rPr>
          <w:color w:val="000000"/>
        </w:rPr>
      </w:pPr>
      <w:r w:rsidRPr="00F635D6">
        <w:rPr>
          <w:color w:val="000000"/>
        </w:rPr>
        <w:t>ORDONNE :</w:t>
      </w:r>
    </w:p>
    <w:p w:rsidR="00B76945" w:rsidRPr="00F635D6" w:rsidRDefault="00B76945" w:rsidP="00BD7E7F">
      <w:pPr>
        <w:pStyle w:val="PS"/>
        <w:rPr>
          <w:color w:val="000000"/>
        </w:rPr>
      </w:pPr>
      <w:r w:rsidRPr="00F635D6">
        <w:rPr>
          <w:color w:val="000000"/>
        </w:rPr>
        <w:t>Attendu que la lettre susvisée du 11 octobre 2006 du trésorier payeur général des créances spéciales du Trésor atteste que M. Pierre X s’est acquitté du règlement de l’amende qui lui a été infligée du fait de son immixtion dans les fonctions de comptable public de l'université Louis Pasteur Strasbourg I, du CNRS et de l'INSERM ; qu’aucune autre charge ne subsiste à son égard ; qu’il convient donc de lui accorder décharge et quitus ;</w:t>
      </w:r>
    </w:p>
    <w:p w:rsidR="00B76945" w:rsidRPr="00F635D6" w:rsidRDefault="00B76945" w:rsidP="00BD7E7F">
      <w:pPr>
        <w:pStyle w:val="PS"/>
        <w:rPr>
          <w:color w:val="000000"/>
        </w:rPr>
      </w:pPr>
      <w:r w:rsidRPr="00F635D6">
        <w:rPr>
          <w:color w:val="000000"/>
        </w:rPr>
        <w:t>- M. Pierre X est déchargé et déclaré quitte et libéré de la gestion de fait ayant donné lieu à l’arrêt susvisé.</w:t>
      </w:r>
    </w:p>
    <w:p w:rsidR="00B76945" w:rsidRPr="00F635D6" w:rsidRDefault="00B76945" w:rsidP="00BD7E7F">
      <w:pPr>
        <w:pStyle w:val="PS"/>
        <w:jc w:val="center"/>
        <w:rPr>
          <w:color w:val="000000"/>
        </w:rPr>
      </w:pPr>
      <w:r w:rsidRPr="00F635D6">
        <w:rPr>
          <w:color w:val="000000"/>
        </w:rPr>
        <w:t>-------</w:t>
      </w:r>
    </w:p>
    <w:p w:rsidR="00B76945" w:rsidRPr="00F635D6" w:rsidRDefault="00B76945" w:rsidP="00BD7E7F">
      <w:pPr>
        <w:pStyle w:val="PS"/>
        <w:rPr>
          <w:color w:val="000000"/>
        </w:rPr>
      </w:pPr>
      <w:r w:rsidRPr="00F635D6">
        <w:rPr>
          <w:color w:val="000000"/>
        </w:rPr>
        <w:t>Fait et jugé en la Cour des Comptes, troisième chambre, quatrième section, le treize mars deux mil sept. Présents : Mme Colomé, présidente de la section, M. Mayaud, Mmes Froment-Meurice, Seyvet, et M. Korb, conseillers maîtres.</w:t>
      </w:r>
    </w:p>
    <w:p w:rsidR="00B76945" w:rsidRPr="00F635D6" w:rsidRDefault="00B76945" w:rsidP="00BD7E7F">
      <w:pPr>
        <w:pStyle w:val="PS"/>
        <w:rPr>
          <w:color w:val="000000"/>
        </w:rPr>
      </w:pPr>
      <w:r w:rsidRPr="00F635D6">
        <w:rPr>
          <w:color w:val="000000"/>
        </w:rPr>
        <w:t>Signé : Colomé, présidente de section et Brulé, greffière.</w:t>
      </w:r>
    </w:p>
    <w:p w:rsidR="00B76945" w:rsidRPr="00F635D6" w:rsidRDefault="00B76945" w:rsidP="00DA7502">
      <w:pPr>
        <w:pStyle w:val="PS"/>
        <w:rPr>
          <w:color w:val="000000"/>
        </w:rPr>
      </w:pPr>
      <w:r w:rsidRPr="00F635D6">
        <w:rPr>
          <w:color w:val="000000"/>
        </w:rPr>
        <w:t>Collationné, certifié conforme à la minute étant au greffe de la Cour des comptes, et délivré par moi, secrétaire général.</w:t>
      </w:r>
    </w:p>
    <w:sectPr w:rsidR="00B76945" w:rsidRPr="00F635D6" w:rsidSect="00BD7E7F">
      <w:headerReference w:type="first" r:id="rId9"/>
      <w:pgSz w:w="11907" w:h="16840"/>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6945" w:rsidRDefault="00B76945">
      <w:r>
        <w:separator/>
      </w:r>
    </w:p>
  </w:endnote>
  <w:endnote w:type="continuationSeparator" w:id="1">
    <w:p w:rsidR="00B76945" w:rsidRDefault="00B7694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6945" w:rsidRDefault="00B76945">
      <w:r>
        <w:separator/>
      </w:r>
    </w:p>
  </w:footnote>
  <w:footnote w:type="continuationSeparator" w:id="1">
    <w:p w:rsidR="00B76945" w:rsidRDefault="00B769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945" w:rsidRDefault="00B76945" w:rsidP="003A4CDD">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945" w:rsidRDefault="00B76945" w:rsidP="00BD7E7F">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945" w:rsidRDefault="00B76945" w:rsidP="00BD7E7F">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1">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41CC"/>
    <w:rsid w:val="000167F5"/>
    <w:rsid w:val="00031E54"/>
    <w:rsid w:val="000434DD"/>
    <w:rsid w:val="00051744"/>
    <w:rsid w:val="00052A8C"/>
    <w:rsid w:val="00060E34"/>
    <w:rsid w:val="00061809"/>
    <w:rsid w:val="000B1355"/>
    <w:rsid w:val="000C7441"/>
    <w:rsid w:val="000D3643"/>
    <w:rsid w:val="000E4AFC"/>
    <w:rsid w:val="000E5AD4"/>
    <w:rsid w:val="000F79D0"/>
    <w:rsid w:val="001036A6"/>
    <w:rsid w:val="00114645"/>
    <w:rsid w:val="00125075"/>
    <w:rsid w:val="001262B2"/>
    <w:rsid w:val="00126E76"/>
    <w:rsid w:val="00146BF4"/>
    <w:rsid w:val="00171F87"/>
    <w:rsid w:val="001807C8"/>
    <w:rsid w:val="001D3C77"/>
    <w:rsid w:val="001E5A3D"/>
    <w:rsid w:val="001E6C9F"/>
    <w:rsid w:val="00205475"/>
    <w:rsid w:val="0021293D"/>
    <w:rsid w:val="00245D17"/>
    <w:rsid w:val="0024676F"/>
    <w:rsid w:val="00267E79"/>
    <w:rsid w:val="00277770"/>
    <w:rsid w:val="0028187F"/>
    <w:rsid w:val="00285908"/>
    <w:rsid w:val="00290972"/>
    <w:rsid w:val="00294E2E"/>
    <w:rsid w:val="002D4E1A"/>
    <w:rsid w:val="002E3128"/>
    <w:rsid w:val="002F0052"/>
    <w:rsid w:val="002F5398"/>
    <w:rsid w:val="003042E6"/>
    <w:rsid w:val="00322D9C"/>
    <w:rsid w:val="00324068"/>
    <w:rsid w:val="00330198"/>
    <w:rsid w:val="0034238B"/>
    <w:rsid w:val="003515AF"/>
    <w:rsid w:val="0035401D"/>
    <w:rsid w:val="003624EC"/>
    <w:rsid w:val="00371872"/>
    <w:rsid w:val="00373A96"/>
    <w:rsid w:val="00384D45"/>
    <w:rsid w:val="0039241F"/>
    <w:rsid w:val="0039367E"/>
    <w:rsid w:val="003A4CDD"/>
    <w:rsid w:val="003A7314"/>
    <w:rsid w:val="003B48E1"/>
    <w:rsid w:val="003E0F96"/>
    <w:rsid w:val="003E4550"/>
    <w:rsid w:val="00410939"/>
    <w:rsid w:val="004266BA"/>
    <w:rsid w:val="004302DA"/>
    <w:rsid w:val="00442764"/>
    <w:rsid w:val="00466E92"/>
    <w:rsid w:val="004761E6"/>
    <w:rsid w:val="00476BE3"/>
    <w:rsid w:val="00477082"/>
    <w:rsid w:val="00497742"/>
    <w:rsid w:val="004A3DE9"/>
    <w:rsid w:val="004A534F"/>
    <w:rsid w:val="004B2E3F"/>
    <w:rsid w:val="004C3AB2"/>
    <w:rsid w:val="004E7A20"/>
    <w:rsid w:val="004F5EDC"/>
    <w:rsid w:val="00507355"/>
    <w:rsid w:val="005164C7"/>
    <w:rsid w:val="005174CB"/>
    <w:rsid w:val="00557CAF"/>
    <w:rsid w:val="00575C50"/>
    <w:rsid w:val="005B7707"/>
    <w:rsid w:val="005C25AC"/>
    <w:rsid w:val="005C30D7"/>
    <w:rsid w:val="005C648F"/>
    <w:rsid w:val="005D3439"/>
    <w:rsid w:val="005E0652"/>
    <w:rsid w:val="00621D3A"/>
    <w:rsid w:val="00624C22"/>
    <w:rsid w:val="00635050"/>
    <w:rsid w:val="006359DE"/>
    <w:rsid w:val="006366F0"/>
    <w:rsid w:val="00660133"/>
    <w:rsid w:val="006768E5"/>
    <w:rsid w:val="0068378D"/>
    <w:rsid w:val="0069044F"/>
    <w:rsid w:val="006A0CD3"/>
    <w:rsid w:val="006B2C66"/>
    <w:rsid w:val="006B64F2"/>
    <w:rsid w:val="006F2EDD"/>
    <w:rsid w:val="0072249F"/>
    <w:rsid w:val="00756167"/>
    <w:rsid w:val="007B6EDE"/>
    <w:rsid w:val="007C6484"/>
    <w:rsid w:val="007E0166"/>
    <w:rsid w:val="007E7B38"/>
    <w:rsid w:val="00802A7B"/>
    <w:rsid w:val="0080478C"/>
    <w:rsid w:val="008047BA"/>
    <w:rsid w:val="00830504"/>
    <w:rsid w:val="00840C95"/>
    <w:rsid w:val="008429C7"/>
    <w:rsid w:val="00842F54"/>
    <w:rsid w:val="00861C65"/>
    <w:rsid w:val="0086613F"/>
    <w:rsid w:val="00866B33"/>
    <w:rsid w:val="008738F8"/>
    <w:rsid w:val="00875127"/>
    <w:rsid w:val="008A1A1A"/>
    <w:rsid w:val="008A7910"/>
    <w:rsid w:val="008B40AA"/>
    <w:rsid w:val="008D62AD"/>
    <w:rsid w:val="008D7208"/>
    <w:rsid w:val="008E49C2"/>
    <w:rsid w:val="008F00D3"/>
    <w:rsid w:val="009126C5"/>
    <w:rsid w:val="00923AAA"/>
    <w:rsid w:val="009336D3"/>
    <w:rsid w:val="0093465B"/>
    <w:rsid w:val="00947C81"/>
    <w:rsid w:val="0096217D"/>
    <w:rsid w:val="009843F2"/>
    <w:rsid w:val="00995FF9"/>
    <w:rsid w:val="009B2B47"/>
    <w:rsid w:val="009B3858"/>
    <w:rsid w:val="009C3959"/>
    <w:rsid w:val="009C4289"/>
    <w:rsid w:val="009E6704"/>
    <w:rsid w:val="009F6F91"/>
    <w:rsid w:val="009F71A9"/>
    <w:rsid w:val="00A24AB0"/>
    <w:rsid w:val="00A27A51"/>
    <w:rsid w:val="00A45CFD"/>
    <w:rsid w:val="00A52FEF"/>
    <w:rsid w:val="00A6055F"/>
    <w:rsid w:val="00AA599C"/>
    <w:rsid w:val="00AB5491"/>
    <w:rsid w:val="00AC0EB9"/>
    <w:rsid w:val="00AE6899"/>
    <w:rsid w:val="00B31021"/>
    <w:rsid w:val="00B66558"/>
    <w:rsid w:val="00B71E65"/>
    <w:rsid w:val="00B76945"/>
    <w:rsid w:val="00B93593"/>
    <w:rsid w:val="00BB28D9"/>
    <w:rsid w:val="00BC14AF"/>
    <w:rsid w:val="00BC1B0C"/>
    <w:rsid w:val="00BD0003"/>
    <w:rsid w:val="00BD7E7F"/>
    <w:rsid w:val="00BE4AD4"/>
    <w:rsid w:val="00BE57F7"/>
    <w:rsid w:val="00BF669A"/>
    <w:rsid w:val="00BF7B0F"/>
    <w:rsid w:val="00C34591"/>
    <w:rsid w:val="00C41763"/>
    <w:rsid w:val="00C50A94"/>
    <w:rsid w:val="00C770DC"/>
    <w:rsid w:val="00C9167D"/>
    <w:rsid w:val="00C94ECC"/>
    <w:rsid w:val="00CD1803"/>
    <w:rsid w:val="00D6296A"/>
    <w:rsid w:val="00D70AB8"/>
    <w:rsid w:val="00D70E86"/>
    <w:rsid w:val="00D93348"/>
    <w:rsid w:val="00D957B6"/>
    <w:rsid w:val="00DA7502"/>
    <w:rsid w:val="00DD0C26"/>
    <w:rsid w:val="00DE2E5B"/>
    <w:rsid w:val="00DE4654"/>
    <w:rsid w:val="00E03DDC"/>
    <w:rsid w:val="00E106D5"/>
    <w:rsid w:val="00E13131"/>
    <w:rsid w:val="00E32A2C"/>
    <w:rsid w:val="00E36A8A"/>
    <w:rsid w:val="00E5698E"/>
    <w:rsid w:val="00E6128F"/>
    <w:rsid w:val="00E657C4"/>
    <w:rsid w:val="00E66ABD"/>
    <w:rsid w:val="00E823A2"/>
    <w:rsid w:val="00E85525"/>
    <w:rsid w:val="00E96403"/>
    <w:rsid w:val="00E96F77"/>
    <w:rsid w:val="00EA2401"/>
    <w:rsid w:val="00ED219A"/>
    <w:rsid w:val="00EE7567"/>
    <w:rsid w:val="00F07123"/>
    <w:rsid w:val="00F10E6F"/>
    <w:rsid w:val="00F1533A"/>
    <w:rsid w:val="00F32F21"/>
    <w:rsid w:val="00F51CA9"/>
    <w:rsid w:val="00F635D6"/>
    <w:rsid w:val="00F749E3"/>
    <w:rsid w:val="00F80AE6"/>
    <w:rsid w:val="00F84075"/>
    <w:rsid w:val="00F9420F"/>
    <w:rsid w:val="00F94E8E"/>
    <w:rsid w:val="00F97080"/>
    <w:rsid w:val="00FA4770"/>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73A"/>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EE773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EE773A"/>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EE773A"/>
    <w:rPr>
      <w:sz w:val="20"/>
      <w:szCs w:val="20"/>
    </w:rPr>
  </w:style>
  <w:style w:type="paragraph" w:customStyle="1" w:styleId="ET">
    <w:name w:val="ET"/>
    <w:basedOn w:val="Normal"/>
    <w:link w:val="ETCar"/>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link w:val="P0Car"/>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link w:val="INCar"/>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rsid w:val="00EE773A"/>
    <w:rPr>
      <w:sz w:val="0"/>
      <w:szCs w:val="0"/>
    </w:rPr>
  </w:style>
  <w:style w:type="paragraph" w:styleId="BodyText">
    <w:name w:val="Body Text"/>
    <w:basedOn w:val="Normal"/>
    <w:link w:val="BodyTextChar"/>
    <w:uiPriority w:val="99"/>
    <w:rsid w:val="00EE7567"/>
    <w:pPr>
      <w:spacing w:before="120" w:after="120"/>
      <w:ind w:firstLine="709"/>
      <w:jc w:val="both"/>
    </w:pPr>
    <w:rPr>
      <w:sz w:val="24"/>
    </w:rPr>
  </w:style>
  <w:style w:type="character" w:customStyle="1" w:styleId="BodyTextChar">
    <w:name w:val="Body Text Char"/>
    <w:basedOn w:val="DefaultParagraphFont"/>
    <w:link w:val="BodyText"/>
    <w:uiPriority w:val="99"/>
    <w:semiHidden/>
    <w:rsid w:val="00EE773A"/>
    <w:rPr>
      <w:sz w:val="20"/>
      <w:szCs w:val="20"/>
    </w:rPr>
  </w:style>
  <w:style w:type="paragraph" w:customStyle="1" w:styleId="Tableau">
    <w:name w:val="Tableau"/>
    <w:uiPriority w:val="99"/>
    <w:rsid w:val="00EE7567"/>
    <w:pPr>
      <w:keepNext/>
      <w:spacing w:line="360" w:lineRule="atLeast"/>
      <w:jc w:val="center"/>
    </w:pPr>
    <w:rPr>
      <w:rFonts w:ascii="CG Times" w:hAnsi="CG Times"/>
      <w:sz w:val="24"/>
      <w:szCs w:val="20"/>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rsid w:val="00EE773A"/>
    <w:rPr>
      <w:sz w:val="20"/>
      <w:szCs w:val="20"/>
    </w:rPr>
  </w:style>
  <w:style w:type="character" w:styleId="PageNumber">
    <w:name w:val="page number"/>
    <w:basedOn w:val="DefaultParagraphFont"/>
    <w:uiPriority w:val="99"/>
    <w:rsid w:val="001036A6"/>
    <w:rPr>
      <w:rFonts w:cs="Times New Roman"/>
    </w:rPr>
  </w:style>
  <w:style w:type="character" w:customStyle="1" w:styleId="ETCar">
    <w:name w:val="ET Car"/>
    <w:basedOn w:val="DefaultParagraphFont"/>
    <w:link w:val="ET"/>
    <w:uiPriority w:val="99"/>
    <w:locked/>
    <w:rsid w:val="001036A6"/>
    <w:rPr>
      <w:rFonts w:cs="Times New Roman"/>
      <w:b/>
      <w:bCs/>
      <w:caps/>
      <w:sz w:val="24"/>
      <w:szCs w:val="24"/>
      <w:lang w:val="fr-FR" w:eastAsia="fr-FR" w:bidi="ar-SA"/>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rFonts w:cs="Times New Roman"/>
      <w:sz w:val="24"/>
      <w:szCs w:val="24"/>
      <w:lang w:val="fr-FR" w:eastAsia="fr-FR" w:bidi="ar-SA"/>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sz w:val="24"/>
      <w:szCs w:val="20"/>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DefaultParagraphFont"/>
    <w:uiPriority w:val="99"/>
    <w:rsid w:val="007C6484"/>
    <w:rPr>
      <w:rFonts w:cs="Times New Roman"/>
      <w:sz w:val="24"/>
      <w:lang w:val="fr-FR" w:eastAsia="fr-FR" w:bidi="ar-SA"/>
    </w:rPr>
  </w:style>
  <w:style w:type="paragraph" w:styleId="NormalWeb">
    <w:name w:val="Normal (Web)"/>
    <w:basedOn w:val="Normal"/>
    <w:uiPriority w:val="99"/>
    <w:rsid w:val="00DA7502"/>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132758910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402</Words>
  <Characters>2214</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Cours des Comptes</cp:lastModifiedBy>
  <cp:revision>2</cp:revision>
  <cp:lastPrinted>2007-04-20T14:07:00Z</cp:lastPrinted>
  <dcterms:created xsi:type="dcterms:W3CDTF">2007-04-27T17:15:00Z</dcterms:created>
  <dcterms:modified xsi:type="dcterms:W3CDTF">2007-04-27T17:15:00Z</dcterms:modified>
</cp:coreProperties>
</file>