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tblGrid>
      <w:tr w:rsidR="008C5A7B" w:rsidTr="00D35C28">
        <w:tc>
          <w:tcPr>
            <w:tcW w:w="2943" w:type="dxa"/>
            <w:tcBorders>
              <w:top w:val="nil"/>
              <w:left w:val="nil"/>
              <w:bottom w:val="nil"/>
              <w:right w:val="nil"/>
            </w:tcBorders>
          </w:tcPr>
          <w:p w:rsidR="008C5A7B" w:rsidRPr="00D35C28" w:rsidRDefault="008C5A7B" w:rsidP="00D35C28">
            <w:pPr>
              <w:pStyle w:val="ET"/>
              <w:jc w:val="center"/>
              <w:rPr>
                <w:rFonts w:ascii="Times New Roman" w:hAnsi="Times New Roman"/>
                <w:b w:val="0"/>
              </w:rPr>
            </w:pPr>
            <w:r w:rsidRPr="00D35C28">
              <w:rPr>
                <w:rFonts w:ascii="Times New Roman" w:hAnsi="Times New Roman"/>
                <w:b w:val="0"/>
              </w:rPr>
              <w:t>cour des comptes</w:t>
            </w:r>
          </w:p>
          <w:p w:rsidR="008C5A7B" w:rsidRPr="00D35C28" w:rsidRDefault="008C5A7B" w:rsidP="00D35C28">
            <w:pPr>
              <w:pStyle w:val="ET"/>
              <w:jc w:val="center"/>
              <w:rPr>
                <w:rFonts w:ascii="Times New Roman" w:hAnsi="Times New Roman"/>
                <w:b w:val="0"/>
              </w:rPr>
            </w:pPr>
            <w:r w:rsidRPr="00D35C28">
              <w:rPr>
                <w:rFonts w:ascii="Times New Roman" w:hAnsi="Times New Roman"/>
                <w:b w:val="0"/>
              </w:rPr>
              <w:t>------------</w:t>
            </w:r>
          </w:p>
          <w:p w:rsidR="008C5A7B" w:rsidRPr="00D35C28" w:rsidRDefault="008C5A7B" w:rsidP="00D35C28">
            <w:pPr>
              <w:pStyle w:val="ET"/>
              <w:jc w:val="center"/>
              <w:rPr>
                <w:rFonts w:ascii="Times New Roman" w:hAnsi="Times New Roman"/>
                <w:b w:val="0"/>
              </w:rPr>
            </w:pPr>
            <w:r w:rsidRPr="00D35C28">
              <w:rPr>
                <w:rFonts w:ascii="Times New Roman" w:hAnsi="Times New Roman"/>
                <w:b w:val="0"/>
              </w:rPr>
              <w:t>QUATRieme chambre</w:t>
            </w:r>
          </w:p>
          <w:p w:rsidR="008C5A7B" w:rsidRPr="00D35C28" w:rsidRDefault="008C5A7B" w:rsidP="00D35C28">
            <w:pPr>
              <w:pStyle w:val="ET"/>
              <w:jc w:val="center"/>
              <w:rPr>
                <w:b w:val="0"/>
              </w:rPr>
            </w:pPr>
            <w:r w:rsidRPr="00D35C28">
              <w:rPr>
                <w:b w:val="0"/>
              </w:rPr>
              <w:t>------------</w:t>
            </w:r>
          </w:p>
          <w:p w:rsidR="008C5A7B" w:rsidRPr="00D35C28" w:rsidRDefault="008C5A7B" w:rsidP="00D35C28">
            <w:pPr>
              <w:pStyle w:val="ET"/>
              <w:jc w:val="center"/>
              <w:rPr>
                <w:b w:val="0"/>
              </w:rPr>
            </w:pPr>
            <w:r w:rsidRPr="00D35C28">
              <w:rPr>
                <w:b w:val="0"/>
              </w:rPr>
              <w:t>PREMIERE SECTION</w:t>
            </w:r>
          </w:p>
          <w:p w:rsidR="008C5A7B" w:rsidRPr="00D35C28" w:rsidRDefault="008C5A7B" w:rsidP="00D35C28">
            <w:pPr>
              <w:pStyle w:val="ET"/>
              <w:jc w:val="center"/>
              <w:rPr>
                <w:b w:val="0"/>
              </w:rPr>
            </w:pPr>
            <w:r w:rsidRPr="00D35C28">
              <w:rPr>
                <w:b w:val="0"/>
              </w:rPr>
              <w:t>------------</w:t>
            </w:r>
          </w:p>
          <w:p w:rsidR="008C5A7B" w:rsidRPr="00D35C28" w:rsidRDefault="008C5A7B" w:rsidP="00D35C28">
            <w:pPr>
              <w:pStyle w:val="ET"/>
              <w:jc w:val="center"/>
              <w:rPr>
                <w:rFonts w:ascii="Times New Roman" w:hAnsi="Times New Roman"/>
                <w:b w:val="0"/>
                <w:i/>
                <w:iCs/>
                <w:caps w:val="0"/>
                <w:sz w:val="20"/>
              </w:rPr>
            </w:pPr>
            <w:r w:rsidRPr="00D35C28">
              <w:rPr>
                <w:rFonts w:ascii="Times New Roman" w:hAnsi="Times New Roman"/>
                <w:b w:val="0"/>
                <w:i/>
                <w:iCs/>
                <w:caps w:val="0"/>
                <w:sz w:val="20"/>
              </w:rPr>
              <w:t>Arrêt n° 49151</w:t>
            </w:r>
          </w:p>
          <w:p w:rsidR="008C5A7B" w:rsidRPr="00D35C28" w:rsidRDefault="008C5A7B" w:rsidP="006F33FA">
            <w:pPr>
              <w:pStyle w:val="ET"/>
              <w:rPr>
                <w:rFonts w:ascii="Times New Roman" w:hAnsi="Times New Roman"/>
                <w:b w:val="0"/>
              </w:rPr>
            </w:pPr>
          </w:p>
        </w:tc>
      </w:tr>
    </w:tbl>
    <w:p w:rsidR="008C5A7B" w:rsidRDefault="008C5A7B" w:rsidP="006F33FA">
      <w:pPr>
        <w:pStyle w:val="Header"/>
        <w:rPr>
          <w:b/>
          <w:i/>
        </w:rPr>
      </w:pPr>
    </w:p>
    <w:p w:rsidR="008C5A7B" w:rsidRDefault="008C5A7B">
      <w:pPr>
        <w:pStyle w:val="OR"/>
        <w:ind w:right="-142"/>
      </w:pPr>
      <w:r>
        <w:t xml:space="preserve">COMMUNAUTE DE COMMUNES </w:t>
      </w:r>
      <w:r>
        <w:br/>
        <w:t>DU PAYS LOUDUNAIS (VIENNE)</w:t>
      </w:r>
    </w:p>
    <w:p w:rsidR="008C5A7B" w:rsidRDefault="008C5A7B">
      <w:pPr>
        <w:pStyle w:val="OR"/>
        <w:ind w:right="-142"/>
        <w:rPr>
          <w:rFonts w:ascii="Times New Roman" w:hAnsi="Times New Roman"/>
        </w:rPr>
      </w:pPr>
    </w:p>
    <w:p w:rsidR="008C5A7B" w:rsidRPr="005E0E20" w:rsidRDefault="008C5A7B">
      <w:pPr>
        <w:pStyle w:val="OR"/>
        <w:ind w:right="-142"/>
        <w:rPr>
          <w:rFonts w:ascii="Times New Roman" w:hAnsi="Times New Roman"/>
          <w:szCs w:val="24"/>
        </w:rPr>
      </w:pPr>
      <w:r w:rsidRPr="005E0E20">
        <w:rPr>
          <w:rFonts w:ascii="Times New Roman" w:hAnsi="Times New Roman"/>
          <w:szCs w:val="24"/>
        </w:rPr>
        <w:t>Ap</w:t>
      </w:r>
      <w:r>
        <w:rPr>
          <w:rFonts w:ascii="Times New Roman" w:hAnsi="Times New Roman"/>
          <w:szCs w:val="24"/>
        </w:rPr>
        <w:t>pel d’un jugement de la chambre régionale des comptes de Poitou-Charentes</w:t>
      </w:r>
    </w:p>
    <w:p w:rsidR="008C5A7B" w:rsidRDefault="008C5A7B">
      <w:pPr>
        <w:pStyle w:val="OR"/>
        <w:ind w:right="-142"/>
        <w:rPr>
          <w:rFonts w:ascii="Times New Roman" w:hAnsi="Times New Roman"/>
        </w:rPr>
      </w:pPr>
    </w:p>
    <w:p w:rsidR="008C5A7B" w:rsidRDefault="008C5A7B">
      <w:pPr>
        <w:pStyle w:val="OR"/>
        <w:ind w:right="-142"/>
        <w:rPr>
          <w:rFonts w:ascii="Times New Roman" w:hAnsi="Times New Roman"/>
        </w:rPr>
      </w:pPr>
      <w:r>
        <w:rPr>
          <w:rFonts w:ascii="Times New Roman" w:hAnsi="Times New Roman"/>
        </w:rPr>
        <w:t>Rapport n° 2007-465-0</w:t>
      </w:r>
    </w:p>
    <w:p w:rsidR="008C5A7B" w:rsidRDefault="008C5A7B">
      <w:pPr>
        <w:pStyle w:val="OR"/>
        <w:ind w:right="-142"/>
        <w:rPr>
          <w:rFonts w:ascii="Times New Roman" w:hAnsi="Times New Roman"/>
        </w:rPr>
      </w:pPr>
    </w:p>
    <w:p w:rsidR="008C5A7B" w:rsidRDefault="008C5A7B">
      <w:pPr>
        <w:pStyle w:val="OR"/>
        <w:ind w:right="-142"/>
        <w:rPr>
          <w:rFonts w:ascii="Times New Roman" w:hAnsi="Times New Roman"/>
        </w:rPr>
      </w:pPr>
      <w:r>
        <w:t>Audience du 28 juin</w:t>
      </w:r>
      <w:r>
        <w:rPr>
          <w:rFonts w:ascii="Times New Roman" w:hAnsi="Times New Roman"/>
        </w:rPr>
        <w:t xml:space="preserve"> 2007 </w:t>
      </w:r>
    </w:p>
    <w:p w:rsidR="008C5A7B" w:rsidRDefault="008C5A7B">
      <w:pPr>
        <w:pStyle w:val="OR"/>
        <w:ind w:right="-142"/>
        <w:rPr>
          <w:rFonts w:ascii="Times New Roman" w:hAnsi="Times New Roman"/>
        </w:rPr>
      </w:pPr>
    </w:p>
    <w:p w:rsidR="008C5A7B" w:rsidRDefault="008C5A7B">
      <w:pPr>
        <w:pStyle w:val="OR"/>
        <w:ind w:right="-142"/>
        <w:rPr>
          <w:rFonts w:ascii="Times New Roman" w:hAnsi="Times New Roman"/>
        </w:rPr>
      </w:pPr>
      <w:r>
        <w:rPr>
          <w:rFonts w:ascii="Times New Roman" w:hAnsi="Times New Roman"/>
        </w:rPr>
        <w:t>Lecture publique du 19 juillet 2007</w:t>
      </w:r>
    </w:p>
    <w:p w:rsidR="008C5A7B" w:rsidRPr="003C54B0" w:rsidRDefault="008C5A7B" w:rsidP="00FF2938">
      <w:pPr>
        <w:pStyle w:val="AR"/>
        <w:ind w:left="567"/>
        <w:jc w:val="center"/>
        <w:rPr>
          <w:caps w:val="0"/>
          <w:szCs w:val="24"/>
        </w:rPr>
      </w:pPr>
      <w:r>
        <w:rPr>
          <w:u w:val="none"/>
        </w:rPr>
        <w:t xml:space="preserve">la cour des comptes </w:t>
      </w:r>
      <w:r>
        <w:rPr>
          <w:caps w:val="0"/>
          <w:szCs w:val="24"/>
          <w:u w:val="none"/>
        </w:rPr>
        <w:t>a rendu l’arrêt suivant</w:t>
      </w:r>
      <w:r>
        <w:rPr>
          <w:u w:val="none"/>
        </w:rPr>
        <w:t> :</w:t>
      </w:r>
    </w:p>
    <w:p w:rsidR="008C5A7B" w:rsidRDefault="008C5A7B">
      <w:pPr>
        <w:pStyle w:val="PS"/>
        <w:rPr>
          <w:rFonts w:ascii="Times New Roman" w:hAnsi="Times New Roman"/>
        </w:rPr>
      </w:pPr>
      <w:r>
        <w:rPr>
          <w:rFonts w:ascii="Times New Roman" w:hAnsi="Times New Roman"/>
        </w:rPr>
        <w:t>LA COUR,</w:t>
      </w:r>
    </w:p>
    <w:p w:rsidR="008C5A7B" w:rsidRDefault="008C5A7B" w:rsidP="00DE532E">
      <w:pPr>
        <w:pStyle w:val="PS"/>
      </w:pPr>
      <w:r w:rsidRPr="00D622A9">
        <w:rPr>
          <w:rFonts w:ascii="Times New Roman" w:hAnsi="Times New Roman"/>
          <w:szCs w:val="24"/>
        </w:rPr>
        <w:t>Vu la requête, enregistrée le 20 septembre 2006 au greffe de la chambre régionale des comptes de Poitou-Charentes</w:t>
      </w:r>
      <w:r>
        <w:rPr>
          <w:rFonts w:ascii="Times New Roman" w:hAnsi="Times New Roman"/>
          <w:szCs w:val="24"/>
        </w:rPr>
        <w:t xml:space="preserve"> </w:t>
      </w:r>
      <w:r w:rsidRPr="00D622A9">
        <w:rPr>
          <w:rFonts w:ascii="Times New Roman" w:hAnsi="Times New Roman"/>
          <w:szCs w:val="24"/>
        </w:rPr>
        <w:t>par laquelle</w:t>
      </w:r>
      <w:r>
        <w:rPr>
          <w:rFonts w:ascii="Times New Roman" w:hAnsi="Times New Roman"/>
          <w:szCs w:val="24"/>
        </w:rPr>
        <w:t xml:space="preserve"> M. </w:t>
      </w:r>
      <w:r w:rsidRPr="00D622A9">
        <w:rPr>
          <w:rFonts w:ascii="Times New Roman" w:hAnsi="Times New Roman"/>
          <w:szCs w:val="24"/>
        </w:rPr>
        <w:t>DUGUEPEROUX</w:t>
      </w:r>
      <w:r>
        <w:rPr>
          <w:rFonts w:ascii="Times New Roman" w:hAnsi="Times New Roman"/>
          <w:szCs w:val="24"/>
        </w:rPr>
        <w:t xml:space="preserve">, </w:t>
      </w:r>
      <w:r w:rsidRPr="00D622A9">
        <w:rPr>
          <w:rFonts w:ascii="Times New Roman" w:hAnsi="Times New Roman"/>
          <w:szCs w:val="24"/>
        </w:rPr>
        <w:t>commissaire du gouvernement près cette chambre régionale</w:t>
      </w:r>
      <w:r>
        <w:rPr>
          <w:rFonts w:ascii="Times New Roman" w:hAnsi="Times New Roman"/>
          <w:szCs w:val="24"/>
        </w:rPr>
        <w:t xml:space="preserve">, </w:t>
      </w:r>
      <w:r w:rsidRPr="00D622A9">
        <w:rPr>
          <w:rFonts w:ascii="Times New Roman" w:hAnsi="Times New Roman"/>
          <w:szCs w:val="24"/>
        </w:rPr>
        <w:t xml:space="preserve">a élevé appel du jugement </w:t>
      </w:r>
      <w:r>
        <w:rPr>
          <w:rFonts w:ascii="Times New Roman" w:hAnsi="Times New Roman"/>
          <w:szCs w:val="24"/>
        </w:rPr>
        <w:t>du 13 juillet</w:t>
      </w:r>
      <w:r w:rsidRPr="00D622A9">
        <w:rPr>
          <w:rFonts w:ascii="Times New Roman" w:hAnsi="Times New Roman"/>
          <w:szCs w:val="24"/>
        </w:rPr>
        <w:t xml:space="preserve"> 2006 par lequel ladite chambre a déchargé et donné quitus à M. X, agent comptable de la COMMUNAUTE DE COMMUNES DU PAYS LOUDUN</w:t>
      </w:r>
      <w:r>
        <w:rPr>
          <w:rFonts w:ascii="Times New Roman" w:hAnsi="Times New Roman"/>
          <w:szCs w:val="24"/>
        </w:rPr>
        <w:t>A</w:t>
      </w:r>
      <w:r w:rsidRPr="00D622A9">
        <w:rPr>
          <w:rFonts w:ascii="Times New Roman" w:hAnsi="Times New Roman"/>
          <w:szCs w:val="24"/>
        </w:rPr>
        <w:t xml:space="preserve">IS </w:t>
      </w:r>
      <w:r>
        <w:rPr>
          <w:rFonts w:ascii="Times New Roman" w:hAnsi="Times New Roman"/>
          <w:szCs w:val="24"/>
        </w:rPr>
        <w:t xml:space="preserve">(VIENNE) </w:t>
      </w:r>
      <w:r w:rsidRPr="00D622A9">
        <w:rPr>
          <w:rFonts w:ascii="Times New Roman" w:hAnsi="Times New Roman"/>
          <w:szCs w:val="24"/>
        </w:rPr>
        <w:t>du 2 juillet 2001 au 6 juillet 2003</w:t>
      </w:r>
      <w:r>
        <w:rPr>
          <w:rFonts w:ascii="Times New Roman" w:hAnsi="Times New Roman"/>
          <w:szCs w:val="24"/>
        </w:rPr>
        <w:t> ;</w:t>
      </w:r>
      <w:r w:rsidRPr="00DE532E">
        <w:t xml:space="preserve"> </w:t>
      </w:r>
    </w:p>
    <w:p w:rsidR="008C5A7B" w:rsidRDefault="008C5A7B" w:rsidP="00DE532E">
      <w:pPr>
        <w:pStyle w:val="PS"/>
      </w:pPr>
      <w:r w:rsidRPr="00D622A9">
        <w:rPr>
          <w:szCs w:val="24"/>
        </w:rPr>
        <w:t>Vu le réquisitoire du Procureur général, en date du 23 mars 2007, transmettant la requête précitée ;</w:t>
      </w:r>
      <w:r w:rsidRPr="00DE532E">
        <w:t xml:space="preserve"> </w:t>
      </w:r>
    </w:p>
    <w:p w:rsidR="008C5A7B" w:rsidRDefault="008C5A7B" w:rsidP="00DE532E">
      <w:pPr>
        <w:pStyle w:val="PS"/>
      </w:pPr>
      <w:r w:rsidRPr="00D622A9">
        <w:rPr>
          <w:rFonts w:ascii="Times New Roman" w:hAnsi="Times New Roman"/>
        </w:rPr>
        <w:t>Vu les pièces de la procédure suivie en première instance ;</w:t>
      </w:r>
      <w:r w:rsidRPr="00DE532E">
        <w:t xml:space="preserve"> </w:t>
      </w:r>
    </w:p>
    <w:p w:rsidR="008C5A7B" w:rsidRDefault="008C5A7B" w:rsidP="00DE532E">
      <w:pPr>
        <w:pStyle w:val="PS"/>
      </w:pPr>
      <w:r w:rsidRPr="00D622A9">
        <w:rPr>
          <w:rFonts w:ascii="Times New Roman" w:hAnsi="Times New Roman"/>
        </w:rPr>
        <w:t xml:space="preserve">Vu le code </w:t>
      </w:r>
      <w:r>
        <w:rPr>
          <w:rFonts w:ascii="Times New Roman" w:hAnsi="Times New Roman"/>
        </w:rPr>
        <w:t>civil ;</w:t>
      </w:r>
      <w:r w:rsidRPr="00DE532E">
        <w:t xml:space="preserve"> </w:t>
      </w:r>
    </w:p>
    <w:p w:rsidR="008C5A7B" w:rsidRDefault="008C5A7B" w:rsidP="00DE532E">
      <w:pPr>
        <w:pStyle w:val="PS"/>
      </w:pPr>
      <w:r w:rsidRPr="00D622A9">
        <w:rPr>
          <w:rFonts w:ascii="Times New Roman" w:hAnsi="Times New Roman"/>
        </w:rPr>
        <w:t>Vu le code général des collectivités territoriales ;</w:t>
      </w:r>
      <w:r w:rsidRPr="00DE532E">
        <w:t xml:space="preserve"> </w:t>
      </w:r>
    </w:p>
    <w:p w:rsidR="008C5A7B" w:rsidRPr="006F33FA" w:rsidRDefault="008C5A7B" w:rsidP="00DE532E">
      <w:pPr>
        <w:pStyle w:val="PS"/>
        <w:ind w:firstLine="0"/>
        <w:rPr>
          <w:rFonts w:ascii="Times New Roman" w:hAnsi="Times New Roman"/>
          <w:sz w:val="20"/>
        </w:rPr>
      </w:pPr>
      <w:r w:rsidRPr="006F33FA">
        <w:rPr>
          <w:rFonts w:ascii="Times New Roman" w:hAnsi="Times New Roman"/>
          <w:sz w:val="20"/>
        </w:rPr>
        <w:t>GA</w:t>
      </w:r>
    </w:p>
    <w:p w:rsidR="008C5A7B" w:rsidRDefault="008C5A7B" w:rsidP="00DE532E">
      <w:pPr>
        <w:pStyle w:val="PS"/>
      </w:pPr>
      <w:r w:rsidRPr="00D622A9">
        <w:rPr>
          <w:rFonts w:ascii="Times New Roman" w:hAnsi="Times New Roman"/>
        </w:rPr>
        <w:t>Vu l’article 60 de la loi de finances n° 63-156 du 23 février 1963 modifiée ;</w:t>
      </w:r>
      <w:r w:rsidRPr="00DE532E">
        <w:t xml:space="preserve"> </w:t>
      </w:r>
    </w:p>
    <w:p w:rsidR="008C5A7B" w:rsidRDefault="008C5A7B" w:rsidP="00DE532E">
      <w:pPr>
        <w:pStyle w:val="PS"/>
      </w:pPr>
      <w:r w:rsidRPr="00D622A9">
        <w:rPr>
          <w:rFonts w:ascii="Times New Roman" w:hAnsi="Times New Roman"/>
        </w:rPr>
        <w:t>Vu le décret n°</w:t>
      </w:r>
      <w:r>
        <w:rPr>
          <w:rFonts w:ascii="Times New Roman" w:hAnsi="Times New Roman"/>
        </w:rPr>
        <w:t> </w:t>
      </w:r>
      <w:r w:rsidRPr="00D622A9">
        <w:rPr>
          <w:rFonts w:ascii="Times New Roman" w:hAnsi="Times New Roman"/>
        </w:rPr>
        <w:t>62-1587 du 29 décembre 1962 modifié portant règlement général sur la comptabilité publique ;</w:t>
      </w:r>
      <w:r w:rsidRPr="00DE532E">
        <w:t xml:space="preserve"> </w:t>
      </w:r>
    </w:p>
    <w:p w:rsidR="008C5A7B" w:rsidRDefault="008C5A7B" w:rsidP="00DE532E">
      <w:pPr>
        <w:pStyle w:val="PS"/>
      </w:pPr>
      <w:r w:rsidRPr="00D622A9">
        <w:rPr>
          <w:rFonts w:ascii="Times New Roman" w:hAnsi="Times New Roman"/>
        </w:rPr>
        <w:t>Vu le code des juridictions financières ;</w:t>
      </w:r>
      <w:r w:rsidRPr="00DE532E">
        <w:t xml:space="preserve"> </w:t>
      </w:r>
    </w:p>
    <w:p w:rsidR="008C5A7B" w:rsidRDefault="008C5A7B" w:rsidP="00DE532E">
      <w:pPr>
        <w:pStyle w:val="PS"/>
      </w:pPr>
      <w:r w:rsidRPr="00D622A9">
        <w:rPr>
          <w:rFonts w:ascii="Times New Roman" w:hAnsi="Times New Roman"/>
        </w:rPr>
        <w:t>Vu le rapport de M. Berthomier, conseiller référendaire ;</w:t>
      </w:r>
      <w:r w:rsidRPr="00DE532E">
        <w:t xml:space="preserve"> </w:t>
      </w:r>
    </w:p>
    <w:p w:rsidR="008C5A7B" w:rsidRDefault="008C5A7B" w:rsidP="00DE532E">
      <w:pPr>
        <w:pStyle w:val="PS"/>
      </w:pPr>
      <w:r w:rsidRPr="00D622A9">
        <w:rPr>
          <w:rFonts w:ascii="Times New Roman" w:hAnsi="Times New Roman"/>
        </w:rPr>
        <w:t>Vu les conclusions du Procureur général</w:t>
      </w:r>
      <w:r>
        <w:rPr>
          <w:rFonts w:ascii="Times New Roman" w:hAnsi="Times New Roman"/>
        </w:rPr>
        <w:t xml:space="preserve"> </w:t>
      </w:r>
      <w:r w:rsidRPr="00D622A9">
        <w:rPr>
          <w:rFonts w:ascii="Times New Roman" w:hAnsi="Times New Roman"/>
        </w:rPr>
        <w:t>;</w:t>
      </w:r>
      <w:r w:rsidRPr="00DE532E">
        <w:t xml:space="preserve"> </w:t>
      </w:r>
    </w:p>
    <w:p w:rsidR="008C5A7B" w:rsidRDefault="008C5A7B" w:rsidP="00DE532E">
      <w:pPr>
        <w:pStyle w:val="PS"/>
      </w:pPr>
      <w:r w:rsidRPr="00D622A9">
        <w:rPr>
          <w:rFonts w:ascii="Times New Roman" w:hAnsi="Times New Roman"/>
        </w:rPr>
        <w:t xml:space="preserve">Entendu, lors de l’audience publique de ce jour, M. Berthomier, rapporteur, en son rapport, M. </w:t>
      </w:r>
      <w:r>
        <w:rPr>
          <w:rFonts w:ascii="Times New Roman" w:hAnsi="Times New Roman"/>
        </w:rPr>
        <w:t>Colin, chargé de mission auprès du Procureur général</w:t>
      </w:r>
      <w:r w:rsidRPr="00D622A9">
        <w:rPr>
          <w:rFonts w:ascii="Times New Roman" w:hAnsi="Times New Roman"/>
        </w:rPr>
        <w:t xml:space="preserve">, en ses conclusions, l’appelant, informé de l’audience, </w:t>
      </w:r>
      <w:r>
        <w:rPr>
          <w:rFonts w:ascii="Times New Roman" w:hAnsi="Times New Roman"/>
        </w:rPr>
        <w:t xml:space="preserve">n’étant pas présent </w:t>
      </w:r>
      <w:r w:rsidRPr="00D622A9">
        <w:rPr>
          <w:rFonts w:ascii="Times New Roman" w:hAnsi="Times New Roman"/>
        </w:rPr>
        <w:t>;</w:t>
      </w:r>
      <w:r w:rsidRPr="00DE532E">
        <w:t xml:space="preserve"> </w:t>
      </w:r>
    </w:p>
    <w:p w:rsidR="008C5A7B" w:rsidRDefault="008C5A7B" w:rsidP="00DE532E">
      <w:pPr>
        <w:pStyle w:val="PS"/>
      </w:pPr>
      <w:r w:rsidRPr="00D622A9">
        <w:rPr>
          <w:rFonts w:ascii="Times New Roman" w:hAnsi="Times New Roman"/>
        </w:rPr>
        <w:t>Entendu, en délibéré</w:t>
      </w:r>
      <w:r>
        <w:rPr>
          <w:rFonts w:ascii="Times New Roman" w:hAnsi="Times New Roman"/>
        </w:rPr>
        <w:t xml:space="preserve">, </w:t>
      </w:r>
      <w:r w:rsidRPr="00D622A9">
        <w:rPr>
          <w:rFonts w:ascii="Times New Roman" w:hAnsi="Times New Roman"/>
        </w:rPr>
        <w:t>M. Moreau, conseiller</w:t>
      </w:r>
      <w:r>
        <w:rPr>
          <w:rFonts w:ascii="Times New Roman" w:hAnsi="Times New Roman"/>
        </w:rPr>
        <w:t xml:space="preserve"> </w:t>
      </w:r>
      <w:r w:rsidRPr="00D622A9">
        <w:rPr>
          <w:rFonts w:ascii="Times New Roman" w:hAnsi="Times New Roman"/>
        </w:rPr>
        <w:t>maître, en ses observations ;</w:t>
      </w:r>
      <w:r w:rsidRPr="00DE532E">
        <w:t xml:space="preserve"> </w:t>
      </w:r>
    </w:p>
    <w:p w:rsidR="008C5A7B" w:rsidRDefault="008C5A7B" w:rsidP="00DE532E">
      <w:pPr>
        <w:pStyle w:val="PS"/>
      </w:pPr>
      <w:r w:rsidRPr="00D622A9">
        <w:rPr>
          <w:rFonts w:ascii="Times New Roman" w:hAnsi="Times New Roman"/>
          <w:b/>
        </w:rPr>
        <w:t>Sur le fond</w:t>
      </w:r>
    </w:p>
    <w:p w:rsidR="008C5A7B" w:rsidRDefault="008C5A7B" w:rsidP="00DE532E">
      <w:pPr>
        <w:pStyle w:val="PS"/>
      </w:pPr>
      <w:r w:rsidRPr="00D622A9">
        <w:rPr>
          <w:szCs w:val="24"/>
        </w:rPr>
        <w:t>Attendu que</w:t>
      </w:r>
      <w:r>
        <w:rPr>
          <w:szCs w:val="24"/>
        </w:rPr>
        <w:t>,</w:t>
      </w:r>
      <w:r w:rsidRPr="00D622A9">
        <w:rPr>
          <w:szCs w:val="24"/>
        </w:rPr>
        <w:t xml:space="preserve"> par jugement du 13 juillet 2006 précité, la chambre régionale des comptes de Poitou-Charentes a déchargé et donné quitus à M. X, pour sa gestion terminée au 6 juillet 2003 ;</w:t>
      </w:r>
      <w:r w:rsidRPr="00DE532E">
        <w:t xml:space="preserve"> </w:t>
      </w:r>
    </w:p>
    <w:p w:rsidR="008C5A7B" w:rsidRDefault="008C5A7B" w:rsidP="00DE532E">
      <w:pPr>
        <w:pStyle w:val="PS"/>
      </w:pPr>
      <w:r w:rsidRPr="00D622A9">
        <w:rPr>
          <w:szCs w:val="24"/>
        </w:rPr>
        <w:t>Attendu que l’appelant soutient que M</w:t>
      </w:r>
      <w:r>
        <w:rPr>
          <w:szCs w:val="24"/>
        </w:rPr>
        <w:t>. </w:t>
      </w:r>
      <w:r w:rsidRPr="00D622A9">
        <w:rPr>
          <w:szCs w:val="24"/>
        </w:rPr>
        <w:t>X a payé le 2 juillet 2003 une indemnité de licenciement à M. Y, directeur des services de la communauté de commune</w:t>
      </w:r>
      <w:r>
        <w:rPr>
          <w:szCs w:val="24"/>
        </w:rPr>
        <w:t>s du pays loudunais</w:t>
      </w:r>
      <w:r w:rsidRPr="00D622A9">
        <w:rPr>
          <w:szCs w:val="24"/>
        </w:rPr>
        <w:t>, au vu d’une délibération du conseil communautaire en date du 19 juin 2003 ; que cette indemnité de licenciement aurait dû être justifiée, en vertu de la rubrique 22121 de l’article D. 1617-19 du code général des collectivités territorial</w:t>
      </w:r>
      <w:r>
        <w:rPr>
          <w:szCs w:val="24"/>
        </w:rPr>
        <w:t>es</w:t>
      </w:r>
      <w:r w:rsidRPr="00D622A9">
        <w:rPr>
          <w:szCs w:val="24"/>
        </w:rPr>
        <w:t xml:space="preserve"> susvisé, par la décision de licenciement, la justification de la durée de l’emploi, une copie des bulletins de salaire de la période de référence de liquidation des droits et par un décompte des droits ;</w:t>
      </w:r>
      <w:r w:rsidRPr="00DE532E">
        <w:t xml:space="preserve"> </w:t>
      </w:r>
    </w:p>
    <w:p w:rsidR="008C5A7B" w:rsidRDefault="008C5A7B" w:rsidP="00DE532E">
      <w:pPr>
        <w:pStyle w:val="PS"/>
      </w:pPr>
      <w:r w:rsidRPr="00D622A9">
        <w:rPr>
          <w:szCs w:val="24"/>
        </w:rPr>
        <w:t>Attendu qu</w:t>
      </w:r>
      <w:r>
        <w:rPr>
          <w:szCs w:val="24"/>
        </w:rPr>
        <w:t>’il ressort des éléments du dossier que</w:t>
      </w:r>
      <w:r w:rsidRPr="00D622A9">
        <w:rPr>
          <w:szCs w:val="24"/>
        </w:rPr>
        <w:t xml:space="preserve"> le paiement en cause ne correspond pas au versement d’une indemnité de licenciement, prévue par les articles 38 et suivants du décret n°88-145 du 15 février 1988 pris pour l'application de l'article 136 de la loi du 26 janvier 1984 modifiée portant dispositions statutaires relatives à la fonction publique territoriale et relatif aux agents non titulaires de la fonction publique territoriale, mais d’une indemnité transactionnelle, régie par les articles 2044 à 2058 du code civil ;</w:t>
      </w:r>
      <w:r w:rsidRPr="00DE532E">
        <w:t xml:space="preserve"> </w:t>
      </w:r>
    </w:p>
    <w:p w:rsidR="008C5A7B" w:rsidRDefault="008C5A7B" w:rsidP="00DE532E">
      <w:pPr>
        <w:pStyle w:val="PS"/>
      </w:pPr>
    </w:p>
    <w:p w:rsidR="008C5A7B" w:rsidRDefault="008C5A7B" w:rsidP="00DE532E">
      <w:pPr>
        <w:pStyle w:val="PS"/>
      </w:pPr>
      <w:r w:rsidRPr="00D622A9">
        <w:rPr>
          <w:szCs w:val="24"/>
        </w:rPr>
        <w:t>Attendu que le versement d’une indemnité transactionnelle doit, au regard du chapitre 19 bis de l’article D. 1617-19 du code général des collectivités territoriales susvisé, être justifié par la décision de l’assemblée délibérante autorisant la transaction et par le contrat de transaction ;</w:t>
      </w:r>
      <w:r w:rsidRPr="00DE532E">
        <w:t xml:space="preserve"> </w:t>
      </w:r>
    </w:p>
    <w:p w:rsidR="008C5A7B" w:rsidRDefault="008C5A7B" w:rsidP="00DE532E">
      <w:pPr>
        <w:pStyle w:val="PS"/>
      </w:pPr>
      <w:r w:rsidRPr="00D622A9">
        <w:rPr>
          <w:szCs w:val="24"/>
        </w:rPr>
        <w:t xml:space="preserve">Attendu que M. </w:t>
      </w:r>
      <w:r>
        <w:rPr>
          <w:szCs w:val="24"/>
        </w:rPr>
        <w:t>X</w:t>
      </w:r>
      <w:r w:rsidRPr="00D622A9">
        <w:rPr>
          <w:szCs w:val="24"/>
        </w:rPr>
        <w:t xml:space="preserve"> disposait, au moment du versement de l’indemnité, du contrat de transaction du 22 avril 2003 et d’une délibération du conseil communautaire de la communauté de communes approuvant le versement de l’indemnité, exécutoire au 24 juin</w:t>
      </w:r>
      <w:r>
        <w:rPr>
          <w:szCs w:val="24"/>
        </w:rPr>
        <w:t xml:space="preserve"> 2003</w:t>
      </w:r>
      <w:r w:rsidRPr="00D622A9">
        <w:rPr>
          <w:szCs w:val="24"/>
        </w:rPr>
        <w:t> ; que ces pièces justifiaient</w:t>
      </w:r>
      <w:r>
        <w:rPr>
          <w:szCs w:val="24"/>
        </w:rPr>
        <w:t>,</w:t>
      </w:r>
      <w:r w:rsidRPr="00D622A9">
        <w:rPr>
          <w:szCs w:val="24"/>
        </w:rPr>
        <w:t xml:space="preserve"> au sens de l’article D 1617-19 du code général des collectivités territoriales précité</w:t>
      </w:r>
      <w:r>
        <w:rPr>
          <w:szCs w:val="24"/>
        </w:rPr>
        <w:t>,</w:t>
      </w:r>
      <w:r w:rsidRPr="00D622A9">
        <w:rPr>
          <w:szCs w:val="24"/>
        </w:rPr>
        <w:t> le paiement</w:t>
      </w:r>
      <w:r>
        <w:rPr>
          <w:szCs w:val="24"/>
        </w:rPr>
        <w:t xml:space="preserve"> de ladite indemnité en date du 2 juillet 2003 </w:t>
      </w:r>
      <w:r w:rsidRPr="00D622A9">
        <w:rPr>
          <w:szCs w:val="24"/>
        </w:rPr>
        <w:t>;</w:t>
      </w:r>
      <w:r w:rsidRPr="00DE532E">
        <w:t xml:space="preserve"> </w:t>
      </w:r>
    </w:p>
    <w:p w:rsidR="008C5A7B" w:rsidRDefault="008C5A7B" w:rsidP="00DE532E">
      <w:pPr>
        <w:pStyle w:val="PS"/>
      </w:pPr>
      <w:r w:rsidRPr="00D622A9">
        <w:t>Par ces motifs,</w:t>
      </w:r>
      <w:r w:rsidRPr="00DE532E">
        <w:t xml:space="preserve"> </w:t>
      </w:r>
    </w:p>
    <w:p w:rsidR="008C5A7B" w:rsidRPr="00D622A9" w:rsidRDefault="008C5A7B" w:rsidP="00DE532E">
      <w:pPr>
        <w:pStyle w:val="PS"/>
        <w:ind w:left="0" w:firstLine="0"/>
        <w:jc w:val="center"/>
        <w:rPr>
          <w:rFonts w:ascii="Times New Roman" w:hAnsi="Times New Roman"/>
        </w:rPr>
      </w:pPr>
      <w:r w:rsidRPr="00D622A9">
        <w:rPr>
          <w:rFonts w:ascii="Times New Roman" w:hAnsi="Times New Roman"/>
        </w:rPr>
        <w:t>STATUANT DEFINITIVEMENT</w:t>
      </w:r>
      <w:r>
        <w:rPr>
          <w:rFonts w:ascii="Times New Roman" w:hAnsi="Times New Roman"/>
        </w:rPr>
        <w:t>,</w:t>
      </w:r>
    </w:p>
    <w:p w:rsidR="008C5A7B" w:rsidRPr="00D622A9" w:rsidRDefault="008C5A7B" w:rsidP="00DE532E">
      <w:pPr>
        <w:pStyle w:val="PS"/>
        <w:ind w:left="0" w:firstLine="0"/>
        <w:jc w:val="center"/>
        <w:rPr>
          <w:rFonts w:ascii="Times New Roman" w:hAnsi="Times New Roman"/>
        </w:rPr>
      </w:pPr>
      <w:r w:rsidRPr="00D622A9">
        <w:rPr>
          <w:rFonts w:ascii="Times New Roman" w:hAnsi="Times New Roman"/>
        </w:rPr>
        <w:t>ORDONNE :</w:t>
      </w:r>
    </w:p>
    <w:p w:rsidR="008C5A7B" w:rsidRDefault="008C5A7B" w:rsidP="00DE532E">
      <w:pPr>
        <w:pStyle w:val="PS"/>
      </w:pPr>
      <w:r w:rsidRPr="00D622A9">
        <w:rPr>
          <w:rFonts w:ascii="Times New Roman" w:hAnsi="Times New Roman"/>
        </w:rPr>
        <w:t>La requête de M. D</w:t>
      </w:r>
      <w:r>
        <w:rPr>
          <w:rFonts w:ascii="Times New Roman" w:hAnsi="Times New Roman"/>
        </w:rPr>
        <w:t>uguépéroux</w:t>
      </w:r>
      <w:r w:rsidRPr="00D622A9">
        <w:rPr>
          <w:rFonts w:ascii="Times New Roman" w:hAnsi="Times New Roman"/>
        </w:rPr>
        <w:t xml:space="preserve"> est rejetée.</w:t>
      </w:r>
      <w:r w:rsidRPr="00DE532E">
        <w:t xml:space="preserve"> </w:t>
      </w:r>
    </w:p>
    <w:p w:rsidR="008C5A7B" w:rsidRPr="00D622A9" w:rsidRDefault="008C5A7B" w:rsidP="00DE532E">
      <w:pPr>
        <w:pStyle w:val="PS"/>
        <w:ind w:left="0" w:firstLine="0"/>
        <w:jc w:val="center"/>
        <w:rPr>
          <w:rFonts w:ascii="Times New Roman" w:hAnsi="Times New Roman"/>
        </w:rPr>
      </w:pPr>
      <w:r w:rsidRPr="00D622A9">
        <w:rPr>
          <w:rFonts w:ascii="Times New Roman" w:hAnsi="Times New Roman"/>
        </w:rPr>
        <w:t>------------</w:t>
      </w:r>
    </w:p>
    <w:p w:rsidR="008C5A7B" w:rsidRDefault="008C5A7B" w:rsidP="00DE532E">
      <w:pPr>
        <w:pStyle w:val="PS"/>
      </w:pPr>
      <w:r w:rsidRPr="00660A6D">
        <w:rPr>
          <w:rFonts w:ascii="Times New Roman" w:hAnsi="Times New Roman"/>
        </w:rPr>
        <w:t>Fait et jugé en la Cour des comptes, quatrième chambre, première section. Présents, MM</w:t>
      </w:r>
      <w:r>
        <w:rPr>
          <w:rFonts w:ascii="Times New Roman" w:hAnsi="Times New Roman"/>
        </w:rPr>
        <w:t>.</w:t>
      </w:r>
      <w:r w:rsidRPr="00660A6D">
        <w:rPr>
          <w:rFonts w:ascii="Times New Roman" w:hAnsi="Times New Roman"/>
        </w:rPr>
        <w:t xml:space="preserve"> </w:t>
      </w:r>
      <w:r>
        <w:rPr>
          <w:rFonts w:ascii="Times New Roman" w:hAnsi="Times New Roman"/>
        </w:rPr>
        <w:t>Pichon</w:t>
      </w:r>
      <w:r w:rsidRPr="00660A6D">
        <w:rPr>
          <w:rFonts w:ascii="Times New Roman" w:hAnsi="Times New Roman"/>
        </w:rPr>
        <w:t xml:space="preserve">, président, Collinet, président </w:t>
      </w:r>
      <w:r>
        <w:rPr>
          <w:rFonts w:ascii="Times New Roman" w:hAnsi="Times New Roman"/>
        </w:rPr>
        <w:t xml:space="preserve">de chambre </w:t>
      </w:r>
      <w:r w:rsidRPr="00660A6D">
        <w:rPr>
          <w:rFonts w:ascii="Times New Roman" w:hAnsi="Times New Roman"/>
        </w:rPr>
        <w:t xml:space="preserve">maintenu en </w:t>
      </w:r>
      <w:r>
        <w:rPr>
          <w:rFonts w:ascii="Times New Roman" w:hAnsi="Times New Roman"/>
        </w:rPr>
        <w:t>qualité de conseiller maître</w:t>
      </w:r>
      <w:r w:rsidRPr="00660A6D">
        <w:rPr>
          <w:rFonts w:ascii="Times New Roman" w:hAnsi="Times New Roman"/>
        </w:rPr>
        <w:t xml:space="preserve">, Moreau, président de section, </w:t>
      </w:r>
      <w:r>
        <w:rPr>
          <w:rFonts w:ascii="Times New Roman" w:hAnsi="Times New Roman"/>
        </w:rPr>
        <w:t>Ganser, Thérond, Pallot, Martin, Uguen, conseillers maîtres</w:t>
      </w:r>
      <w:r w:rsidRPr="00660A6D">
        <w:rPr>
          <w:rFonts w:ascii="Times New Roman" w:hAnsi="Times New Roman"/>
        </w:rPr>
        <w:t>.</w:t>
      </w:r>
      <w:r w:rsidRPr="00DE532E">
        <w:t xml:space="preserve"> </w:t>
      </w:r>
    </w:p>
    <w:p w:rsidR="008C5A7B" w:rsidRDefault="008C5A7B">
      <w:pPr>
        <w:pStyle w:val="PS"/>
      </w:pPr>
      <w:r>
        <w:t>Signé : Pichon, président, Reynaud, greffier.</w:t>
      </w:r>
    </w:p>
    <w:p w:rsidR="008C5A7B" w:rsidRDefault="008C5A7B">
      <w:pPr>
        <w:pStyle w:val="PS"/>
      </w:pPr>
      <w:r>
        <w:t>Collationné, certifié conforme à la minute étant au greffe de la Cour des comptes et délivré par moi, secrétaire générale.</w:t>
      </w:r>
    </w:p>
    <w:sectPr w:rsidR="008C5A7B" w:rsidSect="00632796">
      <w:headerReference w:type="even" r:id="rId7"/>
      <w:headerReference w:type="default" r:id="rId8"/>
      <w:pgSz w:w="11907" w:h="16840"/>
      <w:pgMar w:top="1701" w:right="1134" w:bottom="1134" w:left="56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A7B" w:rsidRDefault="008C5A7B">
      <w:r>
        <w:separator/>
      </w:r>
    </w:p>
  </w:endnote>
  <w:endnote w:type="continuationSeparator" w:id="1">
    <w:p w:rsidR="008C5A7B" w:rsidRDefault="008C5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A7B" w:rsidRDefault="008C5A7B">
      <w:r>
        <w:separator/>
      </w:r>
    </w:p>
  </w:footnote>
  <w:footnote w:type="continuationSeparator" w:id="1">
    <w:p w:rsidR="008C5A7B" w:rsidRDefault="008C5A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A7B" w:rsidRDefault="008C5A7B" w:rsidP="00B25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5A7B" w:rsidRDefault="008C5A7B" w:rsidP="00B25C6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A7B" w:rsidRDefault="008C5A7B" w:rsidP="00B25C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8C5A7B" w:rsidRPr="00B25C6B" w:rsidRDefault="008C5A7B" w:rsidP="00B25C6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54946"/>
    <w:multiLevelType w:val="hybridMultilevel"/>
    <w:tmpl w:val="666498F4"/>
    <w:lvl w:ilvl="0" w:tplc="FFFFFFFF">
      <w:start w:val="1"/>
      <w:numFmt w:val="upperRoman"/>
      <w:lvlText w:val="%1-"/>
      <w:lvlJc w:val="left"/>
      <w:pPr>
        <w:tabs>
          <w:tab w:val="num" w:pos="3555"/>
        </w:tabs>
        <w:ind w:left="3555" w:hanging="720"/>
      </w:pPr>
      <w:rPr>
        <w:rFonts w:cs="Times New Roman" w:hint="default"/>
      </w:rPr>
    </w:lvl>
    <w:lvl w:ilvl="1" w:tplc="FFFFFFFF" w:tentative="1">
      <w:start w:val="1"/>
      <w:numFmt w:val="lowerLetter"/>
      <w:lvlText w:val="%2."/>
      <w:lvlJc w:val="left"/>
      <w:pPr>
        <w:tabs>
          <w:tab w:val="num" w:pos="3915"/>
        </w:tabs>
        <w:ind w:left="3915" w:hanging="360"/>
      </w:pPr>
      <w:rPr>
        <w:rFonts w:cs="Times New Roman"/>
      </w:rPr>
    </w:lvl>
    <w:lvl w:ilvl="2" w:tplc="FFFFFFFF" w:tentative="1">
      <w:start w:val="1"/>
      <w:numFmt w:val="lowerRoman"/>
      <w:lvlText w:val="%3."/>
      <w:lvlJc w:val="right"/>
      <w:pPr>
        <w:tabs>
          <w:tab w:val="num" w:pos="4635"/>
        </w:tabs>
        <w:ind w:left="4635" w:hanging="180"/>
      </w:pPr>
      <w:rPr>
        <w:rFonts w:cs="Times New Roman"/>
      </w:rPr>
    </w:lvl>
    <w:lvl w:ilvl="3" w:tplc="FFFFFFFF" w:tentative="1">
      <w:start w:val="1"/>
      <w:numFmt w:val="decimal"/>
      <w:lvlText w:val="%4."/>
      <w:lvlJc w:val="left"/>
      <w:pPr>
        <w:tabs>
          <w:tab w:val="num" w:pos="5355"/>
        </w:tabs>
        <w:ind w:left="5355" w:hanging="360"/>
      </w:pPr>
      <w:rPr>
        <w:rFonts w:cs="Times New Roman"/>
      </w:rPr>
    </w:lvl>
    <w:lvl w:ilvl="4" w:tplc="FFFFFFFF" w:tentative="1">
      <w:start w:val="1"/>
      <w:numFmt w:val="lowerLetter"/>
      <w:lvlText w:val="%5."/>
      <w:lvlJc w:val="left"/>
      <w:pPr>
        <w:tabs>
          <w:tab w:val="num" w:pos="6075"/>
        </w:tabs>
        <w:ind w:left="6075" w:hanging="360"/>
      </w:pPr>
      <w:rPr>
        <w:rFonts w:cs="Times New Roman"/>
      </w:rPr>
    </w:lvl>
    <w:lvl w:ilvl="5" w:tplc="FFFFFFFF" w:tentative="1">
      <w:start w:val="1"/>
      <w:numFmt w:val="lowerRoman"/>
      <w:lvlText w:val="%6."/>
      <w:lvlJc w:val="right"/>
      <w:pPr>
        <w:tabs>
          <w:tab w:val="num" w:pos="6795"/>
        </w:tabs>
        <w:ind w:left="6795" w:hanging="180"/>
      </w:pPr>
      <w:rPr>
        <w:rFonts w:cs="Times New Roman"/>
      </w:rPr>
    </w:lvl>
    <w:lvl w:ilvl="6" w:tplc="FFFFFFFF" w:tentative="1">
      <w:start w:val="1"/>
      <w:numFmt w:val="decimal"/>
      <w:lvlText w:val="%7."/>
      <w:lvlJc w:val="left"/>
      <w:pPr>
        <w:tabs>
          <w:tab w:val="num" w:pos="7515"/>
        </w:tabs>
        <w:ind w:left="7515" w:hanging="360"/>
      </w:pPr>
      <w:rPr>
        <w:rFonts w:cs="Times New Roman"/>
      </w:rPr>
    </w:lvl>
    <w:lvl w:ilvl="7" w:tplc="FFFFFFFF" w:tentative="1">
      <w:start w:val="1"/>
      <w:numFmt w:val="lowerLetter"/>
      <w:lvlText w:val="%8."/>
      <w:lvlJc w:val="left"/>
      <w:pPr>
        <w:tabs>
          <w:tab w:val="num" w:pos="8235"/>
        </w:tabs>
        <w:ind w:left="8235" w:hanging="360"/>
      </w:pPr>
      <w:rPr>
        <w:rFonts w:cs="Times New Roman"/>
      </w:rPr>
    </w:lvl>
    <w:lvl w:ilvl="8" w:tplc="FFFFFFFF" w:tentative="1">
      <w:start w:val="1"/>
      <w:numFmt w:val="lowerRoman"/>
      <w:lvlText w:val="%9."/>
      <w:lvlJc w:val="right"/>
      <w:pPr>
        <w:tabs>
          <w:tab w:val="num" w:pos="8955"/>
        </w:tabs>
        <w:ind w:left="8955" w:hanging="180"/>
      </w:pPr>
      <w:rPr>
        <w:rFonts w:cs="Times New Roman"/>
      </w:rPr>
    </w:lvl>
  </w:abstractNum>
  <w:abstractNum w:abstractNumId="1">
    <w:nsid w:val="6CE72476"/>
    <w:multiLevelType w:val="hybridMultilevel"/>
    <w:tmpl w:val="0AACB6AA"/>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o"/>
      <w:lvlJc w:val="left"/>
      <w:pPr>
        <w:tabs>
          <w:tab w:val="num" w:pos="6435"/>
        </w:tabs>
        <w:ind w:left="6435" w:hanging="360"/>
      </w:pPr>
      <w:rPr>
        <w:rFonts w:ascii="Courier New" w:hAnsi="Courier New"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2">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3">
    <w:nsid w:val="6E6D212F"/>
    <w:multiLevelType w:val="hybridMultilevel"/>
    <w:tmpl w:val="7BFE414C"/>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
      <w:lvlJc w:val="left"/>
      <w:pPr>
        <w:tabs>
          <w:tab w:val="num" w:pos="6435"/>
        </w:tabs>
        <w:ind w:left="6435" w:hanging="360"/>
      </w:pPr>
      <w:rPr>
        <w:rFonts w:ascii="Symbol" w:hAnsi="Symbol"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4">
    <w:nsid w:val="76BB241F"/>
    <w:multiLevelType w:val="multilevel"/>
    <w:tmpl w:val="0AACB6AA"/>
    <w:lvl w:ilvl="0">
      <w:start w:val="1"/>
      <w:numFmt w:val="bullet"/>
      <w:lvlText w:val=""/>
      <w:lvlJc w:val="left"/>
      <w:pPr>
        <w:tabs>
          <w:tab w:val="num" w:pos="8811"/>
        </w:tabs>
        <w:ind w:left="8811" w:hanging="360"/>
      </w:pPr>
      <w:rPr>
        <w:rFonts w:ascii="Symbol" w:hAnsi="Symbol" w:hint="default"/>
      </w:rPr>
    </w:lvl>
    <w:lvl w:ilvl="1">
      <w:start w:val="1"/>
      <w:numFmt w:val="bullet"/>
      <w:lvlText w:val="o"/>
      <w:lvlJc w:val="left"/>
      <w:pPr>
        <w:tabs>
          <w:tab w:val="num" w:pos="4275"/>
        </w:tabs>
        <w:ind w:left="4275" w:hanging="360"/>
      </w:pPr>
      <w:rPr>
        <w:rFonts w:ascii="Courier New" w:hAnsi="Courier New" w:hint="default"/>
      </w:rPr>
    </w:lvl>
    <w:lvl w:ilvl="2">
      <w:start w:val="1"/>
      <w:numFmt w:val="bullet"/>
      <w:lvlText w:val=""/>
      <w:lvlJc w:val="left"/>
      <w:pPr>
        <w:tabs>
          <w:tab w:val="num" w:pos="4995"/>
        </w:tabs>
        <w:ind w:left="4995" w:hanging="360"/>
      </w:pPr>
      <w:rPr>
        <w:rFonts w:ascii="Wingdings" w:hAnsi="Wingdings" w:hint="default"/>
      </w:rPr>
    </w:lvl>
    <w:lvl w:ilvl="3">
      <w:start w:val="1"/>
      <w:numFmt w:val="bullet"/>
      <w:lvlText w:val=""/>
      <w:lvlJc w:val="left"/>
      <w:pPr>
        <w:tabs>
          <w:tab w:val="num" w:pos="5715"/>
        </w:tabs>
        <w:ind w:left="5715" w:hanging="360"/>
      </w:pPr>
      <w:rPr>
        <w:rFonts w:ascii="Symbol" w:hAnsi="Symbol" w:hint="default"/>
      </w:rPr>
    </w:lvl>
    <w:lvl w:ilvl="4">
      <w:start w:val="1"/>
      <w:numFmt w:val="bullet"/>
      <w:lvlText w:val="o"/>
      <w:lvlJc w:val="left"/>
      <w:pPr>
        <w:tabs>
          <w:tab w:val="num" w:pos="6435"/>
        </w:tabs>
        <w:ind w:left="6435" w:hanging="360"/>
      </w:pPr>
      <w:rPr>
        <w:rFonts w:ascii="Courier New" w:hAnsi="Courier New" w:hint="default"/>
      </w:rPr>
    </w:lvl>
    <w:lvl w:ilvl="5">
      <w:start w:val="1"/>
      <w:numFmt w:val="bullet"/>
      <w:lvlText w:val=""/>
      <w:lvlJc w:val="left"/>
      <w:pPr>
        <w:tabs>
          <w:tab w:val="num" w:pos="7155"/>
        </w:tabs>
        <w:ind w:left="7155" w:hanging="360"/>
      </w:pPr>
      <w:rPr>
        <w:rFonts w:ascii="Wingdings" w:hAnsi="Wingdings" w:hint="default"/>
      </w:rPr>
    </w:lvl>
    <w:lvl w:ilvl="6">
      <w:start w:val="1"/>
      <w:numFmt w:val="bullet"/>
      <w:lvlText w:val=""/>
      <w:lvlJc w:val="left"/>
      <w:pPr>
        <w:tabs>
          <w:tab w:val="num" w:pos="7875"/>
        </w:tabs>
        <w:ind w:left="7875" w:hanging="360"/>
      </w:pPr>
      <w:rPr>
        <w:rFonts w:ascii="Symbol" w:hAnsi="Symbol" w:hint="default"/>
      </w:rPr>
    </w:lvl>
    <w:lvl w:ilvl="7">
      <w:start w:val="1"/>
      <w:numFmt w:val="bullet"/>
      <w:lvlText w:val="o"/>
      <w:lvlJc w:val="left"/>
      <w:pPr>
        <w:tabs>
          <w:tab w:val="num" w:pos="8595"/>
        </w:tabs>
        <w:ind w:left="8595" w:hanging="360"/>
      </w:pPr>
      <w:rPr>
        <w:rFonts w:ascii="Courier New" w:hAnsi="Courier New" w:hint="default"/>
      </w:rPr>
    </w:lvl>
    <w:lvl w:ilvl="8">
      <w:start w:val="1"/>
      <w:numFmt w:val="bullet"/>
      <w:lvlText w:val=""/>
      <w:lvlJc w:val="left"/>
      <w:pPr>
        <w:tabs>
          <w:tab w:val="num" w:pos="9315"/>
        </w:tabs>
        <w:ind w:left="9315" w:hanging="360"/>
      </w:pPr>
      <w:rPr>
        <w:rFonts w:ascii="Wingdings" w:hAnsi="Wingdings" w:hint="default"/>
      </w:rPr>
    </w:lvl>
  </w:abstractNum>
  <w:abstractNum w:abstractNumId="5">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3DDA"/>
    <w:rsid w:val="00033871"/>
    <w:rsid w:val="000A17AE"/>
    <w:rsid w:val="00115605"/>
    <w:rsid w:val="00130653"/>
    <w:rsid w:val="001941F6"/>
    <w:rsid w:val="001E1462"/>
    <w:rsid w:val="002340C2"/>
    <w:rsid w:val="00242C44"/>
    <w:rsid w:val="00247938"/>
    <w:rsid w:val="00250C75"/>
    <w:rsid w:val="002E3611"/>
    <w:rsid w:val="00325F52"/>
    <w:rsid w:val="003C54B0"/>
    <w:rsid w:val="003E44E5"/>
    <w:rsid w:val="00471BD3"/>
    <w:rsid w:val="00483EBF"/>
    <w:rsid w:val="004B1A6C"/>
    <w:rsid w:val="004C0AF9"/>
    <w:rsid w:val="005E0E20"/>
    <w:rsid w:val="005E6597"/>
    <w:rsid w:val="00632796"/>
    <w:rsid w:val="00660A6D"/>
    <w:rsid w:val="006809F7"/>
    <w:rsid w:val="00696554"/>
    <w:rsid w:val="006F33FA"/>
    <w:rsid w:val="007F4691"/>
    <w:rsid w:val="0082657E"/>
    <w:rsid w:val="00833DDA"/>
    <w:rsid w:val="00871329"/>
    <w:rsid w:val="0088145C"/>
    <w:rsid w:val="00892F86"/>
    <w:rsid w:val="008A5D93"/>
    <w:rsid w:val="008C5A7B"/>
    <w:rsid w:val="008E75BC"/>
    <w:rsid w:val="008F1F34"/>
    <w:rsid w:val="009958F2"/>
    <w:rsid w:val="009F67A6"/>
    <w:rsid w:val="00A41F43"/>
    <w:rsid w:val="00A73133"/>
    <w:rsid w:val="00A742A3"/>
    <w:rsid w:val="00AA0632"/>
    <w:rsid w:val="00AD578E"/>
    <w:rsid w:val="00AF1706"/>
    <w:rsid w:val="00B25C6B"/>
    <w:rsid w:val="00B7110E"/>
    <w:rsid w:val="00B96739"/>
    <w:rsid w:val="00BF0E1B"/>
    <w:rsid w:val="00C05E32"/>
    <w:rsid w:val="00C11AB9"/>
    <w:rsid w:val="00C973D9"/>
    <w:rsid w:val="00D35C28"/>
    <w:rsid w:val="00D57EAC"/>
    <w:rsid w:val="00D622A9"/>
    <w:rsid w:val="00DB591E"/>
    <w:rsid w:val="00DC2FDF"/>
    <w:rsid w:val="00DD1D9B"/>
    <w:rsid w:val="00DE532E"/>
    <w:rsid w:val="00ED7910"/>
    <w:rsid w:val="00EE5144"/>
    <w:rsid w:val="00F10C48"/>
    <w:rsid w:val="00F314D7"/>
    <w:rsid w:val="00FF293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5BC"/>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E75BC"/>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rsid w:val="008E75BC"/>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8E75BC"/>
    <w:rPr>
      <w:rFonts w:ascii="CG Times (WN)" w:hAnsi="CG Times (WN)"/>
      <w:b/>
      <w:caps/>
      <w:sz w:val="24"/>
    </w:rPr>
  </w:style>
  <w:style w:type="paragraph" w:customStyle="1" w:styleId="OR">
    <w:name w:val="OR"/>
    <w:basedOn w:val="ET"/>
    <w:uiPriority w:val="99"/>
    <w:rsid w:val="008E75BC"/>
    <w:pPr>
      <w:ind w:left="5670"/>
    </w:pPr>
    <w:rPr>
      <w:b w:val="0"/>
      <w:caps w:val="0"/>
    </w:rPr>
  </w:style>
  <w:style w:type="paragraph" w:customStyle="1" w:styleId="TI">
    <w:name w:val="TI"/>
    <w:basedOn w:val="OR"/>
    <w:uiPriority w:val="99"/>
    <w:rsid w:val="008E75BC"/>
    <w:pPr>
      <w:ind w:left="1701"/>
      <w:jc w:val="center"/>
    </w:pPr>
    <w:rPr>
      <w:caps/>
      <w:u w:val="single"/>
    </w:rPr>
  </w:style>
  <w:style w:type="paragraph" w:customStyle="1" w:styleId="P0">
    <w:name w:val="P0"/>
    <w:basedOn w:val="ET"/>
    <w:uiPriority w:val="99"/>
    <w:rsid w:val="008E75BC"/>
    <w:pPr>
      <w:ind w:left="1701"/>
      <w:jc w:val="both"/>
    </w:pPr>
    <w:rPr>
      <w:b w:val="0"/>
      <w:caps w:val="0"/>
    </w:rPr>
  </w:style>
  <w:style w:type="paragraph" w:customStyle="1" w:styleId="EL">
    <w:name w:val="EL"/>
    <w:basedOn w:val="P0"/>
    <w:uiPriority w:val="99"/>
    <w:rsid w:val="008E75BC"/>
    <w:pPr>
      <w:spacing w:after="240"/>
      <w:ind w:firstLine="1418"/>
    </w:pPr>
  </w:style>
  <w:style w:type="paragraph" w:customStyle="1" w:styleId="IN">
    <w:name w:val="IN"/>
    <w:basedOn w:val="P0"/>
    <w:uiPriority w:val="99"/>
    <w:rsid w:val="008E75BC"/>
    <w:pPr>
      <w:ind w:left="0"/>
      <w:jc w:val="left"/>
    </w:pPr>
    <w:rPr>
      <w:i/>
      <w:sz w:val="16"/>
    </w:rPr>
  </w:style>
  <w:style w:type="paragraph" w:customStyle="1" w:styleId="RE">
    <w:name w:val="RE"/>
    <w:basedOn w:val="P0"/>
    <w:uiPriority w:val="99"/>
    <w:rsid w:val="008E75BC"/>
    <w:pPr>
      <w:ind w:left="0"/>
    </w:pPr>
  </w:style>
  <w:style w:type="paragraph" w:customStyle="1" w:styleId="PE">
    <w:name w:val="PE"/>
    <w:basedOn w:val="IN"/>
    <w:uiPriority w:val="99"/>
    <w:rsid w:val="008E75BC"/>
    <w:pPr>
      <w:keepNext/>
      <w:ind w:left="1701"/>
      <w:jc w:val="both"/>
    </w:pPr>
    <w:rPr>
      <w:i w:val="0"/>
      <w:sz w:val="24"/>
    </w:rPr>
  </w:style>
  <w:style w:type="paragraph" w:customStyle="1" w:styleId="PC">
    <w:name w:val="PC"/>
    <w:basedOn w:val="IN"/>
    <w:uiPriority w:val="99"/>
    <w:rsid w:val="008E75BC"/>
    <w:pPr>
      <w:spacing w:after="480"/>
      <w:ind w:left="2268" w:firstLine="1134"/>
      <w:jc w:val="both"/>
    </w:pPr>
    <w:rPr>
      <w:i w:val="0"/>
      <w:sz w:val="24"/>
    </w:rPr>
  </w:style>
  <w:style w:type="paragraph" w:customStyle="1" w:styleId="PS">
    <w:name w:val="PS"/>
    <w:basedOn w:val="IN"/>
    <w:link w:val="PSCar"/>
    <w:uiPriority w:val="99"/>
    <w:rsid w:val="008E75BC"/>
    <w:pPr>
      <w:spacing w:after="480"/>
      <w:ind w:left="1701" w:firstLine="1134"/>
      <w:jc w:val="both"/>
    </w:pPr>
    <w:rPr>
      <w:i w:val="0"/>
      <w:sz w:val="24"/>
    </w:rPr>
  </w:style>
  <w:style w:type="paragraph" w:customStyle="1" w:styleId="AR">
    <w:name w:val="AR"/>
    <w:basedOn w:val="IN"/>
    <w:uiPriority w:val="99"/>
    <w:rsid w:val="008E75BC"/>
    <w:pPr>
      <w:spacing w:before="720" w:after="720"/>
      <w:ind w:left="5103"/>
    </w:pPr>
    <w:rPr>
      <w:i w:val="0"/>
      <w:caps/>
      <w:sz w:val="24"/>
      <w:u w:val="single"/>
    </w:rPr>
  </w:style>
  <w:style w:type="character" w:styleId="PageNumber">
    <w:name w:val="page number"/>
    <w:basedOn w:val="DefaultParagraphFont"/>
    <w:uiPriority w:val="99"/>
    <w:rsid w:val="008E75BC"/>
    <w:rPr>
      <w:rFonts w:cs="Times New Roman"/>
    </w:rPr>
  </w:style>
  <w:style w:type="paragraph" w:styleId="BalloonText">
    <w:name w:val="Balloon Text"/>
    <w:basedOn w:val="Normal"/>
    <w:link w:val="BalloonTextChar"/>
    <w:uiPriority w:val="99"/>
    <w:semiHidden/>
    <w:rsid w:val="008E75B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NormalWeb">
    <w:name w:val="Normal (Web)"/>
    <w:basedOn w:val="Normal"/>
    <w:uiPriority w:val="99"/>
    <w:rsid w:val="008E75BC"/>
    <w:pPr>
      <w:spacing w:before="100" w:beforeAutospacing="1" w:after="100" w:afterAutospacing="1"/>
    </w:pPr>
    <w:rPr>
      <w:sz w:val="24"/>
      <w:szCs w:val="24"/>
    </w:rPr>
  </w:style>
  <w:style w:type="paragraph" w:styleId="EndnoteText">
    <w:name w:val="endnote text"/>
    <w:basedOn w:val="Normal"/>
    <w:link w:val="EndnoteTextChar"/>
    <w:uiPriority w:val="99"/>
    <w:semiHidden/>
    <w:rsid w:val="008E75BC"/>
  </w:style>
  <w:style w:type="character" w:customStyle="1" w:styleId="EndnoteTextChar">
    <w:name w:val="Endnote Text Char"/>
    <w:basedOn w:val="DefaultParagraphFont"/>
    <w:link w:val="EndnoteText"/>
    <w:uiPriority w:val="99"/>
    <w:semiHidden/>
    <w:locked/>
    <w:rPr>
      <w:rFonts w:cs="Times New Roman"/>
      <w:sz w:val="20"/>
      <w:szCs w:val="20"/>
    </w:rPr>
  </w:style>
  <w:style w:type="character" w:styleId="EndnoteReference">
    <w:name w:val="endnote reference"/>
    <w:basedOn w:val="DefaultParagraphFont"/>
    <w:uiPriority w:val="99"/>
    <w:semiHidden/>
    <w:rsid w:val="008E75BC"/>
    <w:rPr>
      <w:rFonts w:cs="Times New Roman"/>
      <w:vertAlign w:val="superscript"/>
    </w:rPr>
  </w:style>
  <w:style w:type="paragraph" w:styleId="BodyText">
    <w:name w:val="Body Text"/>
    <w:aliases w:val="Corps de texte Car"/>
    <w:basedOn w:val="Normal"/>
    <w:link w:val="BodyTextChar"/>
    <w:uiPriority w:val="99"/>
    <w:rsid w:val="005E6597"/>
    <w:pPr>
      <w:spacing w:before="120" w:after="120"/>
      <w:ind w:firstLine="709"/>
      <w:jc w:val="both"/>
    </w:pPr>
    <w:rPr>
      <w:sz w:val="24"/>
    </w:rPr>
  </w:style>
  <w:style w:type="character" w:customStyle="1" w:styleId="BodyTextChar">
    <w:name w:val="Body Text Char"/>
    <w:aliases w:val="Corps de texte Car Char"/>
    <w:basedOn w:val="DefaultParagraphFont"/>
    <w:link w:val="BodyText"/>
    <w:uiPriority w:val="99"/>
    <w:semiHidden/>
    <w:locked/>
    <w:rPr>
      <w:rFonts w:cs="Times New Roman"/>
      <w:sz w:val="20"/>
      <w:szCs w:val="20"/>
    </w:rPr>
  </w:style>
  <w:style w:type="table" w:styleId="TableGrid">
    <w:name w:val="Table Grid"/>
    <w:basedOn w:val="TableNormal"/>
    <w:uiPriority w:val="99"/>
    <w:rsid w:val="006F33F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basedOn w:val="DefaultParagraphFont"/>
    <w:link w:val="PS"/>
    <w:uiPriority w:val="99"/>
    <w:locked/>
    <w:rsid w:val="00C05E32"/>
    <w:rPr>
      <w:rFonts w:ascii="CG Times (WN)" w:hAnsi="CG Times (WN)"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3267133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1</TotalTime>
  <Pages>3</Pages>
  <Words>662</Words>
  <Characters>3643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3</cp:revision>
  <cp:lastPrinted>2007-07-10T09:02:00Z</cp:lastPrinted>
  <dcterms:created xsi:type="dcterms:W3CDTF">2007-10-03T16:45:00Z</dcterms:created>
  <dcterms:modified xsi:type="dcterms:W3CDTF">2007-10-22T10:54:00Z</dcterms:modified>
</cp:coreProperties>
</file>