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3AC" w:rsidRPr="00BC4C26" w:rsidRDefault="002D33AC" w:rsidP="00CB4328">
      <w:pPr>
        <w:pStyle w:val="ET"/>
        <w:rPr>
          <w:rFonts w:ascii="Times New Roman" w:hAnsi="Times New Roman" w:cs="Times New Roman"/>
        </w:rPr>
      </w:pPr>
      <w:r w:rsidRPr="00BC4C26">
        <w:rPr>
          <w:rFonts w:ascii="Times New Roman" w:hAnsi="Times New Roman" w:cs="Times New Roman"/>
        </w:rPr>
        <w:t>COUR DES COMPTES</w:t>
      </w:r>
    </w:p>
    <w:p w:rsidR="002D33AC" w:rsidRPr="00BC4C26" w:rsidRDefault="002D33AC" w:rsidP="00CB4328">
      <w:pPr>
        <w:pStyle w:val="ET"/>
        <w:ind w:left="851"/>
        <w:rPr>
          <w:rFonts w:ascii="Times New Roman" w:hAnsi="Times New Roman" w:cs="Times New Roman"/>
        </w:rPr>
      </w:pPr>
      <w:r w:rsidRPr="00BC4C26">
        <w:rPr>
          <w:rFonts w:ascii="Times New Roman" w:hAnsi="Times New Roman" w:cs="Times New Roman"/>
        </w:rPr>
        <w:t>--------</w:t>
      </w:r>
    </w:p>
    <w:p w:rsidR="002D33AC" w:rsidRPr="00BC4C26" w:rsidRDefault="002D33AC" w:rsidP="00CB4328">
      <w:pPr>
        <w:pStyle w:val="ET"/>
        <w:rPr>
          <w:rFonts w:ascii="Times New Roman" w:hAnsi="Times New Roman" w:cs="Times New Roman"/>
        </w:rPr>
      </w:pPr>
      <w:r w:rsidRPr="00BC4C26">
        <w:rPr>
          <w:rFonts w:ascii="Times New Roman" w:hAnsi="Times New Roman" w:cs="Times New Roman"/>
        </w:rPr>
        <w:t>TROISIEME CHAMBRE</w:t>
      </w:r>
    </w:p>
    <w:p w:rsidR="002D33AC" w:rsidRPr="00BC4C26" w:rsidRDefault="002D33AC" w:rsidP="00CB4328">
      <w:pPr>
        <w:pStyle w:val="ET"/>
        <w:ind w:left="851"/>
        <w:rPr>
          <w:rFonts w:ascii="Times New Roman" w:hAnsi="Times New Roman" w:cs="Times New Roman"/>
        </w:rPr>
      </w:pPr>
      <w:r w:rsidRPr="00BC4C26">
        <w:rPr>
          <w:rFonts w:ascii="Times New Roman" w:hAnsi="Times New Roman" w:cs="Times New Roman"/>
        </w:rPr>
        <w:t>--------</w:t>
      </w:r>
    </w:p>
    <w:p w:rsidR="002D33AC" w:rsidRPr="00BC4C26" w:rsidRDefault="002D33AC" w:rsidP="00CB4328">
      <w:pPr>
        <w:pStyle w:val="ET"/>
        <w:rPr>
          <w:rFonts w:ascii="Times New Roman" w:hAnsi="Times New Roman" w:cs="Times New Roman"/>
        </w:rPr>
      </w:pPr>
      <w:r w:rsidRPr="00BC4C26">
        <w:rPr>
          <w:rFonts w:ascii="Times New Roman" w:hAnsi="Times New Roman" w:cs="Times New Roman"/>
        </w:rPr>
        <w:t>QUATRIEME SECTION</w:t>
      </w:r>
    </w:p>
    <w:p w:rsidR="002D33AC" w:rsidRPr="00BC4C26" w:rsidRDefault="002D33AC" w:rsidP="00CB4328">
      <w:pPr>
        <w:pStyle w:val="ET"/>
        <w:ind w:left="851"/>
        <w:rPr>
          <w:rFonts w:ascii="Times New Roman" w:hAnsi="Times New Roman" w:cs="Times New Roman"/>
        </w:rPr>
      </w:pPr>
      <w:r w:rsidRPr="00BC4C26">
        <w:rPr>
          <w:rFonts w:ascii="Times New Roman" w:hAnsi="Times New Roman" w:cs="Times New Roman"/>
        </w:rPr>
        <w:t>--------</w:t>
      </w:r>
    </w:p>
    <w:p w:rsidR="002D33AC" w:rsidRPr="00BC4C26" w:rsidRDefault="002D33AC" w:rsidP="00CB4328">
      <w:pPr>
        <w:pStyle w:val="ET"/>
        <w:ind w:left="567"/>
        <w:rPr>
          <w:rFonts w:ascii="Times New Roman" w:hAnsi="Times New Roman" w:cs="Times New Roman"/>
          <w:b w:val="0"/>
          <w:bCs w:val="0"/>
          <w:caps w:val="0"/>
        </w:rPr>
      </w:pPr>
      <w:r w:rsidRPr="00BC4C26">
        <w:rPr>
          <w:rFonts w:ascii="Times New Roman" w:hAnsi="Times New Roman" w:cs="Times New Roman"/>
          <w:i/>
          <w:iCs/>
          <w:caps w:val="0"/>
        </w:rPr>
        <w:t>Arrêt n° 50432</w:t>
      </w:r>
    </w:p>
    <w:p w:rsidR="002D33AC" w:rsidRPr="00BC4C26" w:rsidRDefault="002D33AC" w:rsidP="00CB4328">
      <w:pPr>
        <w:pStyle w:val="OR"/>
        <w:rPr>
          <w:rFonts w:ascii="Times New Roman" w:hAnsi="Times New Roman" w:cs="Times New Roman"/>
        </w:rPr>
      </w:pPr>
      <w:r w:rsidRPr="00BC4C26">
        <w:rPr>
          <w:rFonts w:ascii="Times New Roman" w:hAnsi="Times New Roman" w:cs="Times New Roman"/>
        </w:rPr>
        <w:t>UNIVERSITE PARIS X</w:t>
      </w:r>
    </w:p>
    <w:p w:rsidR="002D33AC" w:rsidRPr="00BC4C26" w:rsidRDefault="002D33AC" w:rsidP="00CB4328">
      <w:pPr>
        <w:pStyle w:val="OR"/>
        <w:rPr>
          <w:rFonts w:ascii="Times New Roman" w:hAnsi="Times New Roman" w:cs="Times New Roman"/>
        </w:rPr>
      </w:pPr>
      <w:r w:rsidRPr="00BC4C26">
        <w:rPr>
          <w:rFonts w:ascii="Times New Roman" w:hAnsi="Times New Roman" w:cs="Times New Roman"/>
        </w:rPr>
        <w:t>(NANTERRE)</w:t>
      </w:r>
    </w:p>
    <w:p w:rsidR="002D33AC" w:rsidRPr="00BC4C26" w:rsidRDefault="002D33AC" w:rsidP="00CB4328">
      <w:pPr>
        <w:pStyle w:val="OR"/>
        <w:rPr>
          <w:rFonts w:ascii="Times New Roman" w:hAnsi="Times New Roman" w:cs="Times New Roman"/>
        </w:rPr>
      </w:pPr>
    </w:p>
    <w:p w:rsidR="002D33AC" w:rsidRPr="00BC4C26" w:rsidRDefault="002D33AC" w:rsidP="00CB4328">
      <w:pPr>
        <w:pStyle w:val="OR"/>
        <w:rPr>
          <w:rFonts w:ascii="Times New Roman" w:hAnsi="Times New Roman" w:cs="Times New Roman"/>
        </w:rPr>
      </w:pPr>
      <w:r w:rsidRPr="00BC4C26">
        <w:rPr>
          <w:rFonts w:ascii="Times New Roman" w:hAnsi="Times New Roman" w:cs="Times New Roman"/>
        </w:rPr>
        <w:t>Exercices 2000 à 2003</w:t>
      </w:r>
    </w:p>
    <w:p w:rsidR="002D33AC" w:rsidRPr="00BC4C26" w:rsidRDefault="002D33AC" w:rsidP="00CB4328">
      <w:pPr>
        <w:pStyle w:val="OR"/>
        <w:rPr>
          <w:rFonts w:ascii="Times New Roman" w:hAnsi="Times New Roman" w:cs="Times New Roman"/>
        </w:rPr>
      </w:pPr>
    </w:p>
    <w:p w:rsidR="002D33AC" w:rsidRPr="00BC4C26" w:rsidRDefault="002D33AC" w:rsidP="00CB4328">
      <w:pPr>
        <w:pStyle w:val="OR"/>
        <w:rPr>
          <w:rFonts w:ascii="Times New Roman" w:hAnsi="Times New Roman" w:cs="Times New Roman"/>
        </w:rPr>
      </w:pPr>
      <w:r w:rsidRPr="00BC4C26">
        <w:rPr>
          <w:rFonts w:ascii="Times New Roman" w:hAnsi="Times New Roman" w:cs="Times New Roman"/>
        </w:rPr>
        <w:t>Rapport n° 2007-390-1</w:t>
      </w:r>
    </w:p>
    <w:p w:rsidR="002D33AC" w:rsidRPr="00BC4C26" w:rsidRDefault="002D33AC" w:rsidP="00CB4328">
      <w:pPr>
        <w:pStyle w:val="OR"/>
        <w:rPr>
          <w:rFonts w:ascii="Times New Roman" w:hAnsi="Times New Roman" w:cs="Times New Roman"/>
        </w:rPr>
      </w:pPr>
    </w:p>
    <w:p w:rsidR="002D33AC" w:rsidRPr="00BC4C26" w:rsidRDefault="002D33AC" w:rsidP="00CB4328">
      <w:pPr>
        <w:pStyle w:val="OR"/>
        <w:rPr>
          <w:rFonts w:ascii="Times New Roman" w:hAnsi="Times New Roman" w:cs="Times New Roman"/>
        </w:rPr>
      </w:pPr>
      <w:r w:rsidRPr="00BC4C26">
        <w:rPr>
          <w:rFonts w:ascii="Times New Roman" w:hAnsi="Times New Roman" w:cs="Times New Roman"/>
        </w:rPr>
        <w:t>Séance du 13 novembre 2007</w:t>
      </w:r>
    </w:p>
    <w:p w:rsidR="002D33AC" w:rsidRPr="00BC4C26" w:rsidRDefault="002D33AC" w:rsidP="00CB4328">
      <w:pPr>
        <w:pStyle w:val="OR"/>
        <w:rPr>
          <w:rFonts w:ascii="Times New Roman" w:hAnsi="Times New Roman" w:cs="Times New Roman"/>
        </w:rPr>
      </w:pPr>
    </w:p>
    <w:p w:rsidR="002D33AC" w:rsidRPr="00BC4C26" w:rsidRDefault="002D33AC" w:rsidP="00CB4328">
      <w:pPr>
        <w:pStyle w:val="OR"/>
        <w:rPr>
          <w:rFonts w:ascii="Times New Roman" w:hAnsi="Times New Roman" w:cs="Times New Roman"/>
        </w:rPr>
      </w:pPr>
      <w:r w:rsidRPr="00BC4C26">
        <w:rPr>
          <w:rFonts w:ascii="Times New Roman" w:hAnsi="Times New Roman" w:cs="Times New Roman"/>
        </w:rPr>
        <w:t>Lecture publique du</w:t>
      </w:r>
      <w:r>
        <w:rPr>
          <w:rFonts w:ascii="Times New Roman" w:hAnsi="Times New Roman" w:cs="Times New Roman"/>
        </w:rPr>
        <w:t xml:space="preserve"> 22 janvier 2008</w:t>
      </w:r>
    </w:p>
    <w:p w:rsidR="002D33AC" w:rsidRDefault="002D33AC" w:rsidP="00D05A87">
      <w:pPr>
        <w:pStyle w:val="P0"/>
        <w:jc w:val="center"/>
      </w:pPr>
    </w:p>
    <w:p w:rsidR="002D33AC" w:rsidRDefault="002D33AC" w:rsidP="00D05A87">
      <w:pPr>
        <w:pStyle w:val="P0"/>
        <w:jc w:val="center"/>
      </w:pPr>
    </w:p>
    <w:p w:rsidR="002D33AC" w:rsidRDefault="002D33AC" w:rsidP="00D05A87">
      <w:pPr>
        <w:pStyle w:val="P0"/>
        <w:jc w:val="center"/>
      </w:pPr>
      <w:r>
        <w:t>REPUBLIQUE FRANCAISE</w:t>
      </w:r>
    </w:p>
    <w:p w:rsidR="002D33AC" w:rsidRDefault="002D33AC" w:rsidP="00D05A87">
      <w:pPr>
        <w:pStyle w:val="P0"/>
        <w:jc w:val="center"/>
      </w:pPr>
    </w:p>
    <w:p w:rsidR="002D33AC" w:rsidRDefault="002D33AC" w:rsidP="00D05A87">
      <w:pPr>
        <w:pStyle w:val="P0"/>
        <w:jc w:val="center"/>
      </w:pPr>
      <w:r>
        <w:t>AU NOM DU PEUPLE FRANÇAIS</w:t>
      </w:r>
    </w:p>
    <w:p w:rsidR="002D33AC" w:rsidRDefault="002D33AC" w:rsidP="00D05A87">
      <w:pPr>
        <w:pStyle w:val="P0"/>
        <w:jc w:val="center"/>
      </w:pPr>
    </w:p>
    <w:p w:rsidR="002D33AC" w:rsidRDefault="002D33AC" w:rsidP="00D05A87">
      <w:pPr>
        <w:pStyle w:val="P0"/>
        <w:jc w:val="center"/>
      </w:pPr>
      <w:r>
        <w:t>LA COUR DES COMPTES a rendu l’arrêt suivant :</w:t>
      </w:r>
    </w:p>
    <w:p w:rsidR="002D33AC" w:rsidRPr="00BC4C26" w:rsidRDefault="002D33AC" w:rsidP="00D05A87">
      <w:pPr>
        <w:pStyle w:val="P0"/>
        <w:jc w:val="center"/>
      </w:pPr>
    </w:p>
    <w:p w:rsidR="002D33AC" w:rsidRPr="00BC4C26" w:rsidRDefault="002D33AC" w:rsidP="00CB4328">
      <w:pPr>
        <w:pStyle w:val="PS"/>
        <w:outlineLvl w:val="0"/>
        <w:rPr>
          <w:rFonts w:ascii="Times New Roman" w:hAnsi="Times New Roman" w:cs="Times New Roman"/>
        </w:rPr>
      </w:pPr>
      <w:r w:rsidRPr="00BC4C26">
        <w:rPr>
          <w:rFonts w:ascii="Times New Roman" w:hAnsi="Times New Roman" w:cs="Times New Roman"/>
        </w:rPr>
        <w:t>LA COUR,</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Vu l’arrêt n° 45254 du 13 mars 2006 par lequel elle a statué sur les comptes rendus en qualité de comptable de l’UNIVERSITE PARIS X – NANTERRE au titre des exercices 2001 à 2003, par Mme Sylvie X et formulé cinq injonctions à l’encontre de cette dernière  ;</w:t>
      </w: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Vu les justifications produites en exécution dudit arrêt ;</w:t>
      </w: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Vu le code des juridictions financières ;</w:t>
      </w: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Vu l’article 60 de la loi de finances du 23 février 1963 modifiée ;</w:t>
      </w: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Vu la loi n° 68-1250 du 31 décembre 1968 relative à la prescription des créances sur l’Etat, les départements, les communes et les établissements publics ;</w:t>
      </w: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Vu le décret n° 62-1587 du 29 décembre 1962 portant règlement général sur la comptabilité publique ;</w:t>
      </w:r>
    </w:p>
    <w:p w:rsidR="002D33AC" w:rsidRPr="00BC4C26" w:rsidRDefault="002D33AC" w:rsidP="00BC4C26">
      <w:pPr>
        <w:pStyle w:val="PS"/>
        <w:spacing w:before="240" w:after="240"/>
        <w:ind w:hanging="567"/>
        <w:rPr>
          <w:rFonts w:ascii="Times New Roman" w:hAnsi="Times New Roman" w:cs="Times New Roman"/>
          <w:sz w:val="16"/>
          <w:szCs w:val="16"/>
        </w:rPr>
      </w:pPr>
      <w:r w:rsidRPr="00BC4C26">
        <w:rPr>
          <w:rFonts w:ascii="Times New Roman" w:hAnsi="Times New Roman" w:cs="Times New Roman"/>
          <w:sz w:val="16"/>
          <w:szCs w:val="16"/>
        </w:rPr>
        <w:t>RS</w:t>
      </w:r>
    </w:p>
    <w:p w:rsidR="002D33AC" w:rsidRPr="00BC4C26" w:rsidRDefault="002D33AC" w:rsidP="00BC4C26">
      <w:pPr>
        <w:pStyle w:val="PS"/>
        <w:spacing w:before="240" w:after="240"/>
        <w:rPr>
          <w:rFonts w:ascii="Times New Roman" w:hAnsi="Times New Roman" w:cs="Times New Roman"/>
          <w:sz w:val="16"/>
          <w:szCs w:val="16"/>
        </w:rPr>
        <w:sectPr w:rsidR="002D33AC" w:rsidRPr="00BC4C26">
          <w:pgSz w:w="11907" w:h="16840"/>
          <w:pgMar w:top="1134" w:right="1134" w:bottom="1134" w:left="567" w:header="720" w:footer="720" w:gutter="0"/>
          <w:cols w:space="720"/>
        </w:sectPr>
      </w:pP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 xml:space="preserve">Vu la lettre en date du </w:t>
      </w:r>
      <w:r>
        <w:rPr>
          <w:rFonts w:ascii="Times New Roman" w:hAnsi="Times New Roman" w:cs="Times New Roman"/>
        </w:rPr>
        <w:t>17 octobre 2007</w:t>
      </w:r>
      <w:r w:rsidRPr="00BC4C26">
        <w:rPr>
          <w:rFonts w:ascii="Times New Roman" w:hAnsi="Times New Roman" w:cs="Times New Roman"/>
        </w:rPr>
        <w:t xml:space="preserve"> informant Mme X de la tenue d’une audience publique ;</w:t>
      </w: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Vu la feuille de présence à l’audience publique du 13 novembre 2007 attestant que Mme X s’est présentée à celle-ci ;</w:t>
      </w: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Sur le rapport de M. Barichard, conseiller référendaire ;</w:t>
      </w: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 xml:space="preserve">Vu les conclusions du procureur général de la République ; </w:t>
      </w:r>
    </w:p>
    <w:p w:rsidR="002D33AC" w:rsidRPr="00BC4C26" w:rsidRDefault="002D33AC" w:rsidP="00BC4C26">
      <w:pPr>
        <w:pStyle w:val="PS"/>
        <w:spacing w:before="240" w:after="240"/>
        <w:rPr>
          <w:rFonts w:ascii="Times New Roman" w:hAnsi="Times New Roman" w:cs="Times New Roman"/>
        </w:rPr>
      </w:pPr>
      <w:r w:rsidRPr="00BC4C26">
        <w:rPr>
          <w:rFonts w:ascii="Times New Roman" w:hAnsi="Times New Roman" w:cs="Times New Roman"/>
        </w:rPr>
        <w:t>Après avoir entendu en audience publique le rapporteur, M. Filippini avocat général en ses conclusions ;</w:t>
      </w:r>
    </w:p>
    <w:p w:rsidR="002D33AC" w:rsidRPr="00BC4C26" w:rsidRDefault="002D33AC" w:rsidP="00BC4C26">
      <w:pPr>
        <w:pStyle w:val="PS"/>
        <w:tabs>
          <w:tab w:val="left" w:pos="1498"/>
        </w:tabs>
        <w:spacing w:before="240" w:after="240"/>
        <w:rPr>
          <w:rFonts w:ascii="Times New Roman" w:hAnsi="Times New Roman" w:cs="Times New Roman"/>
        </w:rPr>
      </w:pPr>
      <w:r w:rsidRPr="00BC4C26">
        <w:rPr>
          <w:rFonts w:ascii="Times New Roman" w:hAnsi="Times New Roman" w:cs="Times New Roman"/>
        </w:rPr>
        <w:t xml:space="preserve">Ayant délibéré hors la présence du rapporteur et </w:t>
      </w:r>
      <w:r>
        <w:rPr>
          <w:rFonts w:ascii="Times New Roman" w:hAnsi="Times New Roman" w:cs="Times New Roman"/>
        </w:rPr>
        <w:t xml:space="preserve">du ministère public et </w:t>
      </w:r>
      <w:r w:rsidRPr="00BC4C26">
        <w:rPr>
          <w:rFonts w:ascii="Times New Roman" w:hAnsi="Times New Roman" w:cs="Times New Roman"/>
        </w:rPr>
        <w:t>après avoir entendu M.</w:t>
      </w:r>
      <w:r>
        <w:rPr>
          <w:rFonts w:ascii="Times New Roman" w:hAnsi="Times New Roman" w:cs="Times New Roman"/>
        </w:rPr>
        <w:t> </w:t>
      </w:r>
      <w:r w:rsidRPr="00BC4C26">
        <w:rPr>
          <w:rFonts w:ascii="Times New Roman" w:hAnsi="Times New Roman" w:cs="Times New Roman"/>
        </w:rPr>
        <w:t>Korb, conseiller maître en ses observations ;</w:t>
      </w:r>
    </w:p>
    <w:p w:rsidR="002D33AC" w:rsidRPr="00BC4C26" w:rsidRDefault="002D33AC" w:rsidP="00BC4C26">
      <w:pPr>
        <w:pStyle w:val="PS"/>
        <w:spacing w:before="240" w:after="240"/>
        <w:ind w:firstLine="0"/>
        <w:jc w:val="center"/>
        <w:outlineLvl w:val="0"/>
        <w:rPr>
          <w:rFonts w:ascii="Times New Roman" w:hAnsi="Times New Roman" w:cs="Times New Roman"/>
        </w:rPr>
      </w:pPr>
      <w:r w:rsidRPr="00BC4C26">
        <w:rPr>
          <w:rFonts w:ascii="Times New Roman" w:hAnsi="Times New Roman" w:cs="Times New Roman"/>
        </w:rPr>
        <w:t>STATUANT DEFINITIVEMENT,</w:t>
      </w:r>
    </w:p>
    <w:p w:rsidR="002D33AC" w:rsidRPr="00BC4C26" w:rsidRDefault="002D33AC" w:rsidP="00BC4C26">
      <w:pPr>
        <w:pStyle w:val="PS"/>
        <w:spacing w:before="240" w:after="240"/>
        <w:ind w:firstLine="0"/>
        <w:jc w:val="center"/>
        <w:rPr>
          <w:rFonts w:ascii="Times New Roman" w:hAnsi="Times New Roman" w:cs="Times New Roman"/>
        </w:rPr>
      </w:pPr>
      <w:r w:rsidRPr="00BC4C26">
        <w:rPr>
          <w:rFonts w:ascii="Times New Roman" w:hAnsi="Times New Roman" w:cs="Times New Roman"/>
        </w:rPr>
        <w:t>ORDONNE :</w:t>
      </w:r>
    </w:p>
    <w:p w:rsidR="002D33AC" w:rsidRPr="00BC4C26" w:rsidRDefault="002D33AC" w:rsidP="00BC4C26">
      <w:pPr>
        <w:pStyle w:val="PS"/>
        <w:spacing w:before="240" w:after="240"/>
        <w:outlineLvl w:val="0"/>
        <w:rPr>
          <w:rFonts w:ascii="Times New Roman" w:hAnsi="Times New Roman" w:cs="Times New Roman"/>
          <w:b/>
          <w:bCs/>
        </w:rPr>
      </w:pPr>
      <w:r w:rsidRPr="00BC4C26">
        <w:rPr>
          <w:rFonts w:ascii="Times New Roman" w:hAnsi="Times New Roman" w:cs="Times New Roman"/>
          <w:b/>
          <w:bCs/>
        </w:rPr>
        <w:t>I – </w:t>
      </w:r>
      <w:r w:rsidRPr="00BC4C26">
        <w:rPr>
          <w:rFonts w:ascii="Times New Roman" w:hAnsi="Times New Roman" w:cs="Times New Roman"/>
          <w:b/>
          <w:bCs/>
          <w:u w:val="single"/>
        </w:rPr>
        <w:t>Levée d’injonctions</w:t>
      </w:r>
    </w:p>
    <w:p w:rsidR="002D33AC" w:rsidRPr="00BC4C26" w:rsidRDefault="002D33AC" w:rsidP="00BC4C26">
      <w:pPr>
        <w:pStyle w:val="PS"/>
        <w:spacing w:before="240" w:after="240"/>
        <w:outlineLvl w:val="0"/>
        <w:rPr>
          <w:rFonts w:ascii="Times New Roman" w:hAnsi="Times New Roman" w:cs="Times New Roman"/>
          <w:u w:val="single"/>
        </w:rPr>
      </w:pPr>
      <w:r w:rsidRPr="00BC4C26">
        <w:rPr>
          <w:rFonts w:ascii="Times New Roman" w:hAnsi="Times New Roman" w:cs="Times New Roman"/>
          <w:u w:val="single"/>
        </w:rPr>
        <w:t>Injonction n° 1 : titre de recette n° 475-96 de 6 300 F (960,43 €) sur la région Ile-de-France</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Attendu que par arrêt du 13 mars 2006 susvisé, il a été enjoint à Mme X de produire la preuve des diligences accomplies pour le recouvrement d’une créance de 960,43 € figurant sur l’état des restes à recouvrer du compte 4631 au 31 décembre 2003, ou à défaut du versement de la somme de 960,43 €, ou toute autre justification à décharge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Attendu que Mme X a indiqué dans ses réponses que ce titre</w:t>
      </w:r>
      <w:r w:rsidRPr="00BC4C26">
        <w:rPr>
          <w:rFonts w:ascii="Times New Roman" w:hAnsi="Times New Roman" w:cs="Times New Roman"/>
          <w:i/>
          <w:iCs/>
        </w:rPr>
        <w:t xml:space="preserve"> </w:t>
      </w:r>
      <w:r w:rsidRPr="00BC4C26">
        <w:rPr>
          <w:rFonts w:ascii="Times New Roman" w:hAnsi="Times New Roman" w:cs="Times New Roman"/>
        </w:rPr>
        <w:t>était déjà prescrit lors de sa prise de fonctions ; que l’ampleur de la tâche l’avait amenée à centrer ses réserves sur les titres perdus et les cotes les plus importantes, le souci d’efficacité l’ayant conduite par ailleurs à privilégier le recouvrement sur les cotes les plus récentes et à abandonner le recouvrement sur les cotes les plus anciennes ; que le conseil d’administration de l’université a admis ce titre en non-valeur en 2005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shd w:val="clear" w:color="auto" w:fill="FFFFFF"/>
        </w:rPr>
        <w:br w:type="page"/>
      </w:r>
      <w:r w:rsidRPr="00BC4C26">
        <w:rPr>
          <w:rFonts w:ascii="Times New Roman" w:hAnsi="Times New Roman" w:cs="Times New Roman"/>
        </w:rPr>
        <w:t>Attendu que faute de diligences en vue de son recouvrement, ce titre émis en 1996 est tombé sous le coup de la prescription quadriennale au début du mois de janvier 2001, par extension aux régions des dispositions de la loi du 31 décembre 1968 susvisée ; qu’il était donc d</w:t>
      </w:r>
      <w:r>
        <w:rPr>
          <w:rFonts w:ascii="Times New Roman" w:hAnsi="Times New Roman" w:cs="Times New Roman"/>
        </w:rPr>
        <w:t>ev</w:t>
      </w:r>
      <w:r w:rsidRPr="00BC4C26">
        <w:rPr>
          <w:rFonts w:ascii="Times New Roman" w:hAnsi="Times New Roman" w:cs="Times New Roman"/>
        </w:rPr>
        <w:t xml:space="preserve">enu manifestement irrécouvrable au moment de la prise de fonctions de Mme X ; </w:t>
      </w:r>
    </w:p>
    <w:p w:rsidR="002D33AC" w:rsidRPr="00BC4C26" w:rsidRDefault="002D33AC" w:rsidP="00BC4C26">
      <w:pPr>
        <w:pStyle w:val="PS"/>
        <w:numPr>
          <w:ilvl w:val="0"/>
          <w:numId w:val="1"/>
        </w:numPr>
        <w:spacing w:before="240" w:after="240"/>
        <w:rPr>
          <w:rFonts w:ascii="Times New Roman" w:hAnsi="Times New Roman" w:cs="Times New Roman"/>
        </w:rPr>
      </w:pPr>
      <w:r w:rsidRPr="00BC4C26">
        <w:rPr>
          <w:rFonts w:ascii="Times New Roman" w:hAnsi="Times New Roman" w:cs="Times New Roman"/>
        </w:rPr>
        <w:t>L’injonction n° 1 est levée.</w:t>
      </w:r>
    </w:p>
    <w:p w:rsidR="002D33AC" w:rsidRPr="00BC4C26" w:rsidRDefault="002D33AC" w:rsidP="00BC4C26">
      <w:pPr>
        <w:pStyle w:val="PS"/>
        <w:spacing w:before="240" w:after="240"/>
        <w:ind w:left="1418"/>
        <w:rPr>
          <w:rFonts w:ascii="Times New Roman" w:hAnsi="Times New Roman" w:cs="Times New Roman"/>
          <w:u w:val="single"/>
        </w:rPr>
      </w:pPr>
      <w:r w:rsidRPr="00BC4C26">
        <w:rPr>
          <w:rFonts w:ascii="Times New Roman" w:hAnsi="Times New Roman" w:cs="Times New Roman"/>
          <w:u w:val="single"/>
        </w:rPr>
        <w:t>Injonction n° 4 : mandat n° 14531 – exercice 2003</w:t>
      </w:r>
    </w:p>
    <w:p w:rsidR="002D33AC" w:rsidRPr="00BC4C26" w:rsidRDefault="002D33AC" w:rsidP="00BC4C26">
      <w:pPr>
        <w:spacing w:before="240" w:after="240"/>
        <w:ind w:left="1418" w:firstLine="1134"/>
        <w:jc w:val="both"/>
        <w:rPr>
          <w:sz w:val="24"/>
          <w:szCs w:val="24"/>
        </w:rPr>
      </w:pPr>
      <w:r w:rsidRPr="00BC4C26">
        <w:rPr>
          <w:sz w:val="24"/>
          <w:szCs w:val="24"/>
        </w:rPr>
        <w:t>Attendu que par mandat n° 14531/ B.3306, du 17 décembre 2003, la somme de 3 402 € a été payée à M. </w:t>
      </w:r>
      <w:r>
        <w:rPr>
          <w:sz w:val="24"/>
          <w:szCs w:val="24"/>
        </w:rPr>
        <w:t>Z</w:t>
      </w:r>
      <w:r w:rsidRPr="00BC4C26">
        <w:rPr>
          <w:sz w:val="24"/>
          <w:szCs w:val="24"/>
        </w:rPr>
        <w:t xml:space="preserve"> et imputée sur le compte 6257 « réceptions » ; que les pièces jointes à ce mandat établissaient que la dépense engagée correspondait à des frais d’hébergement  et non de réception ; que le mandat n’était toutefois accompagné ni d’un ordre de mission, ni d’états certifiés appuyés de pièces justificatives telles que la facture de l’hôtel ;</w:t>
      </w:r>
    </w:p>
    <w:p w:rsidR="002D33AC" w:rsidRPr="00BC4C26" w:rsidRDefault="002D33AC" w:rsidP="00BC4C26">
      <w:pPr>
        <w:spacing w:before="240" w:after="240"/>
        <w:ind w:left="1418" w:firstLine="1134"/>
        <w:jc w:val="both"/>
        <w:rPr>
          <w:sz w:val="24"/>
          <w:szCs w:val="24"/>
        </w:rPr>
      </w:pPr>
      <w:r w:rsidRPr="00BC4C26">
        <w:rPr>
          <w:sz w:val="24"/>
          <w:szCs w:val="24"/>
        </w:rPr>
        <w:t>Attendu qu’il a été enjoint en conséquence à Mme X, par arrêt susvisé du 13 mars 2006, de produire la preuve du versement dans la caisse de l’université, de la somme de 3 402 €, ou à défaut, toute autre justification q</w:t>
      </w:r>
      <w:r>
        <w:rPr>
          <w:sz w:val="24"/>
          <w:szCs w:val="24"/>
        </w:rPr>
        <w:t>ui dégagerait sa responsabilité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Attendu que l’agent comptable a indiqué dans sa réponse du 12</w:t>
      </w:r>
      <w:r>
        <w:rPr>
          <w:rFonts w:ascii="Times New Roman" w:hAnsi="Times New Roman" w:cs="Times New Roman"/>
        </w:rPr>
        <w:t xml:space="preserve"> </w:t>
      </w:r>
      <w:r w:rsidRPr="00BC4C26">
        <w:rPr>
          <w:rFonts w:ascii="Times New Roman" w:hAnsi="Times New Roman" w:cs="Times New Roman"/>
        </w:rPr>
        <w:t>février</w:t>
      </w:r>
      <w:r>
        <w:rPr>
          <w:rFonts w:ascii="Times New Roman" w:hAnsi="Times New Roman" w:cs="Times New Roman"/>
        </w:rPr>
        <w:t xml:space="preserve"> 2007 </w:t>
      </w:r>
      <w:r w:rsidRPr="00BC4C26">
        <w:rPr>
          <w:rFonts w:ascii="Times New Roman" w:hAnsi="Times New Roman" w:cs="Times New Roman"/>
        </w:rPr>
        <w:t>que le certificat administratif signé du directeur de la Maison</w:t>
      </w:r>
      <w:r>
        <w:rPr>
          <w:rFonts w:ascii="Times New Roman" w:hAnsi="Times New Roman" w:cs="Times New Roman"/>
        </w:rPr>
        <w:t xml:space="preserve"> </w:t>
      </w:r>
      <w:r w:rsidRPr="00BC4C26">
        <w:rPr>
          <w:rFonts w:ascii="Times New Roman" w:hAnsi="Times New Roman" w:cs="Times New Roman"/>
        </w:rPr>
        <w:t>René</w:t>
      </w:r>
      <w:r>
        <w:rPr>
          <w:rFonts w:ascii="Times New Roman" w:hAnsi="Times New Roman" w:cs="Times New Roman"/>
        </w:rPr>
        <w:t xml:space="preserve"> </w:t>
      </w:r>
      <w:r w:rsidRPr="00BC4C26">
        <w:rPr>
          <w:rFonts w:ascii="Times New Roman" w:hAnsi="Times New Roman" w:cs="Times New Roman"/>
        </w:rPr>
        <w:t>Ginouvès, produit à l’appui du mandat, comportait une erreur de libellé ; que l’expression “lors de sa mission à Noisiel” aurait dû être remplacée par “lors du colloque organisé à Noisiel”</w:t>
      </w:r>
      <w:r w:rsidRPr="00BC4C26">
        <w:rPr>
          <w:rFonts w:ascii="Times New Roman" w:hAnsi="Times New Roman" w:cs="Times New Roman"/>
          <w:i/>
          <w:iCs/>
        </w:rPr>
        <w:t> </w:t>
      </w:r>
      <w:r w:rsidRPr="00BC4C26">
        <w:rPr>
          <w:rFonts w:ascii="Times New Roman" w:hAnsi="Times New Roman" w:cs="Times New Roman"/>
        </w:rPr>
        <w:t>;</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 xml:space="preserve">Attendu que les pièces jointes par le comptable à l’appui de sa réponse sont effectivement constituées d’un ordre de mission groupé pour 26 participants étrangers, appuyé de la liste nominative, du bon de commande à l’hôtel, de la confirmation de réservation, de la confirmation du paiement de la note globale par M. </w:t>
      </w:r>
      <w:r>
        <w:rPr>
          <w:rFonts w:ascii="Times New Roman" w:hAnsi="Times New Roman" w:cs="Times New Roman"/>
        </w:rPr>
        <w:t>Z</w:t>
      </w:r>
      <w:r w:rsidRPr="00BC4C26">
        <w:rPr>
          <w:rFonts w:ascii="Times New Roman" w:hAnsi="Times New Roman" w:cs="Times New Roman"/>
        </w:rPr>
        <w:t xml:space="preserve"> et de la copie du chèque émis ; que l’ensemble de l’opération correspond à l’hébergement de  membres d’un colloque dans le cadre du projet scientifique européen ISCOM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Considérant que bien que la procédure normale de prise en charge de frais de mission n’ait pas été suivie, la dépense en cause a néanmoins été précisément justifiée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 L’injonction n° 4 est levée.</w:t>
      </w:r>
    </w:p>
    <w:p w:rsidR="002D33AC" w:rsidRPr="00BC4C26" w:rsidRDefault="002D33AC" w:rsidP="00BC4C26">
      <w:pPr>
        <w:pStyle w:val="PS"/>
        <w:spacing w:before="240" w:after="240"/>
        <w:ind w:left="1418"/>
        <w:rPr>
          <w:rFonts w:ascii="Times New Roman" w:hAnsi="Times New Roman" w:cs="Times New Roman"/>
          <w:u w:val="single"/>
        </w:rPr>
      </w:pPr>
      <w:r>
        <w:rPr>
          <w:rFonts w:ascii="Times New Roman" w:hAnsi="Times New Roman" w:cs="Times New Roman"/>
          <w:u w:val="single"/>
        </w:rPr>
        <w:br w:type="page"/>
      </w:r>
      <w:r w:rsidRPr="00BC4C26">
        <w:rPr>
          <w:rFonts w:ascii="Times New Roman" w:hAnsi="Times New Roman" w:cs="Times New Roman"/>
          <w:u w:val="single"/>
        </w:rPr>
        <w:t>Injonction n° 5 : régie d’avances – exercice 2003</w:t>
      </w:r>
    </w:p>
    <w:p w:rsidR="002D33AC" w:rsidRPr="00BC4C26" w:rsidRDefault="002D33AC" w:rsidP="00BC4C26">
      <w:pPr>
        <w:spacing w:before="240" w:after="240"/>
        <w:ind w:left="1418" w:firstLine="1134"/>
        <w:jc w:val="both"/>
        <w:rPr>
          <w:sz w:val="24"/>
          <w:szCs w:val="24"/>
        </w:rPr>
      </w:pPr>
      <w:r w:rsidRPr="00BC4C26">
        <w:rPr>
          <w:sz w:val="24"/>
          <w:szCs w:val="24"/>
        </w:rPr>
        <w:t xml:space="preserve">Attendu qu’une régie d'avances permanente d’un montant maximal de 20 000 € a été créée pour le règlement des  dépenses liées à des missions de recherche à l’étranger et que M  Y en a été nommé régisseur ; </w:t>
      </w:r>
    </w:p>
    <w:p w:rsidR="002D33AC" w:rsidRPr="00BC4C26" w:rsidRDefault="002D33AC" w:rsidP="00BC4C26">
      <w:pPr>
        <w:pStyle w:val="BodyText"/>
        <w:spacing w:before="240" w:after="240"/>
        <w:ind w:left="1418" w:firstLine="1134"/>
      </w:pPr>
      <w:r w:rsidRPr="00BC4C26">
        <w:t>Attendu que le descriptif des dépenses fourni par</w:t>
      </w:r>
      <w:r w:rsidRPr="00BC4C26">
        <w:rPr>
          <w:i/>
          <w:iCs/>
        </w:rPr>
        <w:t xml:space="preserve"> </w:t>
      </w:r>
      <w:r w:rsidRPr="00BC4C26">
        <w:t xml:space="preserve">M. Y, pour une mission du 20 octobre au 30 novembre 2003 à Pékin montrait trois types de dépenses : 1 968,70 € correspondant à des dépenses effectuées en Chine et justifiées par des factures établies en monnaie locale, 12 200 € qui auraient été donnés </w:t>
      </w:r>
      <w:r>
        <w:t>à</w:t>
      </w:r>
      <w:r w:rsidRPr="00BC4C26">
        <w:t xml:space="preserve"> ses collègues sur place et gérés par eux et 1 049 € utilisés pour des dépenses en France apparaissant sans lien avec l’objet de la régie ;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Attendu qu’il avait en conséquence été enjoint à Mme X de produire les justificatifs de la prise en charge par l’université des dépenses de 1 049 € et de 12 200 €, et à défaut, du versement dans la caisse de l’université de ces sommes ou toute autre justification susceptible de dégager sa responsabilité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Attendu qu’il ressort de la réponse de Mme X que la somme de 1 049 € correspond à des dépenses relative à la mise au point de matériels nécessaires à la mission, effectuée immédiatement avant le départ de l’intéressé en Chine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Attendu que les dépenses effectuées en Chine à hauteur de 12 200 € ont été précisément retracées par M. Y qui a fourni à la comptable les pièces justificatives à l’appui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Attendu que les dépenses en cause ont ainsi été justifiées ;</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 L’injonction n° 5 est levée.</w:t>
      </w:r>
    </w:p>
    <w:p w:rsidR="002D33AC" w:rsidRPr="00BC4C26" w:rsidRDefault="002D33AC" w:rsidP="00E40B79">
      <w:pPr>
        <w:pStyle w:val="PS"/>
        <w:spacing w:before="240" w:after="240"/>
        <w:ind w:firstLine="851"/>
        <w:outlineLvl w:val="0"/>
        <w:rPr>
          <w:rFonts w:ascii="Times New Roman" w:hAnsi="Times New Roman" w:cs="Times New Roman"/>
          <w:b/>
          <w:bCs/>
        </w:rPr>
      </w:pPr>
      <w:r w:rsidRPr="00BC4C26">
        <w:rPr>
          <w:rFonts w:ascii="Times New Roman" w:hAnsi="Times New Roman" w:cs="Times New Roman"/>
          <w:b/>
          <w:bCs/>
        </w:rPr>
        <w:t>II – Constitutions en débet</w:t>
      </w:r>
      <w:r>
        <w:fldChar w:fldCharType="begin"/>
      </w:r>
      <w:r>
        <w:fldChar w:fldCharType="end"/>
      </w:r>
    </w:p>
    <w:p w:rsidR="002D33AC" w:rsidRPr="00BC4C26" w:rsidRDefault="002D33AC" w:rsidP="00BC4C26">
      <w:pPr>
        <w:pStyle w:val="PS"/>
        <w:spacing w:before="240" w:after="240"/>
        <w:ind w:left="1418"/>
        <w:rPr>
          <w:rFonts w:ascii="Times New Roman" w:hAnsi="Times New Roman" w:cs="Times New Roman"/>
          <w:u w:val="single"/>
        </w:rPr>
      </w:pPr>
      <w:r w:rsidRPr="00BC4C26">
        <w:rPr>
          <w:rFonts w:ascii="Times New Roman" w:hAnsi="Times New Roman" w:cs="Times New Roman"/>
          <w:u w:val="single"/>
        </w:rPr>
        <w:t>Injonction n° 2 : titres de recettes n° 42/902/98 et n° 43/902/98 respectivement de 9 604,29 € à l’encontre de la DATAR</w:t>
      </w:r>
    </w:p>
    <w:p w:rsidR="002D33AC" w:rsidRPr="00BC4C26" w:rsidRDefault="002D33AC" w:rsidP="00BC4C26">
      <w:pPr>
        <w:pStyle w:val="PS"/>
        <w:spacing w:before="240" w:after="240"/>
        <w:ind w:left="1418"/>
        <w:rPr>
          <w:rFonts w:ascii="Times New Roman" w:hAnsi="Times New Roman" w:cs="Times New Roman"/>
        </w:rPr>
      </w:pPr>
      <w:r w:rsidRPr="00BC4C26">
        <w:rPr>
          <w:rFonts w:ascii="Times New Roman" w:hAnsi="Times New Roman" w:cs="Times New Roman"/>
        </w:rPr>
        <w:t xml:space="preserve">Attendu que les deux titres ci-dessous, émis en 1998, figuraient à l’état des restes à recouvrer du compte 4631 au 31 décembre 2003 : </w:t>
      </w:r>
    </w:p>
    <w:tbl>
      <w:tblPr>
        <w:tblW w:w="82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tblPr>
      <w:tblGrid>
        <w:gridCol w:w="1278"/>
        <w:gridCol w:w="1843"/>
        <w:gridCol w:w="3258"/>
        <w:gridCol w:w="1843"/>
      </w:tblGrid>
      <w:tr w:rsidR="002D33AC" w:rsidRPr="00BC4C26" w:rsidTr="005D3B61">
        <w:trPr>
          <w:trHeight w:val="150"/>
          <w:tblHeader/>
          <w:jc w:val="center"/>
        </w:trPr>
        <w:tc>
          <w:tcPr>
            <w:tcW w:w="1278" w:type="dxa"/>
            <w:vAlign w:val="center"/>
          </w:tcPr>
          <w:p w:rsidR="002D33AC" w:rsidRPr="00BC4C26" w:rsidRDefault="002D33AC" w:rsidP="001577F2">
            <w:pPr>
              <w:pStyle w:val="Tableautexte"/>
              <w:jc w:val="left"/>
              <w:rPr>
                <w:snapToGrid w:val="0"/>
                <w:color w:val="auto"/>
              </w:rPr>
            </w:pPr>
            <w:r w:rsidRPr="00BC4C26">
              <w:rPr>
                <w:snapToGrid w:val="0"/>
                <w:color w:val="auto"/>
              </w:rPr>
              <w:t>Composante</w:t>
            </w:r>
          </w:p>
        </w:tc>
        <w:tc>
          <w:tcPr>
            <w:tcW w:w="1843" w:type="dxa"/>
            <w:vAlign w:val="center"/>
          </w:tcPr>
          <w:p w:rsidR="002D33AC" w:rsidRPr="00BC4C26" w:rsidRDefault="002D33AC" w:rsidP="00BC4C26">
            <w:pPr>
              <w:pStyle w:val="Tableautexte"/>
              <w:jc w:val="center"/>
              <w:rPr>
                <w:snapToGrid w:val="0"/>
                <w:color w:val="auto"/>
              </w:rPr>
            </w:pPr>
            <w:r w:rsidRPr="00BC4C26">
              <w:rPr>
                <w:snapToGrid w:val="0"/>
                <w:color w:val="auto"/>
              </w:rPr>
              <w:t>Tiers</w:t>
            </w:r>
          </w:p>
        </w:tc>
        <w:tc>
          <w:tcPr>
            <w:tcW w:w="3258" w:type="dxa"/>
            <w:vAlign w:val="center"/>
          </w:tcPr>
          <w:p w:rsidR="002D33AC" w:rsidRPr="00BC4C26" w:rsidRDefault="002D33AC" w:rsidP="00BC4C26">
            <w:pPr>
              <w:pStyle w:val="Tableautexte"/>
              <w:jc w:val="center"/>
              <w:rPr>
                <w:snapToGrid w:val="0"/>
                <w:color w:val="auto"/>
              </w:rPr>
            </w:pPr>
            <w:r w:rsidRPr="00BC4C26">
              <w:rPr>
                <w:snapToGrid w:val="0"/>
                <w:color w:val="auto"/>
              </w:rPr>
              <w:t>Références du titre</w:t>
            </w:r>
          </w:p>
        </w:tc>
        <w:tc>
          <w:tcPr>
            <w:tcW w:w="1843" w:type="dxa"/>
            <w:vAlign w:val="center"/>
          </w:tcPr>
          <w:p w:rsidR="002D33AC" w:rsidRPr="00BC4C26" w:rsidRDefault="002D33AC" w:rsidP="00BC4C26">
            <w:pPr>
              <w:pStyle w:val="Tableautexte"/>
              <w:jc w:val="center"/>
              <w:rPr>
                <w:snapToGrid w:val="0"/>
                <w:color w:val="auto"/>
              </w:rPr>
            </w:pPr>
            <w:r w:rsidRPr="00BC4C26">
              <w:rPr>
                <w:snapToGrid w:val="0"/>
                <w:color w:val="auto"/>
              </w:rPr>
              <w:t>Montant en €</w:t>
            </w:r>
          </w:p>
        </w:tc>
      </w:tr>
      <w:tr w:rsidR="002D33AC" w:rsidRPr="00BC4C26" w:rsidTr="005D3B61">
        <w:trPr>
          <w:trHeight w:val="135"/>
          <w:jc w:val="center"/>
        </w:trPr>
        <w:tc>
          <w:tcPr>
            <w:tcW w:w="1278" w:type="dxa"/>
            <w:vAlign w:val="bottom"/>
          </w:tcPr>
          <w:p w:rsidR="002D33AC" w:rsidRPr="00BC4C26" w:rsidRDefault="002D33AC" w:rsidP="00FF6061">
            <w:pPr>
              <w:pStyle w:val="Tableautexte"/>
              <w:jc w:val="center"/>
              <w:rPr>
                <w:snapToGrid w:val="0"/>
                <w:color w:val="auto"/>
              </w:rPr>
            </w:pPr>
            <w:r w:rsidRPr="00BC4C26">
              <w:rPr>
                <w:snapToGrid w:val="0"/>
                <w:color w:val="auto"/>
              </w:rPr>
              <w:t>902</w:t>
            </w:r>
          </w:p>
        </w:tc>
        <w:tc>
          <w:tcPr>
            <w:tcW w:w="1843" w:type="dxa"/>
            <w:vAlign w:val="bottom"/>
          </w:tcPr>
          <w:p w:rsidR="002D33AC" w:rsidRPr="00BC4C26" w:rsidRDefault="002D33AC" w:rsidP="00FF6061">
            <w:pPr>
              <w:pStyle w:val="Tableautexte"/>
              <w:jc w:val="center"/>
              <w:rPr>
                <w:snapToGrid w:val="0"/>
                <w:color w:val="auto"/>
              </w:rPr>
            </w:pPr>
            <w:r w:rsidRPr="00BC4C26">
              <w:rPr>
                <w:snapToGrid w:val="0"/>
                <w:color w:val="auto"/>
              </w:rPr>
              <w:t>DATAR</w:t>
            </w:r>
          </w:p>
        </w:tc>
        <w:tc>
          <w:tcPr>
            <w:tcW w:w="3258" w:type="dxa"/>
            <w:vAlign w:val="bottom"/>
          </w:tcPr>
          <w:p w:rsidR="002D33AC" w:rsidRPr="00BC4C26" w:rsidRDefault="002D33AC" w:rsidP="001577F2">
            <w:pPr>
              <w:pStyle w:val="Tableautexte"/>
              <w:jc w:val="left"/>
              <w:rPr>
                <w:snapToGrid w:val="0"/>
                <w:color w:val="auto"/>
              </w:rPr>
            </w:pPr>
            <w:r w:rsidRPr="00BC4C26">
              <w:rPr>
                <w:snapToGrid w:val="0"/>
                <w:color w:val="auto"/>
              </w:rPr>
              <w:t>BE 02 TR 42/902/98 DEVSO 2903</w:t>
            </w:r>
          </w:p>
        </w:tc>
        <w:tc>
          <w:tcPr>
            <w:tcW w:w="1843" w:type="dxa"/>
            <w:vAlign w:val="bottom"/>
          </w:tcPr>
          <w:p w:rsidR="002D33AC" w:rsidRPr="00BC4C26" w:rsidRDefault="002D33AC" w:rsidP="00FF6061">
            <w:pPr>
              <w:pStyle w:val="Tableautexte"/>
              <w:ind w:right="395"/>
              <w:jc w:val="right"/>
              <w:rPr>
                <w:snapToGrid w:val="0"/>
                <w:color w:val="auto"/>
              </w:rPr>
            </w:pPr>
            <w:r w:rsidRPr="00BC4C26">
              <w:rPr>
                <w:snapToGrid w:val="0"/>
                <w:color w:val="auto"/>
              </w:rPr>
              <w:t xml:space="preserve">9 604,29 </w:t>
            </w:r>
          </w:p>
        </w:tc>
      </w:tr>
      <w:tr w:rsidR="002D33AC" w:rsidRPr="00BC4C26" w:rsidTr="005D3B61">
        <w:trPr>
          <w:trHeight w:val="135"/>
          <w:jc w:val="center"/>
        </w:trPr>
        <w:tc>
          <w:tcPr>
            <w:tcW w:w="1278" w:type="dxa"/>
            <w:vAlign w:val="bottom"/>
          </w:tcPr>
          <w:p w:rsidR="002D33AC" w:rsidRPr="00BC4C26" w:rsidRDefault="002D33AC" w:rsidP="00FF6061">
            <w:pPr>
              <w:pStyle w:val="Tableautexte"/>
              <w:jc w:val="center"/>
              <w:rPr>
                <w:snapToGrid w:val="0"/>
                <w:color w:val="auto"/>
              </w:rPr>
            </w:pPr>
            <w:r w:rsidRPr="00BC4C26">
              <w:rPr>
                <w:snapToGrid w:val="0"/>
                <w:color w:val="auto"/>
              </w:rPr>
              <w:t>902</w:t>
            </w:r>
          </w:p>
        </w:tc>
        <w:tc>
          <w:tcPr>
            <w:tcW w:w="1843" w:type="dxa"/>
            <w:vAlign w:val="bottom"/>
          </w:tcPr>
          <w:p w:rsidR="002D33AC" w:rsidRPr="00BC4C26" w:rsidRDefault="002D33AC" w:rsidP="00FF6061">
            <w:pPr>
              <w:pStyle w:val="Tableautexte"/>
              <w:jc w:val="center"/>
              <w:rPr>
                <w:snapToGrid w:val="0"/>
                <w:color w:val="auto"/>
              </w:rPr>
            </w:pPr>
            <w:r w:rsidRPr="00BC4C26">
              <w:rPr>
                <w:snapToGrid w:val="0"/>
                <w:color w:val="auto"/>
              </w:rPr>
              <w:t>DATAR</w:t>
            </w:r>
          </w:p>
        </w:tc>
        <w:tc>
          <w:tcPr>
            <w:tcW w:w="3258" w:type="dxa"/>
            <w:vAlign w:val="bottom"/>
          </w:tcPr>
          <w:p w:rsidR="002D33AC" w:rsidRPr="00BC4C26" w:rsidRDefault="002D33AC" w:rsidP="001577F2">
            <w:pPr>
              <w:pStyle w:val="Tableautexte"/>
              <w:jc w:val="left"/>
              <w:rPr>
                <w:snapToGrid w:val="0"/>
                <w:color w:val="auto"/>
              </w:rPr>
            </w:pPr>
            <w:r w:rsidRPr="00BC4C26">
              <w:rPr>
                <w:snapToGrid w:val="0"/>
                <w:color w:val="auto"/>
              </w:rPr>
              <w:t>BE 02 TR 43/902/98 DEVSO 2904</w:t>
            </w:r>
          </w:p>
        </w:tc>
        <w:tc>
          <w:tcPr>
            <w:tcW w:w="1843" w:type="dxa"/>
            <w:vAlign w:val="bottom"/>
          </w:tcPr>
          <w:p w:rsidR="002D33AC" w:rsidRPr="00BC4C26" w:rsidRDefault="002D33AC" w:rsidP="00FF6061">
            <w:pPr>
              <w:pStyle w:val="Tableautexte"/>
              <w:ind w:right="395"/>
              <w:jc w:val="right"/>
              <w:rPr>
                <w:snapToGrid w:val="0"/>
                <w:color w:val="auto"/>
              </w:rPr>
            </w:pPr>
            <w:r w:rsidRPr="00BC4C26">
              <w:rPr>
                <w:snapToGrid w:val="0"/>
                <w:color w:val="auto"/>
              </w:rPr>
              <w:t xml:space="preserve">9 604,29 </w:t>
            </w:r>
          </w:p>
        </w:tc>
      </w:tr>
      <w:tr w:rsidR="002D33AC" w:rsidRPr="00BC4C26" w:rsidTr="005D3B61">
        <w:trPr>
          <w:trHeight w:val="135"/>
          <w:jc w:val="center"/>
        </w:trPr>
        <w:tc>
          <w:tcPr>
            <w:tcW w:w="1278" w:type="dxa"/>
            <w:vAlign w:val="center"/>
          </w:tcPr>
          <w:p w:rsidR="002D33AC" w:rsidRPr="00BC4C26" w:rsidRDefault="002D33AC" w:rsidP="001577F2">
            <w:pPr>
              <w:pStyle w:val="Tableautexte"/>
              <w:jc w:val="left"/>
              <w:rPr>
                <w:b/>
                <w:bCs/>
                <w:snapToGrid w:val="0"/>
                <w:color w:val="auto"/>
              </w:rPr>
            </w:pPr>
          </w:p>
        </w:tc>
        <w:tc>
          <w:tcPr>
            <w:tcW w:w="1843" w:type="dxa"/>
            <w:vAlign w:val="center"/>
          </w:tcPr>
          <w:p w:rsidR="002D33AC" w:rsidRPr="00BC4C26" w:rsidRDefault="002D33AC" w:rsidP="001577F2">
            <w:pPr>
              <w:pStyle w:val="Tableautexte"/>
              <w:jc w:val="left"/>
              <w:rPr>
                <w:b/>
                <w:bCs/>
                <w:snapToGrid w:val="0"/>
                <w:color w:val="auto"/>
              </w:rPr>
            </w:pPr>
          </w:p>
        </w:tc>
        <w:tc>
          <w:tcPr>
            <w:tcW w:w="3258" w:type="dxa"/>
            <w:vAlign w:val="center"/>
          </w:tcPr>
          <w:p w:rsidR="002D33AC" w:rsidRPr="00BC4C26" w:rsidRDefault="002D33AC" w:rsidP="001577F2">
            <w:pPr>
              <w:pStyle w:val="Tableautexte"/>
              <w:jc w:val="left"/>
              <w:rPr>
                <w:snapToGrid w:val="0"/>
                <w:color w:val="auto"/>
              </w:rPr>
            </w:pPr>
            <w:r w:rsidRPr="00BC4C26">
              <w:rPr>
                <w:snapToGrid w:val="0"/>
                <w:color w:val="auto"/>
              </w:rPr>
              <w:t>Total 1998</w:t>
            </w:r>
          </w:p>
        </w:tc>
        <w:tc>
          <w:tcPr>
            <w:tcW w:w="1843" w:type="dxa"/>
            <w:vAlign w:val="center"/>
          </w:tcPr>
          <w:p w:rsidR="002D33AC" w:rsidRPr="00BC4C26" w:rsidRDefault="002D33AC" w:rsidP="00FF6061">
            <w:pPr>
              <w:pStyle w:val="Tableautexte"/>
              <w:ind w:right="395"/>
              <w:jc w:val="right"/>
              <w:rPr>
                <w:b/>
                <w:bCs/>
                <w:i/>
                <w:iCs/>
                <w:snapToGrid w:val="0"/>
                <w:color w:val="auto"/>
              </w:rPr>
            </w:pPr>
            <w:r w:rsidRPr="00BC4C26">
              <w:rPr>
                <w:b/>
                <w:bCs/>
                <w:i/>
                <w:iCs/>
                <w:snapToGrid w:val="0"/>
                <w:color w:val="auto"/>
              </w:rPr>
              <w:t xml:space="preserve">19 208,58 </w:t>
            </w:r>
          </w:p>
        </w:tc>
      </w:tr>
    </w:tbl>
    <w:p w:rsidR="002D33AC" w:rsidRPr="00BC4C26" w:rsidRDefault="002D33AC" w:rsidP="00BC4C26">
      <w:pPr>
        <w:pStyle w:val="PS"/>
        <w:spacing w:after="0"/>
        <w:ind w:left="1418"/>
        <w:rPr>
          <w:rFonts w:ascii="Times New Roman" w:hAnsi="Times New Roman" w:cs="Times New Roman"/>
        </w:rPr>
      </w:pPr>
    </w:p>
    <w:p w:rsidR="002D33AC" w:rsidRPr="00BC4C26" w:rsidRDefault="002D33AC" w:rsidP="00BC4C26">
      <w:pPr>
        <w:pStyle w:val="PS"/>
        <w:spacing w:before="120" w:after="120"/>
        <w:ind w:left="1418"/>
        <w:rPr>
          <w:rFonts w:ascii="Times New Roman" w:hAnsi="Times New Roman" w:cs="Times New Roman"/>
        </w:rPr>
      </w:pPr>
      <w:r w:rsidRPr="00BC4C26">
        <w:rPr>
          <w:rFonts w:ascii="Times New Roman" w:hAnsi="Times New Roman" w:cs="Times New Roman"/>
        </w:rPr>
        <w:t>Attendu qu’il a été enjoint à Mme X, par arrêt susvisé du 13 mars 2006, de produire la preuve de ses diligences pour le recouvrement de ces créances et à défaut, du versement de la somme de 19 208,58 € ou toute autre justification à décharge ;</w:t>
      </w:r>
    </w:p>
    <w:p w:rsidR="002D33AC" w:rsidRPr="00BC4C26" w:rsidRDefault="002D33AC" w:rsidP="00BC4C26">
      <w:pPr>
        <w:pStyle w:val="PS"/>
        <w:spacing w:before="120" w:after="120"/>
        <w:ind w:left="1418"/>
        <w:rPr>
          <w:rFonts w:ascii="Times New Roman" w:hAnsi="Times New Roman" w:cs="Times New Roman"/>
        </w:rPr>
      </w:pPr>
      <w:r w:rsidRPr="00BC4C26">
        <w:rPr>
          <w:rFonts w:ascii="Times New Roman" w:hAnsi="Times New Roman" w:cs="Times New Roman"/>
        </w:rPr>
        <w:t>Attendu qu’en réponse, Mme X a indiqué qu’elle n’avait pas d’éléments nouveaux à porter à la connaissance de la Cour ;</w:t>
      </w:r>
    </w:p>
    <w:p w:rsidR="002D33AC" w:rsidRPr="00BC4C26" w:rsidRDefault="002D33AC" w:rsidP="00BC4C26">
      <w:pPr>
        <w:pStyle w:val="PS"/>
        <w:spacing w:before="120" w:after="120"/>
        <w:ind w:left="1418"/>
        <w:rPr>
          <w:rFonts w:ascii="Times New Roman" w:hAnsi="Times New Roman" w:cs="Times New Roman"/>
        </w:rPr>
      </w:pPr>
      <w:r w:rsidRPr="00BC4C26">
        <w:rPr>
          <w:rFonts w:ascii="Times New Roman" w:hAnsi="Times New Roman" w:cs="Times New Roman"/>
        </w:rPr>
        <w:t>Attendu que p</w:t>
      </w:r>
      <w:r>
        <w:rPr>
          <w:rFonts w:ascii="Times New Roman" w:hAnsi="Times New Roman" w:cs="Times New Roman"/>
        </w:rPr>
        <w:t xml:space="preserve">our ces deux titres émis </w:t>
      </w:r>
      <w:r w:rsidRPr="00BC4C26">
        <w:rPr>
          <w:rFonts w:ascii="Times New Roman" w:hAnsi="Times New Roman" w:cs="Times New Roman"/>
        </w:rPr>
        <w:t>en 1998 à l’encontre d’un service de l’Etat, le délai de prescription quadriennale résultant des dispositions de la loi du 31 décembre 1968 susvisée commençait à courir au 1</w:t>
      </w:r>
      <w:r w:rsidRPr="00BC4C26">
        <w:rPr>
          <w:rFonts w:ascii="Times New Roman" w:hAnsi="Times New Roman" w:cs="Times New Roman"/>
          <w:vertAlign w:val="superscript"/>
        </w:rPr>
        <w:t>er</w:t>
      </w:r>
      <w:r w:rsidRPr="00BC4C26">
        <w:rPr>
          <w:rFonts w:ascii="Times New Roman" w:hAnsi="Times New Roman" w:cs="Times New Roman"/>
        </w:rPr>
        <w:t xml:space="preserve"> janvier 1999 ; qu’aucune preuve de diligence en vue du recouvrement, susceptible d’interrompre la prescription, n’ayant été apportée, celle-ci est intervenue le 3 janvier 2003 ; qu’en conséquence, les créances en cause apparaissent manifestement irrécouvrables dès cette date ;</w:t>
      </w:r>
    </w:p>
    <w:p w:rsidR="002D33AC" w:rsidRPr="00BC4C26" w:rsidRDefault="002D33AC" w:rsidP="00BC4C26">
      <w:pPr>
        <w:pStyle w:val="PS"/>
        <w:keepNext/>
        <w:spacing w:before="120" w:after="120"/>
        <w:ind w:left="1418"/>
        <w:rPr>
          <w:rFonts w:ascii="Times New Roman" w:hAnsi="Times New Roman" w:cs="Times New Roman"/>
        </w:rPr>
      </w:pPr>
      <w:r w:rsidRPr="00BC4C26">
        <w:rPr>
          <w:rFonts w:ascii="Times New Roman" w:hAnsi="Times New Roman" w:cs="Times New Roman"/>
        </w:rPr>
        <w:t xml:space="preserve">Attendu que les réserves formulées par Mme X sur la gestion de son prédécesseur ne portent pas sur les créances en cause ; </w:t>
      </w:r>
    </w:p>
    <w:p w:rsidR="002D33AC" w:rsidRPr="00BC4C26" w:rsidRDefault="002D33AC" w:rsidP="00BC4C26">
      <w:pPr>
        <w:pStyle w:val="BodyText"/>
        <w:ind w:left="1418" w:firstLine="1134"/>
      </w:pPr>
      <w:r w:rsidRPr="00BC4C26">
        <w:t>Attendu que le comptable n’a pas accompli les diligences adéquates, complètes et rapides qui lui incombaient ; qu’aucun reversement n’a été effectué dans la caisse de l’université ; qu’en application de l’article 60-IV de la loi n° 63-156 susvisée du 23</w:t>
      </w:r>
      <w:r>
        <w:t> </w:t>
      </w:r>
      <w:r w:rsidRPr="00BC4C26">
        <w:t>février</w:t>
      </w:r>
      <w:r>
        <w:t> </w:t>
      </w:r>
      <w:r w:rsidRPr="00BC4C26">
        <w:t xml:space="preserve">2003, la responsabilité pécuniaire des comptables publics est susceptible de se trouver engagée dès lors qu’une recette n’a pas été recouvrée ; </w:t>
      </w:r>
    </w:p>
    <w:p w:rsidR="002D33AC" w:rsidRPr="00BC4C26" w:rsidRDefault="002D33AC" w:rsidP="0026205B">
      <w:pPr>
        <w:pStyle w:val="ps0"/>
        <w:spacing w:before="120" w:beforeAutospacing="0" w:after="120" w:afterAutospacing="0"/>
        <w:ind w:left="1418" w:firstLine="1134"/>
        <w:jc w:val="both"/>
      </w:pPr>
      <w:r w:rsidRPr="00BC4C26">
        <w:t>Attendu que l’arrêt du 13 mars 2006 notifié le 11 septembre 2006 constitue le premier acte de mise en jeu de la responsabilité personnelle et pécuniaire du comptable ; que, dès lors, les dispositions de l’article 60-VIII de la loi du 23 février 1963 relatives au point de départ des intérêts de débet s’appliquent dans leur rédaction antérieure à celle introduite par l’article 146 de la loi n° 2006-1771 du 30 décembre 2006 ; qu’en l’espèce le point de départ des intérêts de débet peut être fixé au 3 janvier 2003, date à laquelle le recouvrement apparaît définitivement compromis.</w:t>
      </w:r>
    </w:p>
    <w:p w:rsidR="002D33AC" w:rsidRPr="00BC4C26" w:rsidRDefault="002D33AC" w:rsidP="00BC4C26">
      <w:pPr>
        <w:pStyle w:val="ps0"/>
        <w:spacing w:before="120" w:beforeAutospacing="0" w:after="120" w:afterAutospacing="0"/>
        <w:ind w:left="1418" w:firstLine="1134"/>
        <w:jc w:val="both"/>
      </w:pPr>
      <w:r w:rsidRPr="00BC4C26">
        <w:t>- Mme X est constituée débitrice de l’Université de Paris X – Nanterre pour la somme de 19 208,58 €, augmentée des intérêts de droit à compter du 3</w:t>
      </w:r>
      <w:r>
        <w:t> </w:t>
      </w:r>
      <w:r w:rsidRPr="00BC4C26">
        <w:t>janvier 2003 ;</w:t>
      </w:r>
    </w:p>
    <w:p w:rsidR="002D33AC" w:rsidRPr="00BC4C26" w:rsidRDefault="002D33AC" w:rsidP="00BC4C26">
      <w:pPr>
        <w:pStyle w:val="PS"/>
        <w:spacing w:before="120" w:after="120"/>
        <w:ind w:left="1844" w:firstLine="708"/>
        <w:rPr>
          <w:rFonts w:ascii="Times New Roman" w:hAnsi="Times New Roman" w:cs="Times New Roman"/>
          <w:u w:val="single"/>
        </w:rPr>
      </w:pPr>
      <w:r w:rsidRPr="00BC4C26">
        <w:rPr>
          <w:rFonts w:ascii="Times New Roman" w:hAnsi="Times New Roman" w:cs="Times New Roman"/>
          <w:u w:val="single"/>
        </w:rPr>
        <w:t>Injonction n° 3 : divers titres de recette émis en 1999</w:t>
      </w:r>
    </w:p>
    <w:p w:rsidR="002D33AC" w:rsidRPr="00BC4C26" w:rsidRDefault="002D33AC" w:rsidP="00BC4C26">
      <w:pPr>
        <w:pStyle w:val="PS"/>
        <w:spacing w:before="120" w:after="120"/>
        <w:ind w:left="1418"/>
        <w:rPr>
          <w:rFonts w:ascii="Times New Roman" w:hAnsi="Times New Roman" w:cs="Times New Roman"/>
        </w:rPr>
      </w:pPr>
      <w:r w:rsidRPr="00BC4C26">
        <w:rPr>
          <w:rFonts w:ascii="Times New Roman" w:hAnsi="Times New Roman" w:cs="Times New Roman"/>
        </w:rPr>
        <w:t>Attendu que les trois titres suivants émis en 1999, pour des créances détenues sur des tiers publics, figuraient sur l’état des restes à recouvrer du compte 4631 au 31 décembre 2003 :</w:t>
      </w:r>
    </w:p>
    <w:tbl>
      <w:tblPr>
        <w:tblW w:w="85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tblPr>
      <w:tblGrid>
        <w:gridCol w:w="2126"/>
        <w:gridCol w:w="4678"/>
        <w:gridCol w:w="1701"/>
      </w:tblGrid>
      <w:tr w:rsidR="002D33AC" w:rsidRPr="00BC4C26" w:rsidTr="005D3B61">
        <w:trPr>
          <w:trHeight w:val="550"/>
          <w:tblHeader/>
          <w:jc w:val="center"/>
        </w:trPr>
        <w:tc>
          <w:tcPr>
            <w:tcW w:w="2126" w:type="dxa"/>
            <w:vAlign w:val="center"/>
          </w:tcPr>
          <w:p w:rsidR="002D33AC" w:rsidRPr="0026205B" w:rsidRDefault="002D33AC" w:rsidP="0026205B">
            <w:pPr>
              <w:pStyle w:val="Tableautexte"/>
              <w:ind w:left="113"/>
              <w:jc w:val="center"/>
              <w:rPr>
                <w:snapToGrid w:val="0"/>
                <w:color w:val="auto"/>
              </w:rPr>
            </w:pPr>
            <w:r w:rsidRPr="0026205B">
              <w:rPr>
                <w:snapToGrid w:val="0"/>
                <w:color w:val="auto"/>
              </w:rPr>
              <w:t>Tiers</w:t>
            </w:r>
          </w:p>
        </w:tc>
        <w:tc>
          <w:tcPr>
            <w:tcW w:w="4678" w:type="dxa"/>
            <w:vAlign w:val="center"/>
          </w:tcPr>
          <w:p w:rsidR="002D33AC" w:rsidRPr="0026205B" w:rsidRDefault="002D33AC" w:rsidP="0026205B">
            <w:pPr>
              <w:pStyle w:val="Tableautexte"/>
              <w:ind w:left="113"/>
              <w:jc w:val="center"/>
              <w:rPr>
                <w:snapToGrid w:val="0"/>
                <w:color w:val="auto"/>
              </w:rPr>
            </w:pPr>
            <w:r w:rsidRPr="0026205B">
              <w:rPr>
                <w:snapToGrid w:val="0"/>
                <w:color w:val="auto"/>
              </w:rPr>
              <w:t>Références du titre</w:t>
            </w:r>
          </w:p>
        </w:tc>
        <w:tc>
          <w:tcPr>
            <w:tcW w:w="1701" w:type="dxa"/>
            <w:vAlign w:val="center"/>
          </w:tcPr>
          <w:p w:rsidR="002D33AC" w:rsidRPr="0026205B" w:rsidRDefault="002D33AC" w:rsidP="0026205B">
            <w:pPr>
              <w:pStyle w:val="Tableautexte"/>
              <w:ind w:left="113"/>
              <w:jc w:val="center"/>
              <w:rPr>
                <w:snapToGrid w:val="0"/>
                <w:color w:val="auto"/>
              </w:rPr>
            </w:pPr>
            <w:r w:rsidRPr="0026205B">
              <w:rPr>
                <w:snapToGrid w:val="0"/>
                <w:color w:val="auto"/>
              </w:rPr>
              <w:t>Montant en €</w:t>
            </w:r>
          </w:p>
        </w:tc>
      </w:tr>
      <w:tr w:rsidR="002D33AC" w:rsidRPr="00BC4C26" w:rsidTr="005D3B61">
        <w:trPr>
          <w:trHeight w:val="150"/>
          <w:tblHeader/>
          <w:jc w:val="center"/>
        </w:trPr>
        <w:tc>
          <w:tcPr>
            <w:tcW w:w="2126" w:type="dxa"/>
            <w:vAlign w:val="center"/>
          </w:tcPr>
          <w:p w:rsidR="002D33AC" w:rsidRPr="0026205B" w:rsidRDefault="002D33AC" w:rsidP="001577F2">
            <w:pPr>
              <w:pStyle w:val="Tableautexte"/>
              <w:ind w:left="112"/>
              <w:jc w:val="left"/>
              <w:rPr>
                <w:snapToGrid w:val="0"/>
                <w:color w:val="auto"/>
              </w:rPr>
            </w:pPr>
            <w:r w:rsidRPr="0026205B">
              <w:rPr>
                <w:snapToGrid w:val="0"/>
                <w:color w:val="auto"/>
              </w:rPr>
              <w:t>Centre Laboratoire d'étude pour l'emploi</w:t>
            </w:r>
          </w:p>
        </w:tc>
        <w:tc>
          <w:tcPr>
            <w:tcW w:w="4678" w:type="dxa"/>
            <w:vAlign w:val="center"/>
          </w:tcPr>
          <w:p w:rsidR="002D33AC" w:rsidRPr="0026205B" w:rsidRDefault="002D33AC" w:rsidP="001577F2">
            <w:pPr>
              <w:pStyle w:val="Tableautexte"/>
              <w:ind w:left="112"/>
              <w:jc w:val="left"/>
              <w:rPr>
                <w:snapToGrid w:val="0"/>
                <w:color w:val="auto"/>
              </w:rPr>
            </w:pPr>
            <w:r w:rsidRPr="0026205B">
              <w:rPr>
                <w:snapToGrid w:val="0"/>
                <w:color w:val="auto"/>
              </w:rPr>
              <w:t>BE 02 BE TR 7/907/99 centre labo et emploi m.Missoum</w:t>
            </w:r>
          </w:p>
        </w:tc>
        <w:tc>
          <w:tcPr>
            <w:tcW w:w="1701" w:type="dxa"/>
          </w:tcPr>
          <w:p w:rsidR="002D33AC" w:rsidRPr="0026205B" w:rsidRDefault="002D33AC" w:rsidP="001577F2">
            <w:pPr>
              <w:pStyle w:val="Tableautexte"/>
              <w:ind w:left="112"/>
              <w:jc w:val="center"/>
              <w:rPr>
                <w:snapToGrid w:val="0"/>
                <w:color w:val="auto"/>
              </w:rPr>
            </w:pPr>
            <w:r w:rsidRPr="0026205B">
              <w:rPr>
                <w:snapToGrid w:val="0"/>
                <w:color w:val="auto"/>
              </w:rPr>
              <w:t>8 124,58</w:t>
            </w:r>
          </w:p>
        </w:tc>
      </w:tr>
      <w:tr w:rsidR="002D33AC" w:rsidRPr="00BC4C26" w:rsidTr="005D3B61">
        <w:trPr>
          <w:trHeight w:val="150"/>
          <w:tblHeader/>
          <w:jc w:val="center"/>
        </w:trPr>
        <w:tc>
          <w:tcPr>
            <w:tcW w:w="2126" w:type="dxa"/>
            <w:vAlign w:val="center"/>
          </w:tcPr>
          <w:p w:rsidR="002D33AC" w:rsidRPr="0026205B" w:rsidRDefault="002D33AC" w:rsidP="001577F2">
            <w:pPr>
              <w:pStyle w:val="Tableautexte"/>
              <w:ind w:left="112"/>
              <w:jc w:val="left"/>
              <w:rPr>
                <w:snapToGrid w:val="0"/>
                <w:color w:val="auto"/>
              </w:rPr>
            </w:pPr>
            <w:r w:rsidRPr="0026205B">
              <w:rPr>
                <w:snapToGrid w:val="0"/>
                <w:color w:val="auto"/>
              </w:rPr>
              <w:t>Centre Laboratoire d'étude pour l'emploi</w:t>
            </w:r>
          </w:p>
        </w:tc>
        <w:tc>
          <w:tcPr>
            <w:tcW w:w="4678" w:type="dxa"/>
            <w:vAlign w:val="center"/>
          </w:tcPr>
          <w:p w:rsidR="002D33AC" w:rsidRPr="0026205B" w:rsidRDefault="002D33AC" w:rsidP="001577F2">
            <w:pPr>
              <w:pStyle w:val="Tableautexte"/>
              <w:ind w:left="112"/>
              <w:jc w:val="left"/>
              <w:rPr>
                <w:snapToGrid w:val="0"/>
                <w:color w:val="auto"/>
              </w:rPr>
            </w:pPr>
            <w:r w:rsidRPr="0026205B">
              <w:rPr>
                <w:snapToGrid w:val="0"/>
                <w:color w:val="auto"/>
              </w:rPr>
              <w:t>BE 02 BE 134/999/99 centre labo etu empl m Missoum</w:t>
            </w:r>
          </w:p>
        </w:tc>
        <w:tc>
          <w:tcPr>
            <w:tcW w:w="1701" w:type="dxa"/>
          </w:tcPr>
          <w:p w:rsidR="002D33AC" w:rsidRPr="0026205B" w:rsidRDefault="002D33AC" w:rsidP="001577F2">
            <w:pPr>
              <w:pStyle w:val="Tableautexte"/>
              <w:ind w:left="112"/>
              <w:jc w:val="center"/>
              <w:rPr>
                <w:snapToGrid w:val="0"/>
                <w:color w:val="auto"/>
              </w:rPr>
            </w:pPr>
            <w:r w:rsidRPr="0026205B">
              <w:rPr>
                <w:snapToGrid w:val="0"/>
                <w:color w:val="auto"/>
              </w:rPr>
              <w:t>17 271,52</w:t>
            </w:r>
          </w:p>
        </w:tc>
      </w:tr>
      <w:tr w:rsidR="002D33AC" w:rsidRPr="00BC4C26" w:rsidTr="005D3B61">
        <w:trPr>
          <w:trHeight w:val="150"/>
          <w:tblHeader/>
          <w:jc w:val="center"/>
        </w:trPr>
        <w:tc>
          <w:tcPr>
            <w:tcW w:w="2126" w:type="dxa"/>
            <w:vAlign w:val="center"/>
          </w:tcPr>
          <w:p w:rsidR="002D33AC" w:rsidRPr="0026205B" w:rsidRDefault="002D33AC" w:rsidP="001577F2">
            <w:pPr>
              <w:pStyle w:val="Tableautexte"/>
              <w:ind w:left="112"/>
              <w:jc w:val="left"/>
              <w:rPr>
                <w:snapToGrid w:val="0"/>
                <w:color w:val="auto"/>
                <w:lang w:val="en-GB"/>
              </w:rPr>
            </w:pPr>
            <w:r w:rsidRPr="0026205B">
              <w:rPr>
                <w:snapToGrid w:val="0"/>
                <w:color w:val="auto"/>
              </w:rPr>
              <w:t>Ministère coopération</w:t>
            </w:r>
          </w:p>
        </w:tc>
        <w:tc>
          <w:tcPr>
            <w:tcW w:w="4678" w:type="dxa"/>
            <w:vAlign w:val="center"/>
          </w:tcPr>
          <w:p w:rsidR="002D33AC" w:rsidRPr="0026205B" w:rsidRDefault="002D33AC" w:rsidP="001577F2">
            <w:pPr>
              <w:pStyle w:val="Tableautexte"/>
              <w:ind w:left="112"/>
              <w:jc w:val="left"/>
              <w:rPr>
                <w:snapToGrid w:val="0"/>
                <w:color w:val="auto"/>
                <w:lang w:val="en-GB"/>
              </w:rPr>
            </w:pPr>
            <w:r w:rsidRPr="0026205B">
              <w:rPr>
                <w:snapToGrid w:val="0"/>
                <w:color w:val="auto"/>
                <w:lang w:val="en-GB"/>
              </w:rPr>
              <w:t>BE 02 BE 160/942/99 min coop centr tr parten expo tlf</w:t>
            </w:r>
          </w:p>
        </w:tc>
        <w:tc>
          <w:tcPr>
            <w:tcW w:w="1701" w:type="dxa"/>
          </w:tcPr>
          <w:p w:rsidR="002D33AC" w:rsidRPr="0026205B" w:rsidRDefault="002D33AC" w:rsidP="001577F2">
            <w:pPr>
              <w:pStyle w:val="Tableautexte"/>
              <w:ind w:left="112"/>
              <w:jc w:val="center"/>
              <w:rPr>
                <w:snapToGrid w:val="0"/>
                <w:color w:val="auto"/>
              </w:rPr>
            </w:pPr>
            <w:r w:rsidRPr="0026205B">
              <w:rPr>
                <w:snapToGrid w:val="0"/>
                <w:color w:val="auto"/>
              </w:rPr>
              <w:t>22 867,35</w:t>
            </w:r>
          </w:p>
        </w:tc>
      </w:tr>
      <w:tr w:rsidR="002D33AC" w:rsidRPr="00BC4C26" w:rsidTr="005D3B61">
        <w:trPr>
          <w:trHeight w:val="150"/>
          <w:tblHeader/>
          <w:jc w:val="center"/>
        </w:trPr>
        <w:tc>
          <w:tcPr>
            <w:tcW w:w="2126" w:type="dxa"/>
            <w:vAlign w:val="center"/>
          </w:tcPr>
          <w:p w:rsidR="002D33AC" w:rsidRPr="0026205B" w:rsidRDefault="002D33AC" w:rsidP="001577F2">
            <w:pPr>
              <w:pStyle w:val="Tableautexte"/>
              <w:ind w:left="112"/>
              <w:jc w:val="left"/>
              <w:rPr>
                <w:b/>
                <w:bCs/>
                <w:i/>
                <w:iCs/>
                <w:snapToGrid w:val="0"/>
                <w:color w:val="auto"/>
                <w:lang w:val="en-GB"/>
              </w:rPr>
            </w:pPr>
            <w:r w:rsidRPr="0026205B">
              <w:rPr>
                <w:b/>
                <w:bCs/>
                <w:i/>
                <w:iCs/>
                <w:snapToGrid w:val="0"/>
                <w:color w:val="auto"/>
                <w:lang w:val="en-GB"/>
              </w:rPr>
              <w:t>Total</w:t>
            </w:r>
          </w:p>
        </w:tc>
        <w:tc>
          <w:tcPr>
            <w:tcW w:w="4678" w:type="dxa"/>
            <w:vAlign w:val="center"/>
          </w:tcPr>
          <w:p w:rsidR="002D33AC" w:rsidRPr="0026205B" w:rsidRDefault="002D33AC" w:rsidP="001577F2">
            <w:pPr>
              <w:pStyle w:val="Tableautexte"/>
              <w:ind w:left="112"/>
              <w:jc w:val="left"/>
              <w:rPr>
                <w:snapToGrid w:val="0"/>
                <w:color w:val="auto"/>
                <w:lang w:val="en-GB"/>
              </w:rPr>
            </w:pPr>
          </w:p>
        </w:tc>
        <w:tc>
          <w:tcPr>
            <w:tcW w:w="1701" w:type="dxa"/>
          </w:tcPr>
          <w:p w:rsidR="002D33AC" w:rsidRPr="0026205B" w:rsidRDefault="002D33AC" w:rsidP="001577F2">
            <w:pPr>
              <w:pStyle w:val="Tableautexte"/>
              <w:ind w:left="112"/>
              <w:jc w:val="center"/>
              <w:rPr>
                <w:b/>
                <w:bCs/>
                <w:i/>
                <w:iCs/>
                <w:snapToGrid w:val="0"/>
                <w:color w:val="auto"/>
              </w:rPr>
            </w:pPr>
            <w:r w:rsidRPr="0026205B">
              <w:rPr>
                <w:b/>
                <w:bCs/>
                <w:i/>
                <w:iCs/>
                <w:snapToGrid w:val="0"/>
                <w:color w:val="auto"/>
              </w:rPr>
              <w:t>48 263,45</w:t>
            </w:r>
          </w:p>
        </w:tc>
      </w:tr>
    </w:tbl>
    <w:p w:rsidR="002D33AC" w:rsidRPr="00BC4C26" w:rsidRDefault="002D33AC" w:rsidP="0026205B">
      <w:pPr>
        <w:pStyle w:val="PS"/>
        <w:spacing w:after="0"/>
        <w:ind w:left="1418"/>
        <w:rPr>
          <w:rFonts w:ascii="Times New Roman" w:hAnsi="Times New Roman" w:cs="Times New Roman"/>
        </w:rPr>
      </w:pPr>
    </w:p>
    <w:p w:rsidR="002D33AC" w:rsidRPr="00BC4C26" w:rsidRDefault="002D33AC" w:rsidP="00CB4328">
      <w:pPr>
        <w:pStyle w:val="PS"/>
        <w:spacing w:before="120" w:after="0"/>
        <w:ind w:left="1418"/>
        <w:rPr>
          <w:rFonts w:ascii="Times New Roman" w:hAnsi="Times New Roman" w:cs="Times New Roman"/>
        </w:rPr>
      </w:pPr>
      <w:r>
        <w:rPr>
          <w:rFonts w:ascii="Times New Roman" w:hAnsi="Times New Roman" w:cs="Times New Roman"/>
        </w:rPr>
        <w:br w:type="page"/>
      </w:r>
      <w:r w:rsidRPr="00BC4C26">
        <w:rPr>
          <w:rFonts w:ascii="Times New Roman" w:hAnsi="Times New Roman" w:cs="Times New Roman"/>
        </w:rPr>
        <w:t>Attendu que pour les deux premiers titres, la comptable a indiqué dans ses réponses :</w:t>
      </w:r>
      <w:r w:rsidRPr="00BC4C26">
        <w:rPr>
          <w:rFonts w:ascii="Times New Roman" w:hAnsi="Times New Roman" w:cs="Times New Roman"/>
          <w:i/>
          <w:iCs/>
        </w:rPr>
        <w:t xml:space="preserve"> « titres 7/907 et 134/999 de 1999 – CEREQ Bordeaux – convention Missoum : le CEREQ de Bordeaux a été dissous. Les recherches menées téléphoniquement n’ont pu donner aucune information sur la gestion dettes de cet établissement </w:t>
      </w:r>
      <w:r w:rsidRPr="00BC4C26">
        <w:rPr>
          <w:rFonts w:ascii="Times New Roman" w:hAnsi="Times New Roman" w:cs="Times New Roman"/>
        </w:rPr>
        <w:t>» ; qu’il ressort de la réponse que le « centre laboratoire études emploi » dont il est fait mention dans les références des titres concernés est lié au Centre d’études et de recherches sur les qualifications (CEREQ) ;</w:t>
      </w:r>
    </w:p>
    <w:p w:rsidR="002D33AC" w:rsidRPr="00BC4C26" w:rsidRDefault="002D33AC" w:rsidP="0026205B">
      <w:pPr>
        <w:pStyle w:val="PS"/>
        <w:spacing w:before="240" w:after="240"/>
        <w:ind w:left="1418"/>
        <w:rPr>
          <w:rFonts w:ascii="Times New Roman" w:hAnsi="Times New Roman" w:cs="Times New Roman"/>
        </w:rPr>
      </w:pPr>
      <w:r w:rsidRPr="00BC4C26">
        <w:rPr>
          <w:rFonts w:ascii="Times New Roman" w:hAnsi="Times New Roman" w:cs="Times New Roman"/>
        </w:rPr>
        <w:t xml:space="preserve">Attendu que les diligences accomplies en vue du recouvrement des créances n’apparaissent ni adéquates, ni complètes, ni rapides ; que </w:t>
      </w:r>
      <w:r>
        <w:rPr>
          <w:rFonts w:ascii="Times New Roman" w:hAnsi="Times New Roman" w:cs="Times New Roman"/>
        </w:rPr>
        <w:t>dans la mesure où</w:t>
      </w:r>
      <w:r w:rsidRPr="00BC4C26">
        <w:rPr>
          <w:rFonts w:ascii="Times New Roman" w:hAnsi="Times New Roman" w:cs="Times New Roman"/>
        </w:rPr>
        <w:t xml:space="preserve"> la créance concerne effectivement une unité dépendant du CEREQ, la prescription quadriennale découlant de la loi du 31 décembre 1968 précitée trouve à s’appliquer à compter du 3</w:t>
      </w:r>
      <w:r>
        <w:rPr>
          <w:rFonts w:ascii="Times New Roman" w:hAnsi="Times New Roman" w:cs="Times New Roman"/>
        </w:rPr>
        <w:t> </w:t>
      </w:r>
      <w:r w:rsidRPr="00BC4C26">
        <w:rPr>
          <w:rFonts w:ascii="Times New Roman" w:hAnsi="Times New Roman" w:cs="Times New Roman"/>
        </w:rPr>
        <w:t>janvier 2004, s’agissant de créances détenues sur un établissement public ; qu’en tout état de cause, en considération des éléments produits, les deux titres apparaissent manifestement irrécouvrables à la fin du dernier exercice sous jugement ;</w:t>
      </w:r>
    </w:p>
    <w:p w:rsidR="002D33AC" w:rsidRDefault="002D33AC" w:rsidP="0026205B">
      <w:pPr>
        <w:spacing w:before="240" w:after="240"/>
        <w:ind w:left="1418" w:firstLine="1134"/>
        <w:jc w:val="both"/>
        <w:rPr>
          <w:sz w:val="24"/>
          <w:szCs w:val="24"/>
        </w:rPr>
      </w:pPr>
      <w:r w:rsidRPr="00BC4C26">
        <w:rPr>
          <w:sz w:val="24"/>
          <w:szCs w:val="24"/>
        </w:rPr>
        <w:t>Attendu que pour le titre n°</w:t>
      </w:r>
      <w:r>
        <w:rPr>
          <w:sz w:val="24"/>
          <w:szCs w:val="24"/>
        </w:rPr>
        <w:t> </w:t>
      </w:r>
      <w:r w:rsidRPr="00BC4C26">
        <w:rPr>
          <w:sz w:val="24"/>
          <w:szCs w:val="24"/>
        </w:rPr>
        <w:t>160/942/99, l’agent comptable a indiqué</w:t>
      </w:r>
      <w:r>
        <w:rPr>
          <w:sz w:val="24"/>
          <w:szCs w:val="24"/>
        </w:rPr>
        <w:t xml:space="preserve"> que </w:t>
      </w:r>
      <w:r w:rsidRPr="00BC4C26">
        <w:rPr>
          <w:sz w:val="24"/>
          <w:szCs w:val="24"/>
        </w:rPr>
        <w:t> : « </w:t>
      </w:r>
      <w:r w:rsidRPr="00BC4C26">
        <w:rPr>
          <w:i/>
          <w:iCs/>
          <w:sz w:val="24"/>
          <w:szCs w:val="24"/>
        </w:rPr>
        <w:t xml:space="preserve">les archives du ministère de la coopération étant devenues inaccessibles après l’intégration de ce ministère aux affaires étrangères, nos contacts téléphoniques ne nous ont apporté aucun élément permettant de réactiver le recouvrement </w:t>
      </w:r>
      <w:r w:rsidRPr="00BC4C26">
        <w:rPr>
          <w:sz w:val="24"/>
          <w:szCs w:val="24"/>
        </w:rPr>
        <w:t>» ;</w:t>
      </w:r>
    </w:p>
    <w:p w:rsidR="002D33AC" w:rsidRPr="00BC4C26" w:rsidRDefault="002D33AC" w:rsidP="00A77927">
      <w:pPr>
        <w:pStyle w:val="PS"/>
        <w:keepNext/>
        <w:spacing w:before="240" w:after="240"/>
        <w:ind w:left="1418"/>
        <w:rPr>
          <w:rFonts w:ascii="Times New Roman" w:hAnsi="Times New Roman" w:cs="Times New Roman"/>
        </w:rPr>
      </w:pPr>
      <w:r w:rsidRPr="00BC4C26">
        <w:rPr>
          <w:rFonts w:ascii="Times New Roman" w:hAnsi="Times New Roman" w:cs="Times New Roman"/>
        </w:rPr>
        <w:t>Attendu que les réserves formulées par Mme X sur la gestion de son prédécesseur ne portent pas sur les trois créances en cause ; qu’aucune preuve de diligences en vue du recouvrement de cette créance, hormis les contacts téléphoniques susmentionnés, n’a été apportée à la Cour ; que ces diligences n’ont donc été ni rapides, ni adéquates, ni complètes ;</w:t>
      </w:r>
    </w:p>
    <w:p w:rsidR="002D33AC" w:rsidRPr="00BC4C26" w:rsidRDefault="002D33AC" w:rsidP="0026205B">
      <w:pPr>
        <w:pStyle w:val="PS"/>
        <w:spacing w:before="240" w:after="240"/>
        <w:ind w:left="1418" w:firstLine="992"/>
        <w:rPr>
          <w:rFonts w:ascii="Times New Roman" w:hAnsi="Times New Roman" w:cs="Times New Roman"/>
        </w:rPr>
      </w:pPr>
      <w:r w:rsidRPr="00BC4C26">
        <w:rPr>
          <w:rFonts w:ascii="Times New Roman" w:hAnsi="Times New Roman" w:cs="Times New Roman"/>
        </w:rPr>
        <w:t>Attendu que la prescription de cette créance sur l’Etat est intervenue, par application des dispositions de la loi du 31 décembre 1968 précitée, le 3 janvier 2004 ; que toutefois, eu égard aux éléments produits, le titre apparaît manifestement irrécouvrable à la fin du dernier exercice sous jugement ;</w:t>
      </w:r>
    </w:p>
    <w:p w:rsidR="002D33AC" w:rsidRPr="00BC4C26" w:rsidRDefault="002D33AC" w:rsidP="00A77927">
      <w:pPr>
        <w:pStyle w:val="BodyText"/>
        <w:spacing w:before="240" w:after="240"/>
        <w:ind w:left="1418" w:firstLine="1134"/>
      </w:pPr>
      <w:r w:rsidRPr="00BC4C26">
        <w:t xml:space="preserve">Attendu qu’aucun reversement n’a été effectué dans la caisse de l’université ; qu’en application de l’article 60-IV de la loi n° 63-156 susvisée du 23 février 2003, la responsabilité pécuniaire des comptables publics est susceptible de se trouver engagée dès lors qu’une recette n’a pas été recouvrée ; </w:t>
      </w:r>
    </w:p>
    <w:p w:rsidR="002D33AC" w:rsidRPr="00BC4C26" w:rsidRDefault="002D33AC" w:rsidP="00A77927">
      <w:pPr>
        <w:pStyle w:val="ps0"/>
        <w:spacing w:before="240" w:beforeAutospacing="0" w:after="240" w:afterAutospacing="0"/>
        <w:ind w:left="1418" w:firstLine="1134"/>
        <w:jc w:val="both"/>
      </w:pPr>
      <w:r w:rsidRPr="00BC4C26">
        <w:t>Attendu que l’arrêt du 13 mars 2006 notifié le 11 septembre 2006 constitue le premier acte de mise en jeu de la responsabilité personnelle et pécuniaire du comptable ; que, dès lors, les dispositions de l’article 60-VIII de la loi du 23 février 1963 relatives au point de départ des intérêts de débet s’appliquent dans leur rédaction antérieure à celle introduite par l’article 146 de la loi n° 2006-1771 du 30 décembre 2006 ; qu’en l’espèce le point de départ des intérêts de débet peut être fixé à la fin du dernier exercice sous jugement, soit le 31 décembre 2003 ;</w:t>
      </w:r>
    </w:p>
    <w:p w:rsidR="002D33AC" w:rsidRPr="00BC4C26" w:rsidRDefault="002D33AC" w:rsidP="0026205B">
      <w:pPr>
        <w:pStyle w:val="ps0"/>
        <w:spacing w:before="240" w:beforeAutospacing="0" w:after="240" w:afterAutospacing="0"/>
        <w:ind w:left="1418" w:firstLine="1134"/>
        <w:jc w:val="both"/>
      </w:pPr>
      <w:r w:rsidRPr="00BC4C26">
        <w:t>- Mme X est constituée débitrice de l’Université de Paris X – Nanterre pour la somme de 48 263,45 €, augmentée des intérêts de droit à compter du 31</w:t>
      </w:r>
      <w:r>
        <w:t> </w:t>
      </w:r>
      <w:r w:rsidRPr="00BC4C26">
        <w:t>décembre</w:t>
      </w:r>
      <w:r>
        <w:t> </w:t>
      </w:r>
      <w:r w:rsidRPr="00BC4C26">
        <w:t>2003.</w:t>
      </w:r>
    </w:p>
    <w:p w:rsidR="002D33AC" w:rsidRDefault="002D33AC" w:rsidP="0026205B">
      <w:pPr>
        <w:pStyle w:val="PS"/>
        <w:spacing w:before="240" w:after="240"/>
        <w:ind w:firstLine="0"/>
        <w:jc w:val="center"/>
        <w:rPr>
          <w:rFonts w:ascii="Times New Roman" w:hAnsi="Times New Roman" w:cs="Times New Roman"/>
        </w:rPr>
      </w:pPr>
      <w:r w:rsidRPr="00BC4C26">
        <w:rPr>
          <w:rFonts w:ascii="Times New Roman" w:hAnsi="Times New Roman" w:cs="Times New Roman"/>
        </w:rPr>
        <w:t>----------</w:t>
      </w:r>
    </w:p>
    <w:p w:rsidR="002D33AC" w:rsidRDefault="002D33AC" w:rsidP="0026205B">
      <w:pPr>
        <w:pStyle w:val="PS"/>
        <w:spacing w:before="240" w:after="240"/>
        <w:rPr>
          <w:rFonts w:ascii="Times New Roman" w:hAnsi="Times New Roman" w:cs="Times New Roman"/>
        </w:rPr>
      </w:pPr>
      <w:r w:rsidRPr="00BC4C26">
        <w:rPr>
          <w:rFonts w:ascii="Times New Roman" w:hAnsi="Times New Roman" w:cs="Times New Roman"/>
        </w:rPr>
        <w:t xml:space="preserve">Fait et jugé en la Cour des comptes, troisième chambre, </w:t>
      </w:r>
      <w:r>
        <w:rPr>
          <w:rFonts w:ascii="Times New Roman" w:hAnsi="Times New Roman" w:cs="Times New Roman"/>
        </w:rPr>
        <w:t xml:space="preserve">quatrième section, </w:t>
      </w:r>
      <w:r w:rsidRPr="00BC4C26">
        <w:rPr>
          <w:rFonts w:ascii="Times New Roman" w:hAnsi="Times New Roman" w:cs="Times New Roman"/>
        </w:rPr>
        <w:t>le treize novembre deux mil sept. Présents : Mme Colom</w:t>
      </w:r>
      <w:r>
        <w:rPr>
          <w:rFonts w:ascii="Times New Roman" w:hAnsi="Times New Roman" w:cs="Times New Roman"/>
        </w:rPr>
        <w:t>é</w:t>
      </w:r>
      <w:r w:rsidRPr="00BC4C26">
        <w:rPr>
          <w:rFonts w:ascii="Times New Roman" w:hAnsi="Times New Roman" w:cs="Times New Roman"/>
        </w:rPr>
        <w:t>, présidente</w:t>
      </w:r>
      <w:r>
        <w:rPr>
          <w:rFonts w:ascii="Times New Roman" w:hAnsi="Times New Roman" w:cs="Times New Roman"/>
        </w:rPr>
        <w:t xml:space="preserve"> de la section</w:t>
      </w:r>
      <w:r w:rsidRPr="00BC4C26">
        <w:rPr>
          <w:rFonts w:ascii="Times New Roman" w:hAnsi="Times New Roman" w:cs="Times New Roman"/>
        </w:rPr>
        <w:t>, MM.</w:t>
      </w:r>
      <w:r>
        <w:rPr>
          <w:rFonts w:ascii="Times New Roman" w:hAnsi="Times New Roman" w:cs="Times New Roman"/>
        </w:rPr>
        <w:t> </w:t>
      </w:r>
      <w:r w:rsidRPr="00BC4C26">
        <w:rPr>
          <w:rFonts w:ascii="Times New Roman" w:hAnsi="Times New Roman" w:cs="Times New Roman"/>
        </w:rPr>
        <w:t>Mayaud</w:t>
      </w:r>
      <w:r>
        <w:rPr>
          <w:rFonts w:ascii="Times New Roman" w:hAnsi="Times New Roman" w:cs="Times New Roman"/>
        </w:rPr>
        <w:t>,</w:t>
      </w:r>
      <w:r w:rsidRPr="00BC4C26">
        <w:rPr>
          <w:rFonts w:ascii="Times New Roman" w:hAnsi="Times New Roman" w:cs="Times New Roman"/>
        </w:rPr>
        <w:t xml:space="preserve"> Sabbe </w:t>
      </w:r>
      <w:r>
        <w:rPr>
          <w:rFonts w:ascii="Times New Roman" w:hAnsi="Times New Roman" w:cs="Times New Roman"/>
        </w:rPr>
        <w:t xml:space="preserve">et Korb, </w:t>
      </w:r>
      <w:r w:rsidRPr="00BC4C26">
        <w:rPr>
          <w:rFonts w:ascii="Times New Roman" w:hAnsi="Times New Roman" w:cs="Times New Roman"/>
        </w:rPr>
        <w:t xml:space="preserve">conseillers maîtres. </w:t>
      </w:r>
    </w:p>
    <w:p w:rsidR="002D33AC" w:rsidRDefault="002D33AC" w:rsidP="0026205B">
      <w:pPr>
        <w:pStyle w:val="PS"/>
        <w:spacing w:before="240" w:after="240"/>
        <w:rPr>
          <w:rFonts w:ascii="Times New Roman" w:hAnsi="Times New Roman" w:cs="Times New Roman"/>
        </w:rPr>
      </w:pPr>
      <w:r>
        <w:rPr>
          <w:rFonts w:ascii="Times New Roman" w:hAnsi="Times New Roman" w:cs="Times New Roman"/>
        </w:rPr>
        <w:t>Signé : Colomé, présidente de section, et Brulé, greffière.</w:t>
      </w:r>
    </w:p>
    <w:p w:rsidR="002D33AC" w:rsidRPr="00BC4C26" w:rsidRDefault="002D33AC" w:rsidP="001577F2">
      <w:pPr>
        <w:pStyle w:val="PS"/>
        <w:spacing w:before="240" w:after="240"/>
        <w:rPr>
          <w:rFonts w:ascii="Times New Roman" w:hAnsi="Times New Roman" w:cs="Times New Roman"/>
        </w:rPr>
      </w:pPr>
      <w:r w:rsidRPr="00BC4C26">
        <w:rPr>
          <w:rFonts w:ascii="Times New Roman" w:hAnsi="Times New Roman" w:cs="Times New Roman"/>
        </w:rPr>
        <w:t>Collationné, certifié conforme à la minute étant au greffe de la Cour des comptes.</w:t>
      </w:r>
    </w:p>
    <w:p w:rsidR="002D33AC" w:rsidRDefault="002D33AC" w:rsidP="0026205B">
      <w:pPr>
        <w:pStyle w:val="PS"/>
        <w:spacing w:before="240" w:after="240"/>
        <w:rPr>
          <w:rFonts w:ascii="Times New Roman" w:hAnsi="Times New Roman" w:cs="Times New Roman"/>
        </w:rPr>
      </w:pPr>
      <w:r w:rsidRPr="00BC4C26">
        <w:rPr>
          <w:rFonts w:ascii="Times New Roman" w:hAnsi="Times New Roman" w:cs="Times New Roman"/>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2D33AC" w:rsidRPr="00BC4C26" w:rsidRDefault="002D33AC" w:rsidP="0026205B">
      <w:pPr>
        <w:pStyle w:val="PS"/>
        <w:spacing w:before="240" w:after="240"/>
        <w:rPr>
          <w:rFonts w:ascii="Times New Roman" w:hAnsi="Times New Roman" w:cs="Times New Roman"/>
        </w:rPr>
      </w:pPr>
      <w:r>
        <w:rPr>
          <w:rFonts w:ascii="Times New Roman" w:hAnsi="Times New Roman" w:cs="Times New Roman"/>
        </w:rPr>
        <w:t>D</w:t>
      </w:r>
      <w:r w:rsidRPr="00BC4C26">
        <w:rPr>
          <w:rFonts w:ascii="Times New Roman" w:hAnsi="Times New Roman" w:cs="Times New Roman"/>
        </w:rPr>
        <w:t>élivré par moi, secrétaire général</w:t>
      </w:r>
      <w:r>
        <w:rPr>
          <w:rFonts w:ascii="Times New Roman" w:hAnsi="Times New Roman" w:cs="Times New Roman"/>
        </w:rPr>
        <w:t>e.</w:t>
      </w:r>
    </w:p>
    <w:sectPr w:rsidR="002D33AC" w:rsidRPr="00BC4C26" w:rsidSect="00246DCE">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3AC" w:rsidRDefault="002D33AC">
      <w:r>
        <w:separator/>
      </w:r>
    </w:p>
  </w:endnote>
  <w:endnote w:type="continuationSeparator" w:id="1">
    <w:p w:rsidR="002D33AC" w:rsidRDefault="002D33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3AC" w:rsidRDefault="002D33AC">
      <w:r>
        <w:separator/>
      </w:r>
    </w:p>
  </w:footnote>
  <w:footnote w:type="continuationSeparator" w:id="1">
    <w:p w:rsidR="002D33AC" w:rsidRDefault="002D3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3AC" w:rsidRDefault="002D33AC">
    <w:pPr>
      <w:pStyle w:val="Heade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2</w:t>
    </w:r>
    <w:r>
      <w:rP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51C98"/>
    <w:multiLevelType w:val="hybridMultilevel"/>
    <w:tmpl w:val="BCCC7A8C"/>
    <w:lvl w:ilvl="0" w:tplc="81368196">
      <w:numFmt w:val="bullet"/>
      <w:lvlText w:val="-"/>
      <w:lvlJc w:val="left"/>
      <w:pPr>
        <w:tabs>
          <w:tab w:val="num" w:pos="2912"/>
        </w:tabs>
        <w:ind w:left="2912" w:hanging="360"/>
      </w:pPr>
      <w:rPr>
        <w:rFonts w:ascii="Times New Roman" w:eastAsia="Times New Roman" w:hAnsi="Times New Roman" w:hint="default"/>
      </w:rPr>
    </w:lvl>
    <w:lvl w:ilvl="1" w:tplc="040C0003">
      <w:start w:val="1"/>
      <w:numFmt w:val="bullet"/>
      <w:lvlText w:val="o"/>
      <w:lvlJc w:val="left"/>
      <w:pPr>
        <w:tabs>
          <w:tab w:val="num" w:pos="3632"/>
        </w:tabs>
        <w:ind w:left="3632" w:hanging="360"/>
      </w:pPr>
      <w:rPr>
        <w:rFonts w:ascii="Courier New" w:hAnsi="Courier New" w:cs="Courier New" w:hint="default"/>
      </w:rPr>
    </w:lvl>
    <w:lvl w:ilvl="2" w:tplc="040C0005">
      <w:start w:val="1"/>
      <w:numFmt w:val="bullet"/>
      <w:lvlText w:val=""/>
      <w:lvlJc w:val="left"/>
      <w:pPr>
        <w:tabs>
          <w:tab w:val="num" w:pos="4352"/>
        </w:tabs>
        <w:ind w:left="4352" w:hanging="360"/>
      </w:pPr>
      <w:rPr>
        <w:rFonts w:ascii="Wingdings" w:hAnsi="Wingdings" w:cs="Wingdings" w:hint="default"/>
      </w:rPr>
    </w:lvl>
    <w:lvl w:ilvl="3" w:tplc="040C0001">
      <w:start w:val="1"/>
      <w:numFmt w:val="bullet"/>
      <w:lvlText w:val=""/>
      <w:lvlJc w:val="left"/>
      <w:pPr>
        <w:tabs>
          <w:tab w:val="num" w:pos="5072"/>
        </w:tabs>
        <w:ind w:left="5072" w:hanging="360"/>
      </w:pPr>
      <w:rPr>
        <w:rFonts w:ascii="Symbol" w:hAnsi="Symbol" w:cs="Symbol" w:hint="default"/>
      </w:rPr>
    </w:lvl>
    <w:lvl w:ilvl="4" w:tplc="040C0003">
      <w:start w:val="1"/>
      <w:numFmt w:val="bullet"/>
      <w:lvlText w:val="o"/>
      <w:lvlJc w:val="left"/>
      <w:pPr>
        <w:tabs>
          <w:tab w:val="num" w:pos="5792"/>
        </w:tabs>
        <w:ind w:left="5792" w:hanging="360"/>
      </w:pPr>
      <w:rPr>
        <w:rFonts w:ascii="Courier New" w:hAnsi="Courier New" w:cs="Courier New" w:hint="default"/>
      </w:rPr>
    </w:lvl>
    <w:lvl w:ilvl="5" w:tplc="040C0005">
      <w:start w:val="1"/>
      <w:numFmt w:val="bullet"/>
      <w:lvlText w:val=""/>
      <w:lvlJc w:val="left"/>
      <w:pPr>
        <w:tabs>
          <w:tab w:val="num" w:pos="6512"/>
        </w:tabs>
        <w:ind w:left="6512" w:hanging="360"/>
      </w:pPr>
      <w:rPr>
        <w:rFonts w:ascii="Wingdings" w:hAnsi="Wingdings" w:cs="Wingdings" w:hint="default"/>
      </w:rPr>
    </w:lvl>
    <w:lvl w:ilvl="6" w:tplc="040C0001">
      <w:start w:val="1"/>
      <w:numFmt w:val="bullet"/>
      <w:lvlText w:val=""/>
      <w:lvlJc w:val="left"/>
      <w:pPr>
        <w:tabs>
          <w:tab w:val="num" w:pos="7232"/>
        </w:tabs>
        <w:ind w:left="7232" w:hanging="360"/>
      </w:pPr>
      <w:rPr>
        <w:rFonts w:ascii="Symbol" w:hAnsi="Symbol" w:cs="Symbol" w:hint="default"/>
      </w:rPr>
    </w:lvl>
    <w:lvl w:ilvl="7" w:tplc="040C0003">
      <w:start w:val="1"/>
      <w:numFmt w:val="bullet"/>
      <w:lvlText w:val="o"/>
      <w:lvlJc w:val="left"/>
      <w:pPr>
        <w:tabs>
          <w:tab w:val="num" w:pos="7952"/>
        </w:tabs>
        <w:ind w:left="7952" w:hanging="360"/>
      </w:pPr>
      <w:rPr>
        <w:rFonts w:ascii="Courier New" w:hAnsi="Courier New" w:cs="Courier New" w:hint="default"/>
      </w:rPr>
    </w:lvl>
    <w:lvl w:ilvl="8" w:tplc="040C0005">
      <w:start w:val="1"/>
      <w:numFmt w:val="bullet"/>
      <w:lvlText w:val=""/>
      <w:lvlJc w:val="left"/>
      <w:pPr>
        <w:tabs>
          <w:tab w:val="num" w:pos="8672"/>
        </w:tabs>
        <w:ind w:left="8672"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1577F2"/>
    <w:rsid w:val="001D411A"/>
    <w:rsid w:val="001E292E"/>
    <w:rsid w:val="00246DCE"/>
    <w:rsid w:val="0026205B"/>
    <w:rsid w:val="002D33AC"/>
    <w:rsid w:val="00557124"/>
    <w:rsid w:val="005D3B61"/>
    <w:rsid w:val="005E2B92"/>
    <w:rsid w:val="00621562"/>
    <w:rsid w:val="00644738"/>
    <w:rsid w:val="006F4DA4"/>
    <w:rsid w:val="007447C3"/>
    <w:rsid w:val="0080173E"/>
    <w:rsid w:val="00815F52"/>
    <w:rsid w:val="008B5CCE"/>
    <w:rsid w:val="0096385B"/>
    <w:rsid w:val="009C5461"/>
    <w:rsid w:val="00A65FCD"/>
    <w:rsid w:val="00A77927"/>
    <w:rsid w:val="00AF6BCA"/>
    <w:rsid w:val="00B02469"/>
    <w:rsid w:val="00B13212"/>
    <w:rsid w:val="00BB3429"/>
    <w:rsid w:val="00BB49AB"/>
    <w:rsid w:val="00BC4C26"/>
    <w:rsid w:val="00CB4328"/>
    <w:rsid w:val="00D05A87"/>
    <w:rsid w:val="00D54C38"/>
    <w:rsid w:val="00D7301D"/>
    <w:rsid w:val="00D8090D"/>
    <w:rsid w:val="00E121E9"/>
    <w:rsid w:val="00E409ED"/>
    <w:rsid w:val="00E40B79"/>
    <w:rsid w:val="00E645FC"/>
    <w:rsid w:val="00F00E01"/>
    <w:rsid w:val="00FE66EF"/>
    <w:rsid w:val="00FF606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BCA"/>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BCA"/>
    <w:pPr>
      <w:tabs>
        <w:tab w:val="center" w:pos="4536"/>
        <w:tab w:val="right" w:pos="9072"/>
      </w:tabs>
    </w:pPr>
  </w:style>
  <w:style w:type="character" w:customStyle="1" w:styleId="FooterChar">
    <w:name w:val="Footer Char"/>
    <w:basedOn w:val="DefaultParagraphFont"/>
    <w:link w:val="Footer"/>
    <w:uiPriority w:val="99"/>
    <w:semiHidden/>
    <w:locked/>
    <w:rsid w:val="00644738"/>
    <w:rPr>
      <w:sz w:val="20"/>
      <w:szCs w:val="20"/>
    </w:rPr>
  </w:style>
  <w:style w:type="paragraph" w:styleId="Header">
    <w:name w:val="header"/>
    <w:basedOn w:val="Normal"/>
    <w:link w:val="HeaderChar"/>
    <w:uiPriority w:val="99"/>
    <w:rsid w:val="00AF6BCA"/>
    <w:pPr>
      <w:tabs>
        <w:tab w:val="center" w:pos="4819"/>
        <w:tab w:val="right" w:pos="9071"/>
      </w:tabs>
    </w:pPr>
  </w:style>
  <w:style w:type="character" w:customStyle="1" w:styleId="HeaderChar">
    <w:name w:val="Header Char"/>
    <w:basedOn w:val="DefaultParagraphFont"/>
    <w:link w:val="Header"/>
    <w:uiPriority w:val="99"/>
    <w:semiHidden/>
    <w:locked/>
    <w:rsid w:val="00644738"/>
    <w:rPr>
      <w:sz w:val="20"/>
      <w:szCs w:val="20"/>
    </w:rPr>
  </w:style>
  <w:style w:type="paragraph" w:customStyle="1" w:styleId="ET">
    <w:name w:val="ET"/>
    <w:basedOn w:val="Normal"/>
    <w:uiPriority w:val="99"/>
    <w:rsid w:val="00AF6BCA"/>
    <w:rPr>
      <w:rFonts w:ascii="CG Times (WN)" w:hAnsi="CG Times (WN)" w:cs="CG Times (WN)"/>
      <w:b/>
      <w:bCs/>
      <w:caps/>
      <w:sz w:val="24"/>
      <w:szCs w:val="24"/>
    </w:rPr>
  </w:style>
  <w:style w:type="paragraph" w:customStyle="1" w:styleId="OR">
    <w:name w:val="OR"/>
    <w:basedOn w:val="ET"/>
    <w:uiPriority w:val="99"/>
    <w:rsid w:val="00AF6BCA"/>
    <w:pPr>
      <w:ind w:left="5670"/>
    </w:pPr>
    <w:rPr>
      <w:b w:val="0"/>
      <w:bCs w:val="0"/>
      <w:caps w:val="0"/>
    </w:rPr>
  </w:style>
  <w:style w:type="paragraph" w:customStyle="1" w:styleId="TI">
    <w:name w:val="TI"/>
    <w:basedOn w:val="OR"/>
    <w:uiPriority w:val="99"/>
    <w:rsid w:val="00AF6BCA"/>
    <w:pPr>
      <w:ind w:left="1701"/>
      <w:jc w:val="center"/>
    </w:pPr>
    <w:rPr>
      <w:caps/>
      <w:u w:val="single"/>
    </w:rPr>
  </w:style>
  <w:style w:type="paragraph" w:customStyle="1" w:styleId="P0">
    <w:name w:val="P0"/>
    <w:basedOn w:val="ET"/>
    <w:uiPriority w:val="99"/>
    <w:rsid w:val="00AF6BCA"/>
    <w:pPr>
      <w:ind w:left="1701"/>
      <w:jc w:val="both"/>
    </w:pPr>
    <w:rPr>
      <w:b w:val="0"/>
      <w:bCs w:val="0"/>
      <w:caps w:val="0"/>
    </w:rPr>
  </w:style>
  <w:style w:type="paragraph" w:customStyle="1" w:styleId="EL">
    <w:name w:val="EL"/>
    <w:basedOn w:val="P0"/>
    <w:uiPriority w:val="99"/>
    <w:rsid w:val="00AF6BCA"/>
    <w:pPr>
      <w:spacing w:after="240"/>
      <w:ind w:firstLine="1418"/>
    </w:pPr>
  </w:style>
  <w:style w:type="paragraph" w:customStyle="1" w:styleId="IN">
    <w:name w:val="IN"/>
    <w:basedOn w:val="P0"/>
    <w:uiPriority w:val="99"/>
    <w:rsid w:val="00AF6BCA"/>
    <w:pPr>
      <w:ind w:left="0"/>
      <w:jc w:val="left"/>
    </w:pPr>
    <w:rPr>
      <w:i/>
      <w:iCs/>
      <w:sz w:val="16"/>
      <w:szCs w:val="16"/>
    </w:rPr>
  </w:style>
  <w:style w:type="paragraph" w:customStyle="1" w:styleId="RE">
    <w:name w:val="RE"/>
    <w:basedOn w:val="P0"/>
    <w:uiPriority w:val="99"/>
    <w:rsid w:val="00AF6BCA"/>
    <w:pPr>
      <w:ind w:left="0"/>
    </w:pPr>
  </w:style>
  <w:style w:type="paragraph" w:customStyle="1" w:styleId="PE">
    <w:name w:val="PE"/>
    <w:basedOn w:val="IN"/>
    <w:uiPriority w:val="99"/>
    <w:rsid w:val="00AF6BCA"/>
    <w:pPr>
      <w:keepNext/>
      <w:ind w:left="1701"/>
      <w:jc w:val="both"/>
    </w:pPr>
    <w:rPr>
      <w:i w:val="0"/>
      <w:iCs w:val="0"/>
      <w:sz w:val="24"/>
      <w:szCs w:val="24"/>
    </w:rPr>
  </w:style>
  <w:style w:type="paragraph" w:customStyle="1" w:styleId="PC">
    <w:name w:val="PC"/>
    <w:basedOn w:val="IN"/>
    <w:uiPriority w:val="99"/>
    <w:rsid w:val="00AF6BCA"/>
    <w:pPr>
      <w:spacing w:after="480"/>
      <w:ind w:left="2268" w:firstLine="1134"/>
      <w:jc w:val="both"/>
    </w:pPr>
    <w:rPr>
      <w:i w:val="0"/>
      <w:iCs w:val="0"/>
      <w:sz w:val="24"/>
      <w:szCs w:val="24"/>
    </w:rPr>
  </w:style>
  <w:style w:type="paragraph" w:customStyle="1" w:styleId="PS">
    <w:name w:val="PS"/>
    <w:basedOn w:val="IN"/>
    <w:uiPriority w:val="99"/>
    <w:rsid w:val="00AF6BCA"/>
    <w:pPr>
      <w:spacing w:after="480"/>
      <w:ind w:left="1701" w:firstLine="1134"/>
      <w:jc w:val="both"/>
    </w:pPr>
    <w:rPr>
      <w:i w:val="0"/>
      <w:iCs w:val="0"/>
      <w:sz w:val="24"/>
      <w:szCs w:val="24"/>
    </w:rPr>
  </w:style>
  <w:style w:type="paragraph" w:customStyle="1" w:styleId="AR">
    <w:name w:val="AR"/>
    <w:basedOn w:val="IN"/>
    <w:uiPriority w:val="99"/>
    <w:rsid w:val="00AF6BCA"/>
    <w:pPr>
      <w:spacing w:before="720" w:after="720"/>
      <w:ind w:left="5103"/>
    </w:pPr>
    <w:rPr>
      <w:i w:val="0"/>
      <w:iCs w:val="0"/>
      <w:caps/>
      <w:sz w:val="24"/>
      <w:szCs w:val="24"/>
      <w:u w:val="single"/>
    </w:rPr>
  </w:style>
  <w:style w:type="paragraph" w:styleId="BodyText">
    <w:name w:val="Body Text"/>
    <w:basedOn w:val="Normal"/>
    <w:link w:val="BodyTextChar"/>
    <w:uiPriority w:val="99"/>
    <w:rsid w:val="00CB4328"/>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644738"/>
    <w:rPr>
      <w:sz w:val="20"/>
      <w:szCs w:val="20"/>
    </w:rPr>
  </w:style>
  <w:style w:type="paragraph" w:customStyle="1" w:styleId="Tableautexte">
    <w:name w:val="Tableau texte"/>
    <w:basedOn w:val="Normal"/>
    <w:uiPriority w:val="99"/>
    <w:rsid w:val="00CB4328"/>
    <w:pPr>
      <w:widowControl w:val="0"/>
      <w:ind w:left="57" w:right="57"/>
      <w:jc w:val="both"/>
    </w:pPr>
    <w:rPr>
      <w:color w:val="000000"/>
    </w:rPr>
  </w:style>
  <w:style w:type="paragraph" w:customStyle="1" w:styleId="ps0">
    <w:name w:val="ps"/>
    <w:basedOn w:val="Normal"/>
    <w:uiPriority w:val="99"/>
    <w:rsid w:val="00CB4328"/>
    <w:pPr>
      <w:spacing w:before="100" w:beforeAutospacing="1" w:after="100" w:afterAutospacing="1"/>
    </w:pPr>
    <w:rPr>
      <w:sz w:val="24"/>
      <w:szCs w:val="24"/>
    </w:rPr>
  </w:style>
  <w:style w:type="character" w:styleId="PageNumber">
    <w:name w:val="page number"/>
    <w:basedOn w:val="DefaultParagraphFont"/>
    <w:uiPriority w:val="99"/>
    <w:rsid w:val="00BC4C26"/>
  </w:style>
  <w:style w:type="paragraph" w:styleId="BalloonText">
    <w:name w:val="Balloon Text"/>
    <w:basedOn w:val="Normal"/>
    <w:link w:val="BalloonTextChar"/>
    <w:uiPriority w:val="99"/>
    <w:semiHidden/>
    <w:rsid w:val="008B5CC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738"/>
    <w:rPr>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7</Pages>
  <Words>2048</Words>
  <Characters>11264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4</cp:revision>
  <cp:lastPrinted>2008-01-03T12:44:00Z</cp:lastPrinted>
  <dcterms:created xsi:type="dcterms:W3CDTF">2008-02-28T13:27:00Z</dcterms:created>
  <dcterms:modified xsi:type="dcterms:W3CDTF">2008-03-06T10:40:00Z</dcterms:modified>
</cp:coreProperties>
</file>