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CE" w:rsidRDefault="000B43CE">
      <w:pPr>
        <w:pStyle w:val="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 DES COMPTES</w:t>
      </w:r>
    </w:p>
    <w:p w:rsidR="000B43CE" w:rsidRDefault="000B43CE">
      <w:pPr>
        <w:pStyle w:val="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-----</w:t>
      </w:r>
    </w:p>
    <w:p w:rsidR="000B43CE" w:rsidRDefault="000B43CE">
      <w:pPr>
        <w:pStyle w:val="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Quatrième CHAMBRE</w:t>
      </w:r>
    </w:p>
    <w:p w:rsidR="000B43CE" w:rsidRDefault="000B43CE">
      <w:pPr>
        <w:pStyle w:val="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-----</w:t>
      </w:r>
    </w:p>
    <w:p w:rsidR="000B43CE" w:rsidRDefault="000B43CE">
      <w:pPr>
        <w:pStyle w:val="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Première SECTION</w:t>
      </w:r>
    </w:p>
    <w:p w:rsidR="000B43CE" w:rsidRDefault="000B43CE">
      <w:pPr>
        <w:pStyle w:val="ET"/>
        <w:rPr>
          <w:rFonts w:ascii="Times New Roman" w:hAnsi="Times New Roman" w:cs="Times New Roman"/>
        </w:rPr>
      </w:pPr>
    </w:p>
    <w:p w:rsidR="000B43CE" w:rsidRDefault="000B43CE">
      <w:pPr>
        <w:pStyle w:val="E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caps w:val="0"/>
          <w:sz w:val="20"/>
          <w:szCs w:val="20"/>
        </w:rPr>
        <w:t xml:space="preserve">         Arrêt n° 50756</w:t>
      </w:r>
    </w:p>
    <w:p w:rsidR="000B43CE" w:rsidRPr="00042DE1" w:rsidRDefault="000B43CE" w:rsidP="00DD768A">
      <w:pPr>
        <w:ind w:left="5387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SYNDICAT DEPARTEMENTAL D’ENERGIE ET D’EQUIPEMENT DE VENDEE (SYDEV)</w:t>
      </w:r>
    </w:p>
    <w:p w:rsidR="000B43CE" w:rsidRDefault="000B43CE" w:rsidP="00DD768A">
      <w:pPr>
        <w:ind w:left="5387"/>
        <w:jc w:val="both"/>
        <w:rPr>
          <w:sz w:val="24"/>
          <w:szCs w:val="24"/>
        </w:rPr>
      </w:pPr>
    </w:p>
    <w:p w:rsidR="000B43CE" w:rsidRDefault="000B43CE" w:rsidP="00DD768A">
      <w:pPr>
        <w:pStyle w:val="Heading2"/>
        <w:ind w:left="5387"/>
        <w:jc w:val="both"/>
      </w:pPr>
      <w:r>
        <w:t>Appel d’un jugement de la chambre régionale des comptes des Pays-de-la-Loire</w:t>
      </w:r>
    </w:p>
    <w:p w:rsidR="000B43CE" w:rsidRDefault="000B43CE" w:rsidP="00DD768A">
      <w:pPr>
        <w:ind w:left="5387"/>
        <w:jc w:val="both"/>
        <w:rPr>
          <w:sz w:val="24"/>
          <w:szCs w:val="24"/>
        </w:rPr>
      </w:pPr>
    </w:p>
    <w:p w:rsidR="000B43CE" w:rsidRDefault="000B43CE" w:rsidP="00DD768A">
      <w:pPr>
        <w:pStyle w:val="Heading4"/>
        <w:ind w:left="5387"/>
      </w:pPr>
      <w:r>
        <w:t>Rapport n° 2007-673-0</w:t>
      </w:r>
    </w:p>
    <w:p w:rsidR="000B43CE" w:rsidRDefault="000B43CE" w:rsidP="00DD768A">
      <w:pPr>
        <w:ind w:left="5387"/>
        <w:jc w:val="both"/>
        <w:rPr>
          <w:sz w:val="24"/>
          <w:szCs w:val="24"/>
        </w:rPr>
      </w:pPr>
    </w:p>
    <w:p w:rsidR="000B43CE" w:rsidRDefault="000B43CE" w:rsidP="00DD768A">
      <w:pPr>
        <w:ind w:left="5387"/>
        <w:jc w:val="both"/>
        <w:rPr>
          <w:sz w:val="24"/>
          <w:szCs w:val="24"/>
        </w:rPr>
      </w:pPr>
      <w:r>
        <w:rPr>
          <w:sz w:val="24"/>
          <w:szCs w:val="24"/>
        </w:rPr>
        <w:t>Audience du 20 décembre 2007</w:t>
      </w:r>
    </w:p>
    <w:p w:rsidR="000B43CE" w:rsidRDefault="000B43CE" w:rsidP="00DD768A">
      <w:pPr>
        <w:ind w:left="5387"/>
        <w:jc w:val="both"/>
        <w:rPr>
          <w:sz w:val="24"/>
          <w:szCs w:val="24"/>
        </w:rPr>
      </w:pPr>
    </w:p>
    <w:p w:rsidR="000B43CE" w:rsidRDefault="000B43CE" w:rsidP="00DD768A">
      <w:pPr>
        <w:pStyle w:val="OR"/>
        <w:ind w:left="5387"/>
        <w:rPr>
          <w:rFonts w:ascii="Times New Roman" w:hAnsi="Times New Roman" w:cs="Times New Roman"/>
        </w:rPr>
      </w:pPr>
      <w:r>
        <w:t>Lecture publique du 28 février 2008</w:t>
      </w:r>
    </w:p>
    <w:p w:rsidR="000B43CE" w:rsidRDefault="000B43CE" w:rsidP="0057492B">
      <w:pPr>
        <w:pStyle w:val="PS"/>
        <w:spacing w:after="720"/>
        <w:ind w:firstLine="3402"/>
        <w:rPr>
          <w:rFonts w:ascii="Times New Roman" w:hAnsi="Times New Roman" w:cs="Times New Roman"/>
          <w:u w:val="single"/>
        </w:rPr>
      </w:pPr>
    </w:p>
    <w:p w:rsidR="000B43CE" w:rsidRPr="00CC7404" w:rsidRDefault="000B43CE" w:rsidP="00CC7404">
      <w:pPr>
        <w:pStyle w:val="PS"/>
      </w:pPr>
      <w:r>
        <w:t>LA COUR DES COMPTES a rendu l’arrêt suivant :</w:t>
      </w:r>
    </w:p>
    <w:p w:rsidR="000B43CE" w:rsidRDefault="000B43CE">
      <w:pPr>
        <w:pStyle w:val="PS"/>
        <w:rPr>
          <w:rFonts w:ascii="Times New Roman" w:hAnsi="Times New Roman" w:cs="Times New Roman"/>
        </w:rPr>
      </w:pPr>
      <w:r w:rsidRPr="00267CE7">
        <w:rPr>
          <w:rFonts w:ascii="Times New Roman" w:hAnsi="Times New Roman" w:cs="Times New Roman"/>
        </w:rPr>
        <w:t>LA COUR,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 xml:space="preserve">Vu la requête, enregistrée le </w:t>
      </w:r>
      <w:r>
        <w:rPr>
          <w:rFonts w:ascii="Times New Roman" w:hAnsi="Times New Roman" w:cs="Times New Roman"/>
        </w:rPr>
        <w:t>4</w:t>
      </w:r>
      <w:r w:rsidRPr="00DD768A">
        <w:rPr>
          <w:rFonts w:ascii="Times New Roman" w:hAnsi="Times New Roman" w:cs="Times New Roman"/>
        </w:rPr>
        <w:t xml:space="preserve"> décembre 2006 au greffe de la chambre régionale des comptes des Pays</w:t>
      </w:r>
      <w:r>
        <w:rPr>
          <w:rFonts w:ascii="Times New Roman" w:hAnsi="Times New Roman" w:cs="Times New Roman"/>
        </w:rPr>
        <w:t>-</w:t>
      </w:r>
      <w:r w:rsidRPr="00DD768A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-</w:t>
      </w:r>
      <w:r w:rsidRPr="00DD768A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-</w:t>
      </w:r>
      <w:r w:rsidRPr="00DD768A">
        <w:rPr>
          <w:rFonts w:ascii="Times New Roman" w:hAnsi="Times New Roman" w:cs="Times New Roman"/>
        </w:rPr>
        <w:t>Loire, par laquelle M. X, comptable du SYNDICAT DEPARTEMENTAL D’ENERGIE ET D’EQUIPEMENT DE VENDEE (SYDEV) pour les exercices 1998 à 2003, a élevé appel du jugement du 19 juillet 2006 par lequel ladite chambre l’a constitué débiteur des deniers du SYDEV pour la somme de 2 423 837,45 € augmentée des intérêts de droit 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Vu le réquisitoire du Procureur général, en date du 30 janvier 2007, transmettant la requête précitée 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Vu les pièces de la procédure suivie en première instance 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Vu l’arrêt de la Cour des comptes du 15 février 2007 accordant au requérant un sursis à l’exécution du jugement de première instance précité 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Vu le code général des collectivités territoriales, notamment son annexe IV ;</w:t>
      </w:r>
    </w:p>
    <w:p w:rsidR="000B43CE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Vu l’article 60 de la loi de finances n° 63-156 du 23 février 1963 modifiée ;</w:t>
      </w:r>
    </w:p>
    <w:p w:rsidR="000B43CE" w:rsidRDefault="000B43CE" w:rsidP="00F10127">
      <w:pPr>
        <w:pStyle w:val="PS"/>
        <w:ind w:hanging="567"/>
        <w:rPr>
          <w:rFonts w:ascii="Times New Roman" w:hAnsi="Times New Roman" w:cs="Times New Roman"/>
          <w:sz w:val="16"/>
          <w:szCs w:val="16"/>
        </w:rPr>
        <w:sectPr w:rsidR="000B43CE" w:rsidSect="00B14672">
          <w:pgSz w:w="11907" w:h="16840"/>
          <w:pgMar w:top="1134" w:right="1134" w:bottom="1134" w:left="567" w:header="720" w:footer="720" w:gutter="0"/>
          <w:pgNumType w:start="2"/>
          <w:cols w:space="720"/>
        </w:sectPr>
      </w:pPr>
      <w:r>
        <w:rPr>
          <w:rFonts w:ascii="Times New Roman" w:hAnsi="Times New Roman" w:cs="Times New Roman"/>
          <w:sz w:val="16"/>
          <w:szCs w:val="16"/>
        </w:rPr>
        <w:t>RS</w:t>
      </w:r>
    </w:p>
    <w:p w:rsidR="000B43CE" w:rsidRDefault="000B43CE" w:rsidP="00DD768A">
      <w:pPr>
        <w:pStyle w:val="PS"/>
        <w:rPr>
          <w:rFonts w:ascii="Times New Roman" w:hAnsi="Times New Roman" w:cs="Times New Roman"/>
        </w:rPr>
      </w:pP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Vu le décret n°62-1587 du 29 décembre 1962 modifié portant règlement général sur la comptabilité publique 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Vu le code des juridictions financières 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Vu le rapport de M. Hayez, conseiller maître;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Vu les conclusions du Procureur général 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 xml:space="preserve">Entendu, lors de l’audience publique de ce jour, M. Hayez, rapporteur, en son rapport, M. Frentz, premier avocat général, en ses conclusions, l’appelant, informé de l’audience, n’étant </w:t>
      </w:r>
      <w:r>
        <w:rPr>
          <w:rFonts w:ascii="Times New Roman" w:hAnsi="Times New Roman" w:cs="Times New Roman"/>
        </w:rPr>
        <w:t>ni présent, ni représenté</w:t>
      </w:r>
      <w:r w:rsidRPr="00DD768A">
        <w:rPr>
          <w:rFonts w:ascii="Times New Roman" w:hAnsi="Times New Roman" w:cs="Times New Roman"/>
        </w:rPr>
        <w:t> 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Entendu, en délibéré, M. Ganser,</w:t>
      </w:r>
      <w:r w:rsidRPr="00DD768A" w:rsidDel="005A6D78">
        <w:rPr>
          <w:rFonts w:ascii="Times New Roman" w:hAnsi="Times New Roman" w:cs="Times New Roman"/>
        </w:rPr>
        <w:t xml:space="preserve"> </w:t>
      </w:r>
      <w:r w:rsidRPr="00DD768A">
        <w:rPr>
          <w:rFonts w:ascii="Times New Roman" w:hAnsi="Times New Roman" w:cs="Times New Roman"/>
        </w:rPr>
        <w:t>conseiller maître, en ses observations ;</w:t>
      </w:r>
    </w:p>
    <w:p w:rsidR="000B43CE" w:rsidRPr="00B14672" w:rsidRDefault="000B43CE" w:rsidP="00DD768A">
      <w:pPr>
        <w:pStyle w:val="PS"/>
        <w:rPr>
          <w:rFonts w:ascii="Times New Roman" w:hAnsi="Times New Roman" w:cs="Times New Roman"/>
          <w:b/>
          <w:bCs/>
          <w:u w:val="single"/>
        </w:rPr>
      </w:pPr>
      <w:r w:rsidRPr="00B14672">
        <w:rPr>
          <w:rFonts w:ascii="Times New Roman" w:hAnsi="Times New Roman" w:cs="Times New Roman"/>
          <w:b/>
          <w:bCs/>
          <w:u w:val="single"/>
        </w:rPr>
        <w:t>Sur le fond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Attendu que, par jugement du 19 juillet 2006 précité, la chambre régionale des comptes des Pays de la Loire a déclaré M. X débiteur envers le SYDEV de la somme de 2 423 837,45 €, égale au total de sept mandats de subventions payés sans qu’ait été produite une décision de l’assemblée délibérante autorisant l’attribution individuelle de subvention aux syndicats intercommunaux d’énergie et d’équipement, conformément à la rubrique 71 de la nomenclature des pièces justificatives figurant dans l’annexe IV du code général des collectivités territoriales 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Attendu que l’appelant soutient que la production de la délibération de principe du comité syndical du SYDEV du 23 juillet 1997, qui « fixe l’engagement du SYDEV auprès des syndicats », ainsi que de l’arrêté préfectoral du 26 décembre 1997, modifiant les statuts du SYDEV, lui « apparaît suffisante pour justifier les paiements contestés » 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Attendu que la délibération précitée produite par M. X, de portée très générale, ne définit pas le montant dû à chaque bénéficiaire ; qu’elle ne saurait être admise comme pièce justificative dès lors que n’y figure pas l’une des mentions substantielles prévues par la réglementation ; que l’arrêté préfectoral précité se borne à reprendre la délibération du SYDEV du 23 juillet 1997 ; qu’il ne peut donc pas davantage être admis comme pièce justificative des subventions versées 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DD768A">
        <w:rPr>
          <w:rFonts w:ascii="Times New Roman" w:hAnsi="Times New Roman" w:cs="Times New Roman"/>
        </w:rPr>
        <w:t>Attendu que l’appelant, citant en particulier deux jugements des  chambres régionales des comptes de Bretagne et des Pays</w:t>
      </w:r>
      <w:r>
        <w:rPr>
          <w:rFonts w:ascii="Times New Roman" w:hAnsi="Times New Roman" w:cs="Times New Roman"/>
        </w:rPr>
        <w:t>-</w:t>
      </w:r>
      <w:r w:rsidRPr="00DD768A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-</w:t>
      </w:r>
      <w:r w:rsidRPr="00DD768A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-</w:t>
      </w:r>
      <w:r w:rsidRPr="00DD768A">
        <w:rPr>
          <w:rFonts w:ascii="Times New Roman" w:hAnsi="Times New Roman" w:cs="Times New Roman"/>
        </w:rPr>
        <w:t>Loire, notamment sur les comptes du syndicat départemental d’énergie de Loire Atlantique</w:t>
      </w:r>
      <w:r>
        <w:rPr>
          <w:rFonts w:ascii="Times New Roman" w:hAnsi="Times New Roman" w:cs="Times New Roman"/>
        </w:rPr>
        <w:t xml:space="preserve"> (SYDELA),</w:t>
      </w:r>
      <w:r w:rsidRPr="00DD768A">
        <w:rPr>
          <w:rFonts w:ascii="Times New Roman" w:hAnsi="Times New Roman" w:cs="Times New Roman"/>
        </w:rPr>
        <w:t xml:space="preserve"> soutient que la décision de la chambre régionale des comptes est constitutive, à son encontre, d’un « excès de formalisme » 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Attendu que ce moyen ne s’appuie en l’espèce sur aucune argumentation de fait ; que la chambre régionale, en déclarant débiteur M. X des subventions versées par le SYDE</w:t>
      </w:r>
      <w:r>
        <w:rPr>
          <w:rFonts w:ascii="Times New Roman" w:hAnsi="Times New Roman" w:cs="Times New Roman"/>
        </w:rPr>
        <w:t>LA</w:t>
      </w:r>
      <w:r w:rsidRPr="00DD768A">
        <w:rPr>
          <w:rFonts w:ascii="Times New Roman" w:hAnsi="Times New Roman" w:cs="Times New Roman"/>
        </w:rPr>
        <w:t>, faute pour lui d’avoir produit les pièces justificatives prévues par la réglementation, a rempli son office ; que le moyen soulevé par M. X ne peut être qu’écarté ;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Par ces motifs,</w:t>
      </w:r>
    </w:p>
    <w:p w:rsidR="000B43CE" w:rsidRPr="00DD768A" w:rsidRDefault="000B43CE" w:rsidP="00B14672">
      <w:pPr>
        <w:pStyle w:val="PS"/>
        <w:ind w:firstLine="0"/>
        <w:jc w:val="center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STATUANT DEFINITIVEMENT</w:t>
      </w:r>
      <w:r>
        <w:rPr>
          <w:rFonts w:ascii="Times New Roman" w:hAnsi="Times New Roman" w:cs="Times New Roman"/>
        </w:rPr>
        <w:t>,</w:t>
      </w:r>
    </w:p>
    <w:p w:rsidR="000B43CE" w:rsidRPr="00DD768A" w:rsidRDefault="000B43CE" w:rsidP="00B14672">
      <w:pPr>
        <w:pStyle w:val="PS"/>
        <w:ind w:firstLine="0"/>
        <w:jc w:val="center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ORDONNE :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La requête de M. X est rejetée.</w:t>
      </w:r>
    </w:p>
    <w:p w:rsidR="000B43CE" w:rsidRPr="00DD768A" w:rsidRDefault="000B43CE" w:rsidP="00B14672">
      <w:pPr>
        <w:pStyle w:val="PS"/>
        <w:ind w:firstLine="0"/>
        <w:jc w:val="center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------------</w:t>
      </w:r>
    </w:p>
    <w:p w:rsidR="000B43CE" w:rsidRPr="00DD768A" w:rsidRDefault="000B43CE" w:rsidP="00DD768A">
      <w:pPr>
        <w:pStyle w:val="PS"/>
        <w:rPr>
          <w:rFonts w:ascii="Times New Roman" w:hAnsi="Times New Roman" w:cs="Times New Roman"/>
        </w:rPr>
      </w:pPr>
      <w:r w:rsidRPr="00DD768A">
        <w:rPr>
          <w:rFonts w:ascii="Times New Roman" w:hAnsi="Times New Roman" w:cs="Times New Roman"/>
        </w:rPr>
        <w:t>Fait et jugé en la Cour des comptes, quatrième chambre, première section. Présents, MM</w:t>
      </w:r>
      <w:r>
        <w:rPr>
          <w:rFonts w:ascii="Times New Roman" w:hAnsi="Times New Roman" w:cs="Times New Roman"/>
        </w:rPr>
        <w:t>.</w:t>
      </w:r>
      <w:r w:rsidRPr="00DD768A">
        <w:rPr>
          <w:rFonts w:ascii="Times New Roman" w:hAnsi="Times New Roman" w:cs="Times New Roman"/>
        </w:rPr>
        <w:t xml:space="preserve"> Pichon, président, Cretin, président de chambre maintenu en qualité de conseiller maître, Moreau, président de section, Billaud, Ganser, Thérond, Ritz, Martin, Uguen, Mme Gadriot-Renard, conseillers maîtres.</w:t>
      </w:r>
    </w:p>
    <w:p w:rsidR="000B43CE" w:rsidRDefault="000B43CE">
      <w:pPr>
        <w:pStyle w:val="P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Signé : Pichon, président, et Reynaud, greffier.</w:t>
      </w:r>
    </w:p>
    <w:p w:rsidR="000B43CE" w:rsidRDefault="000B43CE">
      <w:pPr>
        <w:pStyle w:val="P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Collationné, certifié conforme à la minute étant au greffe de la Cour des comptes et délivré par moi, secrétaire générale.</w:t>
      </w:r>
    </w:p>
    <w:sectPr w:rsidR="000B43CE" w:rsidSect="00A32713">
      <w:headerReference w:type="default" r:id="rId6"/>
      <w:pgSz w:w="11907" w:h="16840"/>
      <w:pgMar w:top="1701" w:right="1134" w:bottom="1134" w:left="567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3CE" w:rsidRDefault="000B43CE">
      <w:r>
        <w:separator/>
      </w:r>
    </w:p>
  </w:endnote>
  <w:endnote w:type="continuationSeparator" w:id="1">
    <w:p w:rsidR="000B43CE" w:rsidRDefault="000B4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3CE" w:rsidRDefault="000B43CE">
      <w:r>
        <w:separator/>
      </w:r>
    </w:p>
  </w:footnote>
  <w:footnote w:type="continuationSeparator" w:id="1">
    <w:p w:rsidR="000B43CE" w:rsidRDefault="000B43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3CE" w:rsidRDefault="000B43CE" w:rsidP="00A32713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intFractionalCharacterWidth/>
  <w:embedSystemFonts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09ED"/>
    <w:rsid w:val="00042DE1"/>
    <w:rsid w:val="000B43CE"/>
    <w:rsid w:val="00173E72"/>
    <w:rsid w:val="00231D2F"/>
    <w:rsid w:val="00267CE7"/>
    <w:rsid w:val="003A7931"/>
    <w:rsid w:val="00412B6B"/>
    <w:rsid w:val="004F01A1"/>
    <w:rsid w:val="0057492B"/>
    <w:rsid w:val="005A6D78"/>
    <w:rsid w:val="005A7B89"/>
    <w:rsid w:val="00667FD0"/>
    <w:rsid w:val="006B2B43"/>
    <w:rsid w:val="006C585F"/>
    <w:rsid w:val="007B0905"/>
    <w:rsid w:val="007B4164"/>
    <w:rsid w:val="007B55E2"/>
    <w:rsid w:val="008551F2"/>
    <w:rsid w:val="009F717D"/>
    <w:rsid w:val="00A00A67"/>
    <w:rsid w:val="00A32713"/>
    <w:rsid w:val="00AF4032"/>
    <w:rsid w:val="00B14672"/>
    <w:rsid w:val="00B61B79"/>
    <w:rsid w:val="00CC7404"/>
    <w:rsid w:val="00D50314"/>
    <w:rsid w:val="00DC38B2"/>
    <w:rsid w:val="00DD768A"/>
    <w:rsid w:val="00DE2FB0"/>
    <w:rsid w:val="00E409ED"/>
    <w:rsid w:val="00E434BF"/>
    <w:rsid w:val="00EC5CA5"/>
    <w:rsid w:val="00F10127"/>
    <w:rsid w:val="00F666DF"/>
    <w:rsid w:val="00FE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768A"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768A"/>
    <w:pPr>
      <w:keepNext/>
      <w:jc w:val="center"/>
      <w:outlineLvl w:val="1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768A"/>
    <w:pPr>
      <w:keepNext/>
      <w:ind w:left="5670"/>
      <w:jc w:val="both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34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34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346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2346"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346"/>
    <w:rPr>
      <w:sz w:val="20"/>
      <w:szCs w:val="20"/>
    </w:rPr>
  </w:style>
  <w:style w:type="paragraph" w:customStyle="1" w:styleId="ET">
    <w:name w:val="ET"/>
    <w:basedOn w:val="Normal"/>
    <w:uiPriority w:val="99"/>
    <w:rPr>
      <w:rFonts w:ascii="CG Times (WN)" w:hAnsi="CG Times (WN)" w:cs="CG Times (WN)"/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paragraphe">
    <w:name w:val="paragraphe"/>
    <w:uiPriority w:val="99"/>
    <w:rsid w:val="00DD768A"/>
    <w:pPr>
      <w:spacing w:after="240" w:line="240" w:lineRule="exact"/>
      <w:ind w:left="2268" w:firstLine="1418"/>
      <w:jc w:val="both"/>
    </w:pPr>
    <w:rPr>
      <w:rFonts w:ascii="Tms Rmn" w:hAnsi="Tms Rmn" w:cs="Tms Rmn"/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DD768A"/>
    <w:rPr>
      <w:rFonts w:ascii="CG Times (WN)" w:hAnsi="CG Times (WN)" w:cs="CG Times (WN)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DD7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346"/>
    <w:rPr>
      <w:sz w:val="0"/>
      <w:szCs w:val="0"/>
    </w:rPr>
  </w:style>
  <w:style w:type="character" w:styleId="PageNumber">
    <w:name w:val="page number"/>
    <w:basedOn w:val="DefaultParagraphFont"/>
    <w:uiPriority w:val="99"/>
    <w:rsid w:val="00B146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surin\Application%20Data\Microsoft\Mod&#232;les\Mod&#232;le%20pour%20les%20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pour les arrêt.dot</Template>
  <TotalTime>0</TotalTime>
  <Pages>1</Pages>
  <Words>689</Words>
  <Characters>3794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rsurin</dc:creator>
  <cp:keywords>FC</cp:keywords>
  <dc:description/>
  <cp:lastModifiedBy>Maryté Lecroisey</cp:lastModifiedBy>
  <cp:revision>2</cp:revision>
  <cp:lastPrinted>2008-02-06T12:44:00Z</cp:lastPrinted>
  <dcterms:created xsi:type="dcterms:W3CDTF">2008-03-14T11:48:00Z</dcterms:created>
  <dcterms:modified xsi:type="dcterms:W3CDTF">2008-03-14T11:48:00Z</dcterms:modified>
</cp:coreProperties>
</file>