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DC5" w:rsidRDefault="00467DC5">
      <w:pPr>
        <w:pStyle w:val="ET"/>
        <w:rPr>
          <w:rFonts w:ascii="Times New Roman" w:hAnsi="Times New Roman" w:cs="Times New Roman"/>
        </w:rPr>
      </w:pPr>
      <w:r>
        <w:rPr>
          <w:rFonts w:ascii="Times New Roman" w:hAnsi="Times New Roman" w:cs="Times New Roman"/>
        </w:rPr>
        <w:t>COUR DES COMPTES</w:t>
      </w:r>
    </w:p>
    <w:p w:rsidR="00467DC5" w:rsidRDefault="00467DC5">
      <w:pPr>
        <w:pStyle w:val="ET"/>
        <w:rPr>
          <w:rFonts w:ascii="Times New Roman" w:hAnsi="Times New Roman" w:cs="Times New Roman"/>
        </w:rPr>
      </w:pPr>
      <w:r>
        <w:rPr>
          <w:rFonts w:ascii="Times New Roman" w:hAnsi="Times New Roman" w:cs="Times New Roman"/>
        </w:rPr>
        <w:tab/>
        <w:t xml:space="preserve">    -----</w:t>
      </w:r>
    </w:p>
    <w:p w:rsidR="00467DC5" w:rsidRDefault="00467DC5">
      <w:pPr>
        <w:pStyle w:val="ET"/>
        <w:rPr>
          <w:rFonts w:ascii="Times New Roman" w:hAnsi="Times New Roman" w:cs="Times New Roman"/>
        </w:rPr>
      </w:pPr>
      <w:r>
        <w:rPr>
          <w:rFonts w:ascii="Times New Roman" w:hAnsi="Times New Roman" w:cs="Times New Roman"/>
        </w:rPr>
        <w:t>Cinquième CHAMBRE</w:t>
      </w:r>
    </w:p>
    <w:p w:rsidR="00467DC5" w:rsidRDefault="00467DC5">
      <w:pPr>
        <w:pStyle w:val="ET"/>
        <w:rPr>
          <w:rFonts w:ascii="Times New Roman" w:hAnsi="Times New Roman" w:cs="Times New Roman"/>
        </w:rPr>
      </w:pPr>
      <w:r>
        <w:rPr>
          <w:rFonts w:ascii="Times New Roman" w:hAnsi="Times New Roman" w:cs="Times New Roman"/>
        </w:rPr>
        <w:tab/>
        <w:t xml:space="preserve">    -----</w:t>
      </w:r>
    </w:p>
    <w:p w:rsidR="00467DC5" w:rsidRDefault="00467DC5">
      <w:pPr>
        <w:pStyle w:val="ET"/>
        <w:rPr>
          <w:rFonts w:ascii="Times New Roman" w:hAnsi="Times New Roman" w:cs="Times New Roman"/>
        </w:rPr>
      </w:pPr>
      <w:r>
        <w:rPr>
          <w:rFonts w:ascii="Times New Roman" w:hAnsi="Times New Roman" w:cs="Times New Roman"/>
        </w:rPr>
        <w:t>Première SECTION</w:t>
      </w:r>
    </w:p>
    <w:p w:rsidR="00467DC5" w:rsidRDefault="00467DC5">
      <w:pPr>
        <w:pStyle w:val="ET"/>
        <w:rPr>
          <w:rFonts w:ascii="Times New Roman" w:hAnsi="Times New Roman" w:cs="Times New Roman"/>
        </w:rPr>
      </w:pPr>
    </w:p>
    <w:p w:rsidR="00467DC5" w:rsidRDefault="00467DC5">
      <w:pPr>
        <w:pStyle w:val="ET"/>
        <w:rPr>
          <w:rFonts w:ascii="Times New Roman" w:hAnsi="Times New Roman" w:cs="Times New Roman"/>
          <w:i/>
          <w:iCs/>
          <w:sz w:val="20"/>
          <w:szCs w:val="20"/>
        </w:rPr>
      </w:pPr>
      <w:r>
        <w:rPr>
          <w:rFonts w:ascii="Times New Roman" w:hAnsi="Times New Roman" w:cs="Times New Roman"/>
          <w:i/>
          <w:iCs/>
          <w:caps w:val="0"/>
          <w:sz w:val="20"/>
          <w:szCs w:val="20"/>
        </w:rPr>
        <w:t xml:space="preserve">         Arrêt n° 51452</w:t>
      </w:r>
    </w:p>
    <w:p w:rsidR="00467DC5" w:rsidRPr="00DC68FD" w:rsidRDefault="00467DC5" w:rsidP="00590CAC">
      <w:pPr>
        <w:pStyle w:val="OR"/>
        <w:ind w:left="5387" w:right="-426"/>
        <w:rPr>
          <w:rFonts w:ascii="Times New Roman" w:hAnsi="Times New Roman" w:cs="Times New Roman"/>
        </w:rPr>
      </w:pPr>
      <w:r w:rsidRPr="00DC68FD">
        <w:rPr>
          <w:rFonts w:ascii="Times New Roman" w:hAnsi="Times New Roman" w:cs="Times New Roman"/>
        </w:rPr>
        <w:t>FONDS DE REPARTITION DES RESSOURCES</w:t>
      </w:r>
    </w:p>
    <w:p w:rsidR="00467DC5" w:rsidRPr="00DC68FD" w:rsidRDefault="00467DC5" w:rsidP="00590CAC">
      <w:pPr>
        <w:pStyle w:val="OR"/>
        <w:ind w:left="5387" w:right="-426"/>
        <w:rPr>
          <w:rFonts w:ascii="Times New Roman" w:hAnsi="Times New Roman" w:cs="Times New Roman"/>
        </w:rPr>
      </w:pPr>
      <w:r w:rsidRPr="00DC68FD">
        <w:rPr>
          <w:rFonts w:ascii="Times New Roman" w:hAnsi="Times New Roman" w:cs="Times New Roman"/>
        </w:rPr>
        <w:t xml:space="preserve">AFFECTEES AUX FONDS D’ASSURANCE </w:t>
      </w:r>
    </w:p>
    <w:p w:rsidR="00467DC5" w:rsidRPr="00DC68FD" w:rsidRDefault="00467DC5" w:rsidP="00590CAC">
      <w:pPr>
        <w:pStyle w:val="OR"/>
        <w:ind w:left="5387" w:right="-426"/>
        <w:rPr>
          <w:rFonts w:ascii="Times New Roman" w:hAnsi="Times New Roman" w:cs="Times New Roman"/>
        </w:rPr>
      </w:pPr>
      <w:r w:rsidRPr="00DC68FD">
        <w:rPr>
          <w:rFonts w:ascii="Times New Roman" w:hAnsi="Times New Roman" w:cs="Times New Roman"/>
        </w:rPr>
        <w:t>FORMATION DES ORGANISATIONS</w:t>
      </w:r>
    </w:p>
    <w:p w:rsidR="00467DC5" w:rsidRPr="00DC68FD" w:rsidRDefault="00467DC5" w:rsidP="00590CAC">
      <w:pPr>
        <w:pStyle w:val="OR"/>
        <w:ind w:left="5387" w:right="-426"/>
        <w:rPr>
          <w:rFonts w:ascii="Times New Roman" w:hAnsi="Times New Roman" w:cs="Times New Roman"/>
        </w:rPr>
      </w:pPr>
      <w:r w:rsidRPr="00DC68FD">
        <w:rPr>
          <w:rFonts w:ascii="Times New Roman" w:hAnsi="Times New Roman" w:cs="Times New Roman"/>
        </w:rPr>
        <w:t>PROFESSIONNELLES DE L’ARTISANAT</w:t>
      </w:r>
    </w:p>
    <w:p w:rsidR="00467DC5" w:rsidRPr="00DC68FD" w:rsidRDefault="00467DC5" w:rsidP="00590CAC">
      <w:pPr>
        <w:pStyle w:val="OR"/>
        <w:ind w:left="5387" w:right="-426"/>
        <w:rPr>
          <w:rFonts w:ascii="Times New Roman" w:hAnsi="Times New Roman" w:cs="Times New Roman"/>
        </w:rPr>
      </w:pPr>
      <w:r w:rsidRPr="00DC68FD">
        <w:rPr>
          <w:rFonts w:ascii="Times New Roman" w:hAnsi="Times New Roman" w:cs="Times New Roman"/>
        </w:rPr>
        <w:t>(FNOPA)</w:t>
      </w:r>
    </w:p>
    <w:p w:rsidR="00467DC5" w:rsidRPr="00DC68FD" w:rsidRDefault="00467DC5" w:rsidP="00590CAC">
      <w:pPr>
        <w:pStyle w:val="OR"/>
        <w:ind w:left="5387" w:right="-426"/>
        <w:rPr>
          <w:rFonts w:ascii="Times New Roman" w:hAnsi="Times New Roman" w:cs="Times New Roman"/>
        </w:rPr>
      </w:pPr>
    </w:p>
    <w:p w:rsidR="00467DC5" w:rsidRPr="00DC68FD" w:rsidRDefault="00467DC5" w:rsidP="00590CAC">
      <w:pPr>
        <w:pStyle w:val="OR"/>
        <w:ind w:left="5387" w:right="-426"/>
        <w:rPr>
          <w:rFonts w:ascii="Times New Roman" w:hAnsi="Times New Roman" w:cs="Times New Roman"/>
        </w:rPr>
      </w:pPr>
      <w:r w:rsidRPr="00DC68FD">
        <w:rPr>
          <w:rFonts w:ascii="Times New Roman" w:hAnsi="Times New Roman" w:cs="Times New Roman"/>
        </w:rPr>
        <w:t>Exercice 2004</w:t>
      </w:r>
    </w:p>
    <w:p w:rsidR="00467DC5" w:rsidRPr="00DC68FD" w:rsidRDefault="00467DC5" w:rsidP="00590CAC">
      <w:pPr>
        <w:pStyle w:val="OR"/>
        <w:ind w:left="5387" w:right="-426"/>
        <w:rPr>
          <w:rFonts w:ascii="Times New Roman" w:hAnsi="Times New Roman" w:cs="Times New Roman"/>
        </w:rPr>
      </w:pPr>
    </w:p>
    <w:p w:rsidR="00467DC5" w:rsidRPr="00DC68FD" w:rsidRDefault="00467DC5" w:rsidP="00590CAC">
      <w:pPr>
        <w:pStyle w:val="OR"/>
        <w:ind w:left="5387" w:right="-426"/>
        <w:rPr>
          <w:rFonts w:ascii="Times New Roman" w:hAnsi="Times New Roman" w:cs="Times New Roman"/>
        </w:rPr>
      </w:pPr>
      <w:r w:rsidRPr="00DC68FD">
        <w:rPr>
          <w:rFonts w:ascii="Times New Roman" w:hAnsi="Times New Roman" w:cs="Times New Roman"/>
        </w:rPr>
        <w:t>Rapport n° 2008-66-0</w:t>
      </w:r>
    </w:p>
    <w:p w:rsidR="00467DC5" w:rsidRPr="00DC68FD" w:rsidRDefault="00467DC5" w:rsidP="00590CAC">
      <w:pPr>
        <w:pStyle w:val="OR"/>
        <w:ind w:left="5387" w:right="-426"/>
        <w:rPr>
          <w:rFonts w:ascii="Times New Roman" w:hAnsi="Times New Roman" w:cs="Times New Roman"/>
        </w:rPr>
      </w:pPr>
    </w:p>
    <w:p w:rsidR="00467DC5" w:rsidRPr="00DC68FD" w:rsidRDefault="00467DC5" w:rsidP="00590CAC">
      <w:pPr>
        <w:pStyle w:val="OR"/>
        <w:ind w:left="5387" w:right="-426"/>
        <w:rPr>
          <w:rFonts w:ascii="Times New Roman" w:hAnsi="Times New Roman" w:cs="Times New Roman"/>
        </w:rPr>
      </w:pPr>
      <w:r w:rsidRPr="00DC68FD">
        <w:rPr>
          <w:rFonts w:ascii="Times New Roman" w:hAnsi="Times New Roman" w:cs="Times New Roman"/>
        </w:rPr>
        <w:t>Audience publique du 7 mars 2008</w:t>
      </w:r>
    </w:p>
    <w:p w:rsidR="00467DC5" w:rsidRPr="00DC68FD" w:rsidRDefault="00467DC5" w:rsidP="00590CAC">
      <w:pPr>
        <w:pStyle w:val="OR"/>
        <w:ind w:left="5387" w:right="-426"/>
        <w:rPr>
          <w:rFonts w:ascii="Times New Roman" w:hAnsi="Times New Roman" w:cs="Times New Roman"/>
        </w:rPr>
      </w:pPr>
    </w:p>
    <w:p w:rsidR="00467DC5" w:rsidRPr="00DC68FD" w:rsidRDefault="00467DC5" w:rsidP="00A45525">
      <w:pPr>
        <w:pStyle w:val="OR"/>
        <w:spacing w:after="360"/>
        <w:ind w:left="5387" w:right="-425"/>
        <w:rPr>
          <w:rFonts w:ascii="Times New Roman" w:hAnsi="Times New Roman" w:cs="Times New Roman"/>
        </w:rPr>
      </w:pPr>
      <w:r w:rsidRPr="00DC68FD">
        <w:rPr>
          <w:rFonts w:ascii="Times New Roman" w:hAnsi="Times New Roman" w:cs="Times New Roman"/>
        </w:rPr>
        <w:t>Lecture publique le 4 avril 2008</w:t>
      </w:r>
    </w:p>
    <w:p w:rsidR="00467DC5" w:rsidRDefault="00467DC5" w:rsidP="00DC68FD">
      <w:pPr>
        <w:pStyle w:val="PS"/>
        <w:spacing w:after="0"/>
        <w:rPr>
          <w:rFonts w:ascii="Times New Roman" w:hAnsi="Times New Roman" w:cs="Times New Roman"/>
        </w:rPr>
      </w:pPr>
    </w:p>
    <w:p w:rsidR="00467DC5" w:rsidRDefault="00467DC5" w:rsidP="00A45525">
      <w:pPr>
        <w:pStyle w:val="P0"/>
        <w:jc w:val="center"/>
      </w:pPr>
      <w:r>
        <w:t>REPUBLIQUE FRANCAISE</w:t>
      </w:r>
    </w:p>
    <w:p w:rsidR="00467DC5" w:rsidRDefault="00467DC5" w:rsidP="00A45525">
      <w:pPr>
        <w:pStyle w:val="P0"/>
        <w:jc w:val="center"/>
      </w:pPr>
    </w:p>
    <w:p w:rsidR="00467DC5" w:rsidRDefault="00467DC5" w:rsidP="00A45525">
      <w:pPr>
        <w:pStyle w:val="P0"/>
        <w:jc w:val="center"/>
      </w:pPr>
      <w:r>
        <w:t>AU NOM DU PEUPLE FRANÇAIS</w:t>
      </w:r>
    </w:p>
    <w:p w:rsidR="00467DC5" w:rsidRDefault="00467DC5" w:rsidP="00A45525">
      <w:pPr>
        <w:pStyle w:val="P0"/>
        <w:jc w:val="center"/>
      </w:pPr>
    </w:p>
    <w:p w:rsidR="00467DC5" w:rsidRDefault="00467DC5" w:rsidP="00A45525">
      <w:pPr>
        <w:pStyle w:val="P0"/>
        <w:spacing w:after="480"/>
        <w:jc w:val="center"/>
      </w:pPr>
      <w:r>
        <w:t>LA COUR DES COMPTES a rendu l’arrêt suivant :</w:t>
      </w:r>
    </w:p>
    <w:p w:rsidR="00467DC5" w:rsidRDefault="00467DC5">
      <w:pPr>
        <w:pStyle w:val="PS"/>
        <w:rPr>
          <w:rFonts w:ascii="Times New Roman" w:hAnsi="Times New Roman" w:cs="Times New Roman"/>
        </w:rPr>
      </w:pPr>
      <w:r>
        <w:rPr>
          <w:rFonts w:ascii="Times New Roman" w:hAnsi="Times New Roman" w:cs="Times New Roman"/>
        </w:rPr>
        <w:t>LA COUR,</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S</w:t>
      </w:r>
      <w:r w:rsidRPr="00DC68FD">
        <w:rPr>
          <w:rStyle w:val="CommentReference"/>
          <w:rFonts w:ascii="Times New Roman" w:hAnsi="Times New Roman" w:cs="Times New Roman"/>
          <w:sz w:val="24"/>
          <w:szCs w:val="24"/>
        </w:rPr>
        <w:t>iégeant en audience publique,</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 xml:space="preserve">Vu l’arrêt n° 49522 du 12 juillet 2007 par lequel, sur réquisitoire introductif du procureur général de la République, M. Jean X, comptable du FONDS DE REPARTITION DES RESSOURCES AFFECTEES AUX FONDS D’ASSURANCE FORMATION DES ORGANISATIONS PROFESSIONNELLES DE L’ARTISANAT (FNOPA), a été provisoirement condamné au paiement d’une amende de </w:t>
      </w:r>
      <w:r>
        <w:rPr>
          <w:rFonts w:ascii="Times New Roman" w:hAnsi="Times New Roman" w:cs="Times New Roman"/>
        </w:rPr>
        <w:t>quatre cent quatre-vingt quatre euros (</w:t>
      </w:r>
      <w:r w:rsidRPr="00DC68FD">
        <w:rPr>
          <w:rFonts w:ascii="Times New Roman" w:hAnsi="Times New Roman" w:cs="Times New Roman"/>
        </w:rPr>
        <w:t>484</w:t>
      </w:r>
      <w:r>
        <w:rPr>
          <w:rFonts w:ascii="Times New Roman" w:hAnsi="Times New Roman" w:cs="Times New Roman"/>
        </w:rPr>
        <w:t> €)</w:t>
      </w:r>
      <w:r w:rsidRPr="00DC68FD">
        <w:rPr>
          <w:rFonts w:ascii="Times New Roman" w:hAnsi="Times New Roman" w:cs="Times New Roman"/>
        </w:rPr>
        <w:t xml:space="preserve"> pour un retard de </w:t>
      </w:r>
      <w:r>
        <w:rPr>
          <w:rFonts w:ascii="Times New Roman" w:hAnsi="Times New Roman" w:cs="Times New Roman"/>
        </w:rPr>
        <w:t xml:space="preserve">vingt-deux </w:t>
      </w:r>
      <w:r w:rsidRPr="00DC68FD">
        <w:rPr>
          <w:rFonts w:ascii="Times New Roman" w:hAnsi="Times New Roman" w:cs="Times New Roman"/>
        </w:rPr>
        <w:t>mois dans la production des comptes 2004 de cet établissement ;</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Vu le dépôt à la Cour, le 30 juillet 2007, des comptes 2004 du FNOPA ;</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Vu l’avis de réception postal attestant la notification de l’arrêt n° 49522 à M. X, le 9 octobre 2007 ;</w:t>
      </w:r>
    </w:p>
    <w:p w:rsidR="00467DC5" w:rsidRDefault="00467DC5" w:rsidP="00A45525">
      <w:pPr>
        <w:pStyle w:val="PS"/>
        <w:spacing w:after="120"/>
        <w:rPr>
          <w:rFonts w:ascii="Times New Roman" w:hAnsi="Times New Roman" w:cs="Times New Roman"/>
        </w:rPr>
      </w:pPr>
      <w:r w:rsidRPr="00DC68FD">
        <w:rPr>
          <w:rFonts w:ascii="Times New Roman" w:hAnsi="Times New Roman" w:cs="Times New Roman"/>
        </w:rPr>
        <w:t>Vu la réponse de M. X fournie par lettre du 2 décembre 2007 ;</w:t>
      </w:r>
    </w:p>
    <w:p w:rsidR="00467DC5" w:rsidRPr="005E0BE3" w:rsidRDefault="00467DC5" w:rsidP="005E0BE3">
      <w:pPr>
        <w:pStyle w:val="PS"/>
        <w:ind w:hanging="567"/>
        <w:rPr>
          <w:rFonts w:ascii="Times New Roman" w:hAnsi="Times New Roman" w:cs="Times New Roman"/>
          <w:sz w:val="16"/>
          <w:szCs w:val="16"/>
        </w:rPr>
      </w:pPr>
      <w:r>
        <w:rPr>
          <w:rFonts w:ascii="Times New Roman" w:hAnsi="Times New Roman" w:cs="Times New Roman"/>
          <w:sz w:val="16"/>
          <w:szCs w:val="16"/>
        </w:rPr>
        <w:t>RS</w:t>
      </w:r>
    </w:p>
    <w:p w:rsidR="00467DC5" w:rsidRDefault="00467DC5" w:rsidP="00DC68FD">
      <w:pPr>
        <w:pStyle w:val="PS"/>
        <w:rPr>
          <w:rFonts w:ascii="Times New Roman" w:hAnsi="Times New Roman" w:cs="Times New Roman"/>
        </w:rPr>
        <w:sectPr w:rsidR="00467DC5">
          <w:pgSz w:w="11907" w:h="16840"/>
          <w:pgMar w:top="1134" w:right="1134" w:bottom="1134" w:left="567" w:header="720" w:footer="720" w:gutter="0"/>
          <w:cols w:space="720"/>
        </w:sectPr>
      </w:pPr>
    </w:p>
    <w:p w:rsidR="00467DC5" w:rsidRDefault="00467DC5" w:rsidP="00DC68FD">
      <w:pPr>
        <w:pStyle w:val="PS"/>
        <w:rPr>
          <w:rFonts w:ascii="Times New Roman" w:hAnsi="Times New Roman" w:cs="Times New Roman"/>
        </w:rPr>
      </w:pP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Vu le code des juridictions financières, notamment ses articles L. 131-6 à</w:t>
      </w:r>
      <w:r>
        <w:rPr>
          <w:rFonts w:ascii="Times New Roman" w:hAnsi="Times New Roman" w:cs="Times New Roman"/>
        </w:rPr>
        <w:t> </w:t>
      </w:r>
      <w:r w:rsidRPr="00DC68FD">
        <w:rPr>
          <w:rFonts w:ascii="Times New Roman" w:hAnsi="Times New Roman" w:cs="Times New Roman"/>
        </w:rPr>
        <w:t>L. 131-13 et D.131-37 à D.131-40 ;</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Vu le décret n° 62-1587 du 29 décembre 1962 portant règlement général sur la comptabilité publique, notamment son article 187 ;</w:t>
      </w:r>
    </w:p>
    <w:p w:rsidR="00467DC5" w:rsidRDefault="00467DC5" w:rsidP="00DC68FD">
      <w:pPr>
        <w:pStyle w:val="PS"/>
        <w:rPr>
          <w:rFonts w:ascii="Times New Roman" w:hAnsi="Times New Roman" w:cs="Times New Roman"/>
        </w:rPr>
      </w:pPr>
      <w:r w:rsidRPr="00DC68FD">
        <w:rPr>
          <w:rFonts w:ascii="Times New Roman" w:hAnsi="Times New Roman" w:cs="Times New Roman"/>
        </w:rPr>
        <w:t>Vu la lettre du 22 février 2008 informant M. Jean X de la tenue d’une audience publique et de la possibilité pour lui d’y assister dont il a accusé réception le 23 février 2008 ;</w:t>
      </w:r>
    </w:p>
    <w:p w:rsidR="00467DC5" w:rsidRPr="00DC68FD" w:rsidRDefault="00467DC5" w:rsidP="00DC68FD">
      <w:pPr>
        <w:pStyle w:val="PS"/>
        <w:rPr>
          <w:rFonts w:ascii="Times New Roman" w:hAnsi="Times New Roman" w:cs="Times New Roman"/>
        </w:rPr>
      </w:pPr>
      <w:r>
        <w:rPr>
          <w:rFonts w:ascii="Times New Roman" w:hAnsi="Times New Roman" w:cs="Times New Roman"/>
        </w:rPr>
        <w:t>Vu l’arrêté n° 03-435 du Premier Président du 19 novembre 2003 relatif à la création et à la composition des sections au sein de la cinquième chambre ;</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 xml:space="preserve">Sur le rapport de Mlle Hélène Magnier, auditrice ; </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 xml:space="preserve">Vu les conclusions n° 125 du procureur général de la République en date du 14 février 2008 ; </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Entendus à l’audience publique Mlle Magnier, auditrice en son rapport et M.</w:t>
      </w:r>
      <w:r>
        <w:rPr>
          <w:rFonts w:ascii="Times New Roman" w:hAnsi="Times New Roman" w:cs="Times New Roman"/>
        </w:rPr>
        <w:t> </w:t>
      </w:r>
      <w:r w:rsidRPr="00DC68FD">
        <w:rPr>
          <w:rFonts w:ascii="Times New Roman" w:hAnsi="Times New Roman" w:cs="Times New Roman"/>
        </w:rPr>
        <w:t xml:space="preserve"> Colin, chargé de mission</w:t>
      </w:r>
      <w:r>
        <w:rPr>
          <w:rFonts w:ascii="Times New Roman" w:hAnsi="Times New Roman" w:cs="Times New Roman"/>
        </w:rPr>
        <w:t xml:space="preserve"> représentant du Ministère public</w:t>
      </w:r>
      <w:r w:rsidRPr="00DC68FD">
        <w:rPr>
          <w:rFonts w:ascii="Times New Roman" w:hAnsi="Times New Roman" w:cs="Times New Roman"/>
        </w:rPr>
        <w:t>, en ses conclusions orales, M.</w:t>
      </w:r>
      <w:r>
        <w:rPr>
          <w:rFonts w:ascii="Times New Roman" w:hAnsi="Times New Roman" w:cs="Times New Roman"/>
        </w:rPr>
        <w:t> </w:t>
      </w:r>
      <w:r w:rsidRPr="00DC68FD">
        <w:rPr>
          <w:rFonts w:ascii="Times New Roman" w:hAnsi="Times New Roman" w:cs="Times New Roman"/>
        </w:rPr>
        <w:t xml:space="preserve"> X ne s’étant pas présenté à l’audience ;</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Entendu à huis clos, le ministère public et le rapporteur s’étant retirés, M. </w:t>
      </w:r>
      <w:r>
        <w:rPr>
          <w:rFonts w:ascii="Times New Roman" w:hAnsi="Times New Roman" w:cs="Times New Roman"/>
        </w:rPr>
        <w:t> </w:t>
      </w:r>
      <w:r w:rsidRPr="00DC68FD">
        <w:rPr>
          <w:rFonts w:ascii="Times New Roman" w:hAnsi="Times New Roman" w:cs="Times New Roman"/>
        </w:rPr>
        <w:t xml:space="preserve">Guédon, contre-rapporteur en ses observations ; </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Attendu que l’arrêt n° 49522 du 12 juillet 2007, fait grief d’un retard de vingt-deux mois pleins dans la production du compte de l’exercice 2004 ;</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Attendu que le changement de fonction avancé par M. X pour justifier le retard dans la production du compte 2004, n’est pas de nature à atténuer sa responsabilité dans le retard constaté ; que la tenue, la mise en état d'examen et la reddition des comptes constituent une obligation pour les comptables ; que ces activités constituent en outre les conditions d'une information fiable et transparente essentielle à la sécurité financière des deniers publics ;</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Considérant qu’en conséquence, il y a lieu, par application de</w:t>
      </w:r>
      <w:r>
        <w:rPr>
          <w:rFonts w:ascii="Times New Roman" w:hAnsi="Times New Roman" w:cs="Times New Roman"/>
        </w:rPr>
        <w:t xml:space="preserve"> </w:t>
      </w:r>
      <w:r w:rsidRPr="00DC68FD">
        <w:rPr>
          <w:rFonts w:ascii="Times New Roman" w:hAnsi="Times New Roman" w:cs="Times New Roman"/>
        </w:rPr>
        <w:t>l’article</w:t>
      </w:r>
      <w:r>
        <w:rPr>
          <w:rFonts w:ascii="Times New Roman" w:hAnsi="Times New Roman" w:cs="Times New Roman"/>
        </w:rPr>
        <w:t> </w:t>
      </w:r>
      <w:r w:rsidRPr="00DC68FD">
        <w:rPr>
          <w:rFonts w:ascii="Times New Roman" w:hAnsi="Times New Roman" w:cs="Times New Roman"/>
        </w:rPr>
        <w:t>D</w:t>
      </w:r>
      <w:r>
        <w:rPr>
          <w:rFonts w:ascii="Times New Roman" w:hAnsi="Times New Roman" w:cs="Times New Roman"/>
        </w:rPr>
        <w:t> </w:t>
      </w:r>
      <w:r w:rsidRPr="00DC68FD">
        <w:rPr>
          <w:rFonts w:ascii="Times New Roman" w:hAnsi="Times New Roman" w:cs="Times New Roman"/>
        </w:rPr>
        <w:t>131-38 du code des juridictions financières de rendre définitive la condamnation à une amende pour un retard de vingt-deux mois pleins, soit la période du 1</w:t>
      </w:r>
      <w:r w:rsidRPr="00DC68FD">
        <w:rPr>
          <w:rFonts w:ascii="Times New Roman" w:hAnsi="Times New Roman" w:cs="Times New Roman"/>
          <w:vertAlign w:val="superscript"/>
        </w:rPr>
        <w:t>er</w:t>
      </w:r>
      <w:r w:rsidRPr="00DC68FD">
        <w:rPr>
          <w:rFonts w:ascii="Times New Roman" w:hAnsi="Times New Roman" w:cs="Times New Roman"/>
        </w:rPr>
        <w:t xml:space="preserve"> septembre 2005 au 30 juillet 2007, au taux de vingt-deux euros </w:t>
      </w:r>
      <w:r>
        <w:rPr>
          <w:rFonts w:ascii="Times New Roman" w:hAnsi="Times New Roman" w:cs="Times New Roman"/>
        </w:rPr>
        <w:t xml:space="preserve">(22 €) </w:t>
      </w:r>
      <w:r w:rsidRPr="00DC68FD">
        <w:rPr>
          <w:rFonts w:ascii="Times New Roman" w:hAnsi="Times New Roman" w:cs="Times New Roman"/>
        </w:rPr>
        <w:t>par mois ;</w:t>
      </w:r>
    </w:p>
    <w:p w:rsidR="00467DC5" w:rsidRPr="00DC68FD" w:rsidRDefault="00467DC5" w:rsidP="00DC68FD">
      <w:pPr>
        <w:pStyle w:val="PS"/>
        <w:rPr>
          <w:rFonts w:ascii="Times New Roman" w:hAnsi="Times New Roman" w:cs="Times New Roman"/>
        </w:rPr>
      </w:pPr>
      <w:r>
        <w:rPr>
          <w:rFonts w:ascii="Times New Roman" w:hAnsi="Times New Roman" w:cs="Times New Roman"/>
        </w:rPr>
        <w:br w:type="page"/>
      </w:r>
      <w:r w:rsidRPr="00DC68FD">
        <w:rPr>
          <w:rFonts w:ascii="Times New Roman" w:hAnsi="Times New Roman" w:cs="Times New Roman"/>
        </w:rPr>
        <w:t>Par ces motifs,</w:t>
      </w:r>
    </w:p>
    <w:p w:rsidR="00467DC5" w:rsidRPr="00DC68FD" w:rsidRDefault="00467DC5" w:rsidP="00BA09C7">
      <w:pPr>
        <w:pStyle w:val="PS"/>
        <w:ind w:firstLine="0"/>
        <w:jc w:val="center"/>
        <w:rPr>
          <w:rFonts w:ascii="Times New Roman" w:hAnsi="Times New Roman" w:cs="Times New Roman"/>
        </w:rPr>
      </w:pPr>
      <w:r w:rsidRPr="00DC68FD">
        <w:rPr>
          <w:rFonts w:ascii="Times New Roman" w:hAnsi="Times New Roman" w:cs="Times New Roman"/>
        </w:rPr>
        <w:t>STATUANT DEFINITIVEMENT,</w:t>
      </w:r>
    </w:p>
    <w:p w:rsidR="00467DC5" w:rsidRPr="00DC68FD" w:rsidRDefault="00467DC5" w:rsidP="00BA09C7">
      <w:pPr>
        <w:pStyle w:val="PS"/>
        <w:ind w:firstLine="0"/>
        <w:jc w:val="center"/>
        <w:rPr>
          <w:rFonts w:ascii="Times New Roman" w:hAnsi="Times New Roman" w:cs="Times New Roman"/>
        </w:rPr>
      </w:pPr>
      <w:r w:rsidRPr="00DC68FD">
        <w:rPr>
          <w:rFonts w:ascii="Times New Roman" w:hAnsi="Times New Roman" w:cs="Times New Roman"/>
        </w:rPr>
        <w:t>ORDONNE :</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 xml:space="preserve">M. X, agent comptable du FNOPA, est condamné à une amende de quatre </w:t>
      </w:r>
      <w:r>
        <w:rPr>
          <w:rFonts w:ascii="Times New Roman" w:hAnsi="Times New Roman" w:cs="Times New Roman"/>
        </w:rPr>
        <w:t>cent quatre-vingt quatre euros (484 €).</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Fait et jugé en la Cour des Comptes, cinquième chambre, première section, le sept mars deux mille huit. Présents : Mme Cornette, Présidente ; MM. Bayle, Durrleman, Mme Dayries, MM. Ténier, Guédon, conseillers maîtres et</w:t>
      </w:r>
      <w:r>
        <w:rPr>
          <w:rFonts w:ascii="Times New Roman" w:hAnsi="Times New Roman" w:cs="Times New Roman"/>
        </w:rPr>
        <w:t xml:space="preserve"> M. Sallois, Président maintenu faisant fonction de conseiller maître.</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Signé :</w:t>
      </w:r>
      <w:r w:rsidRPr="00A45525">
        <w:rPr>
          <w:rFonts w:ascii="Times New Roman" w:hAnsi="Times New Roman" w:cs="Times New Roman"/>
        </w:rPr>
        <w:t xml:space="preserve"> </w:t>
      </w:r>
      <w:r w:rsidRPr="00DC68FD">
        <w:rPr>
          <w:rFonts w:ascii="Times New Roman" w:hAnsi="Times New Roman" w:cs="Times New Roman"/>
        </w:rPr>
        <w:t xml:space="preserve">Cornette, </w:t>
      </w:r>
      <w:r>
        <w:rPr>
          <w:rFonts w:ascii="Times New Roman" w:hAnsi="Times New Roman" w:cs="Times New Roman"/>
        </w:rPr>
        <w:t>p</w:t>
      </w:r>
      <w:r w:rsidRPr="00DC68FD">
        <w:rPr>
          <w:rFonts w:ascii="Times New Roman" w:hAnsi="Times New Roman" w:cs="Times New Roman"/>
        </w:rPr>
        <w:t>résidente</w:t>
      </w:r>
      <w:r>
        <w:rPr>
          <w:rFonts w:ascii="Times New Roman" w:hAnsi="Times New Roman" w:cs="Times New Roman"/>
        </w:rPr>
        <w:t>, et</w:t>
      </w:r>
      <w:r w:rsidRPr="00DC68FD">
        <w:rPr>
          <w:rFonts w:ascii="Times New Roman" w:hAnsi="Times New Roman" w:cs="Times New Roman"/>
        </w:rPr>
        <w:t xml:space="preserve"> Donias, greffière</w:t>
      </w:r>
      <w:r>
        <w:rPr>
          <w:rFonts w:ascii="Times New Roman" w:hAnsi="Times New Roman" w:cs="Times New Roman"/>
        </w:rPr>
        <w:t>.</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 xml:space="preserve">Collationné, certifié conforme à la minute étant au greffe de la Cour des comptes. </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 xml:space="preserve">En conséquence, la République française mande et ordonne à tous huissiers de justice, sur ce requis, de mettre ledit arrêt à exécution, aux procureurs généraux et aux procureurs de la République près les tribunaux </w:t>
      </w:r>
      <w:r>
        <w:rPr>
          <w:rFonts w:ascii="Times New Roman" w:hAnsi="Times New Roman" w:cs="Times New Roman"/>
        </w:rPr>
        <w:t>de</w:t>
      </w:r>
      <w:r w:rsidRPr="00DC68FD">
        <w:rPr>
          <w:rFonts w:ascii="Times New Roman" w:hAnsi="Times New Roman" w:cs="Times New Roman"/>
        </w:rPr>
        <w:t xml:space="preserve"> grande instance d’y tenir la main, à tous commandants et officiers de la force publique de prêter main-forte lorsqu’ils en seront légalement requis.</w:t>
      </w:r>
    </w:p>
    <w:p w:rsidR="00467DC5" w:rsidRPr="00DC68FD" w:rsidRDefault="00467DC5" w:rsidP="00DC68FD">
      <w:pPr>
        <w:pStyle w:val="PS"/>
        <w:rPr>
          <w:rFonts w:ascii="Times New Roman" w:hAnsi="Times New Roman" w:cs="Times New Roman"/>
        </w:rPr>
      </w:pPr>
      <w:r w:rsidRPr="00DC68FD">
        <w:rPr>
          <w:rFonts w:ascii="Times New Roman" w:hAnsi="Times New Roman" w:cs="Times New Roman"/>
        </w:rPr>
        <w:t xml:space="preserve">Délivré par moi, secrétaire générale. </w:t>
      </w:r>
    </w:p>
    <w:sectPr w:rsidR="00467DC5" w:rsidRPr="00DC68FD" w:rsidSect="00467DC5">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DC5" w:rsidRDefault="00467DC5">
      <w:r>
        <w:separator/>
      </w:r>
    </w:p>
  </w:endnote>
  <w:endnote w:type="continuationSeparator" w:id="1">
    <w:p w:rsidR="00467DC5" w:rsidRDefault="00467D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DC5" w:rsidRDefault="00467DC5">
      <w:r>
        <w:separator/>
      </w:r>
    </w:p>
  </w:footnote>
  <w:footnote w:type="continuationSeparator" w:id="1">
    <w:p w:rsidR="00467DC5" w:rsidRDefault="00467D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DC5" w:rsidRDefault="00467DC5">
    <w:pPr>
      <w:pStyle w:val="Header"/>
      <w:jc w:val="right"/>
      <w:rPr>
        <w:sz w:val="24"/>
        <w:szCs w:val="24"/>
      </w:rPr>
    </w:pPr>
    <w:r>
      <w:rPr>
        <w:sz w:val="24"/>
        <w:szCs w:val="24"/>
      </w:rPr>
      <w:fldChar w:fldCharType="begin"/>
    </w:r>
    <w:r>
      <w:rPr>
        <w:sz w:val="24"/>
        <w:szCs w:val="24"/>
      </w:rPr>
      <w:instrText>PAGE</w:instrText>
    </w:r>
    <w:r>
      <w:rPr>
        <w:sz w:val="24"/>
        <w:szCs w:val="24"/>
      </w:rPr>
      <w:fldChar w:fldCharType="separate"/>
    </w:r>
    <w:r>
      <w:rPr>
        <w:noProof/>
        <w:sz w:val="24"/>
        <w:szCs w:val="24"/>
      </w:rPr>
      <w:t>3</w:t>
    </w:r>
    <w:r>
      <w:rPr>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09ED"/>
    <w:rsid w:val="00015581"/>
    <w:rsid w:val="001E124B"/>
    <w:rsid w:val="001F29C9"/>
    <w:rsid w:val="00467DC5"/>
    <w:rsid w:val="00521119"/>
    <w:rsid w:val="00590CAC"/>
    <w:rsid w:val="005E0BE3"/>
    <w:rsid w:val="006C3A87"/>
    <w:rsid w:val="0078697D"/>
    <w:rsid w:val="007B079B"/>
    <w:rsid w:val="008E33AC"/>
    <w:rsid w:val="009F6D17"/>
    <w:rsid w:val="00A45525"/>
    <w:rsid w:val="00B242D1"/>
    <w:rsid w:val="00B74617"/>
    <w:rsid w:val="00BA09C7"/>
    <w:rsid w:val="00DC68FD"/>
    <w:rsid w:val="00E354B5"/>
    <w:rsid w:val="00E409ED"/>
    <w:rsid w:val="00FE66E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aliases w:val="Car Car"/>
    <w:link w:val="Style"/>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101CE2"/>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101CE2"/>
    <w:rPr>
      <w:sz w:val="20"/>
      <w:szCs w:val="20"/>
    </w:rPr>
  </w:style>
  <w:style w:type="paragraph" w:customStyle="1" w:styleId="ET">
    <w:name w:val="ET"/>
    <w:basedOn w:val="Normal"/>
    <w:uiPriority w:val="99"/>
    <w:rPr>
      <w:rFonts w:ascii="CG Times (WN)" w:hAnsi="CG Times (WN)" w:cs="CG Times (WN)"/>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odyText">
    <w:name w:val="Body Text"/>
    <w:basedOn w:val="Normal"/>
    <w:link w:val="BodyTextChar"/>
    <w:uiPriority w:val="99"/>
    <w:rsid w:val="00590CAC"/>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101CE2"/>
    <w:rPr>
      <w:sz w:val="20"/>
      <w:szCs w:val="20"/>
    </w:rPr>
  </w:style>
  <w:style w:type="paragraph" w:styleId="NormalWeb">
    <w:name w:val="Normal (Web)"/>
    <w:basedOn w:val="Normal"/>
    <w:uiPriority w:val="99"/>
    <w:rsid w:val="00590CAC"/>
    <w:pPr>
      <w:spacing w:before="100" w:beforeAutospacing="1" w:after="100" w:afterAutospacing="1"/>
      <w:ind w:firstLine="709"/>
      <w:jc w:val="both"/>
    </w:pPr>
    <w:rPr>
      <w:sz w:val="24"/>
      <w:szCs w:val="24"/>
    </w:rPr>
  </w:style>
  <w:style w:type="paragraph" w:customStyle="1" w:styleId="Style">
    <w:name w:val="Style"/>
    <w:basedOn w:val="Normal"/>
    <w:link w:val="DefaultParagraphFont"/>
    <w:uiPriority w:val="99"/>
    <w:rsid w:val="00590CAC"/>
    <w:pPr>
      <w:spacing w:before="120" w:after="160" w:line="240" w:lineRule="exact"/>
      <w:ind w:firstLine="709"/>
      <w:jc w:val="both"/>
    </w:pPr>
    <w:rPr>
      <w:rFonts w:ascii="Tahoma" w:hAnsi="Tahoma" w:cs="Tahoma"/>
      <w:lang w:val="en-US" w:eastAsia="en-US"/>
    </w:rPr>
  </w:style>
  <w:style w:type="paragraph" w:customStyle="1" w:styleId="Rapport">
    <w:name w:val="Rapport"/>
    <w:basedOn w:val="Normal"/>
    <w:next w:val="BodyText"/>
    <w:uiPriority w:val="99"/>
    <w:rsid w:val="00590CAC"/>
    <w:pPr>
      <w:spacing w:before="240" w:after="240"/>
      <w:ind w:firstLine="709"/>
      <w:jc w:val="center"/>
    </w:pPr>
    <w:rPr>
      <w:b/>
      <w:bCs/>
      <w:smallCaps/>
      <w:sz w:val="36"/>
      <w:szCs w:val="36"/>
    </w:rPr>
  </w:style>
  <w:style w:type="character" w:styleId="CommentReference">
    <w:name w:val="annotation reference"/>
    <w:basedOn w:val="DefaultParagraphFont"/>
    <w:uiPriority w:val="99"/>
    <w:semiHidden/>
    <w:rsid w:val="00590CAC"/>
    <w:rPr>
      <w:sz w:val="16"/>
      <w:szCs w:val="16"/>
    </w:rPr>
  </w:style>
  <w:style w:type="paragraph" w:customStyle="1" w:styleId="ps0">
    <w:name w:val="ps"/>
    <w:basedOn w:val="Normal"/>
    <w:uiPriority w:val="99"/>
    <w:rsid w:val="00590CAC"/>
    <w:pPr>
      <w:spacing w:before="100" w:beforeAutospacing="1" w:after="100" w:afterAutospacing="1"/>
    </w:pPr>
    <w:rPr>
      <w:sz w:val="24"/>
      <w:szCs w:val="24"/>
    </w:rPr>
  </w:style>
  <w:style w:type="character" w:styleId="PageNumber">
    <w:name w:val="page number"/>
    <w:basedOn w:val="DefaultParagraphFont"/>
    <w:uiPriority w:val="99"/>
    <w:rsid w:val="005E0BE3"/>
  </w:style>
  <w:style w:type="paragraph" w:styleId="BalloonText">
    <w:name w:val="Balloon Text"/>
    <w:basedOn w:val="Normal"/>
    <w:link w:val="BalloonTextChar"/>
    <w:uiPriority w:val="99"/>
    <w:semiHidden/>
    <w:rsid w:val="006C3A87"/>
    <w:rPr>
      <w:rFonts w:ascii="Tahoma" w:hAnsi="Tahoma" w:cs="Tahoma"/>
      <w:sz w:val="16"/>
      <w:szCs w:val="16"/>
    </w:rPr>
  </w:style>
  <w:style w:type="character" w:customStyle="1" w:styleId="BalloonTextChar">
    <w:name w:val="Balloon Text Char"/>
    <w:basedOn w:val="DefaultParagraphFont"/>
    <w:link w:val="BalloonText"/>
    <w:uiPriority w:val="99"/>
    <w:semiHidden/>
    <w:rsid w:val="00101CE2"/>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1</Pages>
  <Words>644</Words>
  <Characters>3544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Maryté Lecroisey</cp:lastModifiedBy>
  <cp:revision>2</cp:revision>
  <cp:lastPrinted>2008-03-31T07:29:00Z</cp:lastPrinted>
  <dcterms:created xsi:type="dcterms:W3CDTF">2008-04-16T15:37:00Z</dcterms:created>
  <dcterms:modified xsi:type="dcterms:W3CDTF">2008-04-16T15:37:00Z</dcterms:modified>
</cp:coreProperties>
</file>