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5AE" w:rsidRDefault="007D65AE">
      <w:pPr>
        <w:pStyle w:val="ET"/>
      </w:pPr>
      <w:r>
        <w:t>cour des comptes</w:t>
      </w:r>
    </w:p>
    <w:p w:rsidR="007D65AE" w:rsidRDefault="007D65AE" w:rsidP="003C550F">
      <w:pPr>
        <w:pStyle w:val="ET"/>
        <w:ind w:left="851"/>
      </w:pPr>
      <w:r>
        <w:t>--------</w:t>
      </w:r>
    </w:p>
    <w:p w:rsidR="007D65AE" w:rsidRDefault="007D65AE">
      <w:pPr>
        <w:pStyle w:val="ET"/>
      </w:pPr>
      <w:r>
        <w:t>quatrieme chambre</w:t>
      </w:r>
    </w:p>
    <w:p w:rsidR="007D65AE" w:rsidRDefault="007D65AE" w:rsidP="003C550F">
      <w:pPr>
        <w:pStyle w:val="ET"/>
        <w:ind w:left="851"/>
      </w:pPr>
      <w:r>
        <w:t>--------</w:t>
      </w:r>
    </w:p>
    <w:p w:rsidR="007D65AE" w:rsidRDefault="007D65AE">
      <w:pPr>
        <w:pStyle w:val="ET"/>
      </w:pPr>
      <w:r>
        <w:t>premiere section</w:t>
      </w:r>
    </w:p>
    <w:p w:rsidR="007D65AE" w:rsidRDefault="007D65AE" w:rsidP="003C550F">
      <w:pPr>
        <w:pStyle w:val="ET"/>
        <w:ind w:left="851"/>
      </w:pPr>
      <w:r>
        <w:t>--------</w:t>
      </w:r>
    </w:p>
    <w:p w:rsidR="007D65AE" w:rsidRPr="003C550F" w:rsidRDefault="007D65AE" w:rsidP="003C550F">
      <w:pPr>
        <w:pStyle w:val="Header"/>
        <w:ind w:left="567"/>
        <w:rPr>
          <w:b/>
          <w:bCs/>
          <w:i/>
          <w:iCs/>
        </w:rPr>
      </w:pPr>
      <w:r>
        <w:fldChar w:fldCharType="begin"/>
      </w:r>
      <w:r>
        <w:fldChar w:fldCharType="end"/>
      </w:r>
      <w:r>
        <w:rPr>
          <w:b/>
          <w:bCs/>
          <w:i/>
          <w:iCs/>
        </w:rPr>
        <w:t>Arrêt n° 51727</w:t>
      </w:r>
    </w:p>
    <w:p w:rsidR="007D65AE" w:rsidRDefault="007D65AE">
      <w:pPr>
        <w:pStyle w:val="OR"/>
      </w:pPr>
      <w:r>
        <w:t>SYNDICAT INTERCOMMUNAL D’ALIMENTATION EN EAU POTABLE (SIAEP) de GUERBIGNY (SOMME)</w:t>
      </w:r>
    </w:p>
    <w:p w:rsidR="007D65AE" w:rsidRDefault="007D65AE">
      <w:pPr>
        <w:pStyle w:val="OR"/>
      </w:pPr>
    </w:p>
    <w:p w:rsidR="007D65AE" w:rsidRDefault="007D65AE">
      <w:pPr>
        <w:pStyle w:val="OR"/>
      </w:pPr>
      <w:r>
        <w:t>Appel d’un jugement de la chambre régionale des comptes de Picardie</w:t>
      </w:r>
    </w:p>
    <w:p w:rsidR="007D65AE" w:rsidRDefault="007D65AE">
      <w:pPr>
        <w:pStyle w:val="OR"/>
      </w:pPr>
    </w:p>
    <w:p w:rsidR="007D65AE" w:rsidRDefault="007D65AE">
      <w:pPr>
        <w:pStyle w:val="OR"/>
      </w:pPr>
      <w:r>
        <w:t>Rapport n° 2008-203-0</w:t>
      </w:r>
    </w:p>
    <w:p w:rsidR="007D65AE" w:rsidRDefault="007D65AE">
      <w:pPr>
        <w:pStyle w:val="OR"/>
      </w:pPr>
    </w:p>
    <w:p w:rsidR="007D65AE" w:rsidRDefault="007D65AE">
      <w:pPr>
        <w:pStyle w:val="OR"/>
      </w:pPr>
      <w:r>
        <w:t>Audience du 17 avril 2008</w:t>
      </w:r>
    </w:p>
    <w:p w:rsidR="007D65AE" w:rsidRDefault="007D65AE">
      <w:pPr>
        <w:pStyle w:val="OR"/>
      </w:pPr>
    </w:p>
    <w:p w:rsidR="007D65AE" w:rsidRDefault="007D65AE">
      <w:pPr>
        <w:pStyle w:val="OR"/>
      </w:pPr>
      <w:r>
        <w:t>Lecture publique du 22 mai 2008</w:t>
      </w:r>
    </w:p>
    <w:p w:rsidR="007D65AE" w:rsidRDefault="007D65AE" w:rsidP="00987C6F">
      <w:pPr>
        <w:pStyle w:val="PS"/>
        <w:spacing w:after="720"/>
      </w:pPr>
    </w:p>
    <w:p w:rsidR="007D65AE" w:rsidRDefault="007D65AE" w:rsidP="00987C6F">
      <w:pPr>
        <w:pStyle w:val="PS"/>
      </w:pPr>
      <w:r>
        <w:t>LA COUR DES COMPTES a rendu l’arrêt suivant :</w:t>
      </w:r>
    </w:p>
    <w:p w:rsidR="007D65AE" w:rsidRDefault="007D65AE" w:rsidP="003C550F">
      <w:pPr>
        <w:pStyle w:val="PS"/>
      </w:pPr>
      <w:r>
        <w:t>LA COUR,</w:t>
      </w:r>
    </w:p>
    <w:p w:rsidR="007D65AE" w:rsidRDefault="007D65AE" w:rsidP="003C550F">
      <w:pPr>
        <w:pStyle w:val="PS"/>
      </w:pPr>
      <w:r>
        <w:t>Vu la requête, enregistrée le 1</w:t>
      </w:r>
      <w:r w:rsidRPr="00E81A1F">
        <w:rPr>
          <w:vertAlign w:val="superscript"/>
        </w:rPr>
        <w:t>er</w:t>
      </w:r>
      <w:r>
        <w:t xml:space="preserve"> octobre 2007 au greffe de la chambre régionale des comptes de Picardie, par laquelle M. X, président du SYNDICAT INTERCOMMUNAL D’ALIMENTATION EN EAU POTABLE (SIAEP) de GUERBIGNY (SOMME), a élevé appel du </w:t>
      </w:r>
      <w:r w:rsidRPr="00C5461D">
        <w:t xml:space="preserve">jugement </w:t>
      </w:r>
      <w:r>
        <w:t>du 30 mai 2007 par lequel ladite chambre a déchargé de sa gestion M. Y, comptable dudit Syndicat, pour l’exercice 2005 ;</w:t>
      </w:r>
    </w:p>
    <w:p w:rsidR="007D65AE" w:rsidRDefault="007D65AE" w:rsidP="003C550F">
      <w:pPr>
        <w:pStyle w:val="PS"/>
      </w:pPr>
      <w:r>
        <w:t>Vu le jugement du 17 octobre 2006 par lequel la chambre régionale des comptes a déchargé M. Michel Y de sa gestion du 1</w:t>
      </w:r>
      <w:r w:rsidRPr="006022A2">
        <w:rPr>
          <w:vertAlign w:val="superscript"/>
        </w:rPr>
        <w:t>er</w:t>
      </w:r>
      <w:r>
        <w:t xml:space="preserve"> juillet 2003 au 31 décembre 2004 ;</w:t>
      </w:r>
    </w:p>
    <w:p w:rsidR="007D65AE" w:rsidRDefault="007D65AE" w:rsidP="003C550F">
      <w:pPr>
        <w:pStyle w:val="PS"/>
      </w:pPr>
      <w:r>
        <w:t>Vu le titre exécutoire de 47 505,22 € émis le 24 novembre 2005 par le SIAEP de Guerbigny à l’encontre de Mme Sabine Z ;</w:t>
      </w:r>
    </w:p>
    <w:p w:rsidR="007D65AE" w:rsidRDefault="007D65AE" w:rsidP="003C550F">
      <w:pPr>
        <w:pStyle w:val="PS"/>
      </w:pPr>
      <w:r>
        <w:t>Vu le réquisitoire du procureur général de la République, en date du 27 décembre 2007 transmettant la requête précitée ;</w:t>
      </w:r>
    </w:p>
    <w:p w:rsidR="007D65AE" w:rsidRDefault="007D65AE" w:rsidP="003C550F">
      <w:pPr>
        <w:pStyle w:val="PS"/>
      </w:pPr>
      <w:r w:rsidRPr="0021266F">
        <w:t>Vu les pièces de la procédure suivie en première instance ;</w:t>
      </w:r>
    </w:p>
    <w:p w:rsidR="007D65AE" w:rsidRDefault="007D65AE" w:rsidP="003C550F">
      <w:pPr>
        <w:pStyle w:val="IN"/>
      </w:pPr>
    </w:p>
    <w:p w:rsidR="007D65AE" w:rsidRDefault="007D65AE" w:rsidP="003C550F">
      <w:pPr>
        <w:pStyle w:val="IN"/>
      </w:pPr>
    </w:p>
    <w:p w:rsidR="007D65AE" w:rsidRDefault="007D65AE" w:rsidP="003C550F">
      <w:pPr>
        <w:pStyle w:val="IN"/>
      </w:pPr>
      <w:r>
        <w:t>HG</w:t>
      </w:r>
      <w:r>
        <w:fldChar w:fldCharType="begin"/>
      </w:r>
      <w:r>
        <w:fldChar w:fldCharType="end"/>
      </w:r>
    </w:p>
    <w:p w:rsidR="007D65AE" w:rsidRDefault="007D65AE" w:rsidP="003C550F">
      <w:pPr>
        <w:pStyle w:val="P0"/>
        <w:sectPr w:rsidR="007D65AE">
          <w:pgSz w:w="11907" w:h="16840"/>
          <w:pgMar w:top="1134" w:right="1134" w:bottom="1134" w:left="567" w:header="720" w:footer="720" w:gutter="0"/>
          <w:cols w:space="720"/>
        </w:sectPr>
      </w:pPr>
    </w:p>
    <w:p w:rsidR="007D65AE" w:rsidRPr="0021266F" w:rsidRDefault="007D65AE" w:rsidP="003C550F">
      <w:pPr>
        <w:pStyle w:val="PS"/>
        <w:spacing w:after="400"/>
      </w:pPr>
      <w:r>
        <w:t>Vu le mémoire en défense de M. Y, en date du 9 novembre 2007 ;</w:t>
      </w:r>
    </w:p>
    <w:p w:rsidR="007D65AE" w:rsidRPr="0021266F" w:rsidRDefault="007D65AE" w:rsidP="003C550F">
      <w:pPr>
        <w:pStyle w:val="PS"/>
        <w:spacing w:after="400"/>
      </w:pPr>
      <w:r>
        <w:t>Vu le code civil, et notamment son article 1256 ;</w:t>
      </w:r>
    </w:p>
    <w:p w:rsidR="007D65AE" w:rsidRPr="0021266F" w:rsidRDefault="007D65AE" w:rsidP="003C550F">
      <w:pPr>
        <w:pStyle w:val="PS"/>
        <w:spacing w:after="400"/>
      </w:pPr>
      <w:r w:rsidRPr="0021266F">
        <w:t xml:space="preserve">Vu le </w:t>
      </w:r>
      <w:r>
        <w:t>c</w:t>
      </w:r>
      <w:r w:rsidRPr="0021266F">
        <w:t>ode général des collectivités territoriales</w:t>
      </w:r>
      <w:r>
        <w:t xml:space="preserve"> </w:t>
      </w:r>
      <w:r w:rsidRPr="0021266F">
        <w:t>;</w:t>
      </w:r>
    </w:p>
    <w:p w:rsidR="007D65AE" w:rsidRPr="0021266F" w:rsidRDefault="007D65AE" w:rsidP="003C550F">
      <w:pPr>
        <w:pStyle w:val="PS"/>
        <w:spacing w:after="400"/>
      </w:pPr>
      <w:r w:rsidRPr="0021266F">
        <w:t>Vu l’article 60 de la loi de finances n°</w:t>
      </w:r>
      <w:r>
        <w:t> </w:t>
      </w:r>
      <w:r w:rsidRPr="0021266F">
        <w:t>63-156 du 23 février 1963 modifiée ;</w:t>
      </w:r>
    </w:p>
    <w:p w:rsidR="007D65AE" w:rsidRDefault="007D65AE" w:rsidP="003C550F">
      <w:pPr>
        <w:pStyle w:val="PS"/>
        <w:spacing w:after="400"/>
      </w:pPr>
      <w:r w:rsidRPr="0021266F">
        <w:t>Vu le décret n°</w:t>
      </w:r>
      <w:r>
        <w:t> </w:t>
      </w:r>
      <w:r w:rsidRPr="0021266F">
        <w:t>62-1587 du 29 décembre 1962 portant règlement général sur la comptabilité publique ;</w:t>
      </w:r>
    </w:p>
    <w:p w:rsidR="007D65AE" w:rsidRPr="0021266F" w:rsidRDefault="007D65AE" w:rsidP="003C550F">
      <w:pPr>
        <w:pStyle w:val="PS"/>
        <w:spacing w:after="400"/>
      </w:pPr>
      <w:r w:rsidRPr="0021266F">
        <w:t>Vu le Code des juridictions financières ;</w:t>
      </w:r>
    </w:p>
    <w:p w:rsidR="007D65AE" w:rsidRPr="0021266F" w:rsidRDefault="007D65AE" w:rsidP="003C550F">
      <w:pPr>
        <w:pStyle w:val="PS"/>
        <w:spacing w:after="400"/>
      </w:pPr>
      <w:r>
        <w:t>Vu</w:t>
      </w:r>
      <w:r w:rsidRPr="0021266F">
        <w:t xml:space="preserve"> le rapport de M. Philippe Geoffroy, conseiller référendaire ;</w:t>
      </w:r>
    </w:p>
    <w:p w:rsidR="007D65AE" w:rsidRPr="0021266F" w:rsidRDefault="007D65AE" w:rsidP="003C550F">
      <w:pPr>
        <w:pStyle w:val="PS"/>
        <w:spacing w:after="400"/>
      </w:pPr>
      <w:r w:rsidRPr="0021266F">
        <w:t>Vu les conclusions du procureur général de la République ;</w:t>
      </w:r>
    </w:p>
    <w:p w:rsidR="007D65AE" w:rsidRPr="00B82C1D" w:rsidRDefault="007D65AE" w:rsidP="003C550F">
      <w:pPr>
        <w:pStyle w:val="PS"/>
        <w:spacing w:after="400"/>
      </w:pPr>
      <w:r w:rsidRPr="00B82C1D">
        <w:t xml:space="preserve">Entendu, lors de l’audience publique de ce jour, </w:t>
      </w:r>
      <w:r>
        <w:t>M. Geoffroy,</w:t>
      </w:r>
      <w:r w:rsidRPr="00B82C1D">
        <w:t xml:space="preserve"> rapporteur</w:t>
      </w:r>
      <w:r>
        <w:t>,</w:t>
      </w:r>
      <w:r w:rsidRPr="00B82C1D">
        <w:t xml:space="preserve"> </w:t>
      </w:r>
      <w:r>
        <w:t>en</w:t>
      </w:r>
      <w:r w:rsidRPr="00B82C1D">
        <w:t xml:space="preserve"> son </w:t>
      </w:r>
      <w:r>
        <w:t>rapport</w:t>
      </w:r>
      <w:r w:rsidRPr="00B82C1D">
        <w:t xml:space="preserve">, M. </w:t>
      </w:r>
      <w:r>
        <w:t>Filippini</w:t>
      </w:r>
      <w:r w:rsidRPr="00B82C1D">
        <w:t xml:space="preserve">, avocat général, en ses conclusions, l’appelant, informé de l’audience, </w:t>
      </w:r>
      <w:r>
        <w:t xml:space="preserve"> </w:t>
      </w:r>
      <w:r w:rsidRPr="00610EC4">
        <w:t>n’étant ni présent ni représenté</w:t>
      </w:r>
      <w:r w:rsidRPr="00B82C1D">
        <w:t> ;</w:t>
      </w:r>
    </w:p>
    <w:p w:rsidR="007D65AE" w:rsidRPr="00B82C1D" w:rsidRDefault="007D65AE" w:rsidP="003C550F">
      <w:pPr>
        <w:pStyle w:val="PS"/>
        <w:spacing w:after="400"/>
      </w:pPr>
      <w:r w:rsidRPr="00B82C1D">
        <w:t xml:space="preserve">Entendu, </w:t>
      </w:r>
      <w:r>
        <w:t>en délibéré</w:t>
      </w:r>
      <w:r w:rsidRPr="00B82C1D">
        <w:t xml:space="preserve">, M. </w:t>
      </w:r>
      <w:r>
        <w:t xml:space="preserve">Moreau, président de section, </w:t>
      </w:r>
      <w:r w:rsidRPr="00B82C1D">
        <w:t>en ses observations ;</w:t>
      </w:r>
    </w:p>
    <w:p w:rsidR="007D65AE" w:rsidRDefault="007D65AE" w:rsidP="003C550F">
      <w:pPr>
        <w:pStyle w:val="PS"/>
        <w:spacing w:after="400"/>
      </w:pPr>
      <w:r>
        <w:t>Attendu que par jugement du 30 mai 2007 susvisé, la chambre régionale des comptes de Picardie a déchargé de sa gestion M. Y, comptable du Syndicat d’alimentation en eau potable (SIAEP) de Guerbigny (Somme), du 1</w:t>
      </w:r>
      <w:r w:rsidRPr="00C1492F">
        <w:rPr>
          <w:vertAlign w:val="superscript"/>
        </w:rPr>
        <w:t>er</w:t>
      </w:r>
      <w:r>
        <w:t> janvier au 31 décembre 2005 ;</w:t>
      </w:r>
    </w:p>
    <w:p w:rsidR="007D65AE" w:rsidRDefault="007D65AE" w:rsidP="003C550F">
      <w:pPr>
        <w:pStyle w:val="PS"/>
        <w:spacing w:after="400"/>
      </w:pPr>
      <w:r>
        <w:t>Attendu que le SIAEP, représenté par M. X, fait valoir que Mme Sabine Z, employée de cet établissement, en a détourné des fonds en 2004 et 2005 ; que des sommes destinées à des fournisseurs ont été virées par le comptable sur des comptes bancaires détenus par l’intéressée au lieu de ceux des véritables créanciers ; que ce détournement a été permis par les lacunes de contrôle du comptable sur les mandats concernés ; que le SIAEP conteste ainsi la décharge de M. Y prononcée par le jugement dont est appel ;</w:t>
      </w:r>
    </w:p>
    <w:p w:rsidR="007D65AE" w:rsidRDefault="007D65AE" w:rsidP="003C550F">
      <w:pPr>
        <w:pStyle w:val="PS"/>
        <w:spacing w:after="400"/>
        <w:rPr>
          <w:b/>
          <w:bCs/>
          <w:i/>
          <w:iCs/>
        </w:rPr>
      </w:pPr>
      <w:r>
        <w:rPr>
          <w:b/>
          <w:bCs/>
          <w:i/>
          <w:iCs/>
        </w:rPr>
        <w:t>Sur le principe de la responsabilité du comptable :</w:t>
      </w:r>
    </w:p>
    <w:p w:rsidR="007D65AE" w:rsidRDefault="007D65AE" w:rsidP="003C550F">
      <w:pPr>
        <w:pStyle w:val="PS"/>
      </w:pPr>
      <w:r>
        <w:t xml:space="preserve">Attendu qu’en application de l’article 60 de la loi n° </w:t>
      </w:r>
      <w:r>
        <w:rPr>
          <w:rStyle w:val="titremenu"/>
        </w:rPr>
        <w:t>63-156 du 23 février 1963 modifiée susvisée, l</w:t>
      </w:r>
      <w:r>
        <w:t>es comptables publics sont personnellement et pécuniairement responsables du paiement des dépenses et des contrôles qu'ils sont tenus d'assurer en matière de dépenses, dans les conditions prévues par le règlement général sur la comptabilité publique, et que leur responsabilité personnelle et pécuniaire se trouve engagée dès lors qu'une dépense a été irrégulièrement payée ;</w:t>
      </w:r>
    </w:p>
    <w:p w:rsidR="007D65AE" w:rsidRDefault="007D65AE" w:rsidP="003C550F">
      <w:pPr>
        <w:pStyle w:val="PS"/>
      </w:pPr>
      <w:r>
        <w:t>Attendu qu’en application de l’article 12 du décret n° 62-1587 susvisé, les comptables sont tenus d’exercer, en matière de dépenses, le contrôle du caractère libératoire du règlement ; que ce contrôle porte, en particulier, sur l’identité du bénéficiaire du paiement et, dans le cas d’un virement bancaire, sur l’exactitude des coordonnées du compte ;</w:t>
      </w:r>
    </w:p>
    <w:p w:rsidR="007D65AE" w:rsidRDefault="007D65AE" w:rsidP="003C550F">
      <w:pPr>
        <w:pStyle w:val="PS"/>
      </w:pPr>
      <w:r>
        <w:t>Attendu que la réalité des détournements de fonds publics est établie par les pièces figurant au dossier, pour des montants de 11 601,55 € en 2004 et 35 903,67 € en 2005 ; qu’ainsi les paiements effectués à ce titre n’avaient pas de caractère libératoire ;</w:t>
      </w:r>
    </w:p>
    <w:p w:rsidR="007D65AE" w:rsidRDefault="007D65AE" w:rsidP="003C550F">
      <w:pPr>
        <w:pStyle w:val="PS"/>
      </w:pPr>
      <w:r>
        <w:t>Attendu que ces détournements ont été permis par la substitution par Mme Z de son nom ou ses initiales et de ses coordonnées bancaires propres à ceux et celles de fournisseurs, sur les données figurant dans les disquettes informatiques transmises à la Trésorerie de Montdidier parallèlement au dossier papier ;</w:t>
      </w:r>
    </w:p>
    <w:p w:rsidR="007D65AE" w:rsidRPr="00CD396B" w:rsidRDefault="007D65AE" w:rsidP="003C550F">
      <w:pPr>
        <w:pStyle w:val="PS"/>
      </w:pPr>
      <w:r>
        <w:t xml:space="preserve">Attendu que M. Michel Y fait valoir que les contrôles de rapprochement des pièces justificatives et des mandats matériels ont bien été effectués, mais que la méthode de détournement reposait sur la seule distorsion entre les coordonnées figurant sur les supports </w:t>
      </w:r>
      <w:r w:rsidRPr="00CD396B">
        <w:t>informatiques, d’une part, sur les supports papier, de l’autre ; qu’il fait également valoir qu’un titre de recettes exécutoire a été émis à l’encontre de Mme Z ;</w:t>
      </w:r>
    </w:p>
    <w:p w:rsidR="007D65AE" w:rsidRDefault="007D65AE" w:rsidP="003C550F">
      <w:pPr>
        <w:pStyle w:val="PS"/>
      </w:pPr>
      <w:r>
        <w:t>Attendu que, pour les mandats incriminés, le comptable ne s’est pas assuré que l’identité du créancier et ses coordonnées bancaires transmises par voie dématérialisée et utilisées pour la mise en paiement étaient identiques à celles correspondant aux informations portées sur les pièces justificatives matérielles venant à l’appui des mandats ; que ces contrôles étaient possibles avant la mise en paiement, en rapprochant les données informatiques affichées par les logiciels et celles figurant sur les pièces ; que cette situation n’est pas constitutive d’un cas de force majeure au sens du V de l’article 60 de la loi du 23 février 1963 susvisée, mais traduit un défaut de contrôle du comptable au sens de l’article 12 du décret n° 62-1587 susvisé </w:t>
      </w:r>
      <w:r w:rsidRPr="003C550F">
        <w:t>; </w:t>
      </w:r>
      <w:r>
        <w:t>qu’ainsi la responsabilité du comptable est susceptible d’être engagée ; que le jugement de la chambre régionale des comptes doit dès lors être infirmé ;</w:t>
      </w:r>
    </w:p>
    <w:p w:rsidR="007D65AE" w:rsidRDefault="007D65AE" w:rsidP="003C550F">
      <w:pPr>
        <w:pStyle w:val="PS"/>
      </w:pPr>
      <w:r>
        <w:t>Attendu que saisie par l’effet dévolutif de l’appel, la Cour doit examiner les dépenses évoquées par l’appelant ;</w:t>
      </w:r>
    </w:p>
    <w:p w:rsidR="007D65AE" w:rsidRPr="004C0A71" w:rsidRDefault="007D65AE" w:rsidP="003C550F">
      <w:pPr>
        <w:pStyle w:val="PS"/>
        <w:rPr>
          <w:b/>
          <w:bCs/>
          <w:i/>
          <w:iCs/>
        </w:rPr>
      </w:pPr>
      <w:r w:rsidRPr="004C0A71">
        <w:rPr>
          <w:b/>
          <w:bCs/>
          <w:i/>
          <w:iCs/>
        </w:rPr>
        <w:t xml:space="preserve">Sur les mandats </w:t>
      </w:r>
      <w:r>
        <w:rPr>
          <w:b/>
          <w:bCs/>
          <w:i/>
          <w:iCs/>
        </w:rPr>
        <w:t xml:space="preserve">irrégulièrement payés </w:t>
      </w:r>
      <w:r w:rsidRPr="004C0A71">
        <w:rPr>
          <w:b/>
          <w:bCs/>
          <w:i/>
          <w:iCs/>
        </w:rPr>
        <w:t>au titre desquels cette responsabilité peut être engagée</w:t>
      </w:r>
      <w:r>
        <w:rPr>
          <w:b/>
          <w:bCs/>
          <w:i/>
          <w:iCs/>
        </w:rPr>
        <w:t> :</w:t>
      </w:r>
    </w:p>
    <w:p w:rsidR="007D65AE" w:rsidRDefault="007D65AE" w:rsidP="003C550F">
      <w:pPr>
        <w:pStyle w:val="PS"/>
      </w:pPr>
      <w:r>
        <w:t xml:space="preserve">Attendu que la responsabilité du comptable ne peut être mise en jeu à raison de faits survenus lors d’un exercice pour lequel il a été déchargé de sa gestion ; </w:t>
      </w:r>
    </w:p>
    <w:p w:rsidR="007D65AE" w:rsidRDefault="007D65AE" w:rsidP="003C0687">
      <w:pPr>
        <w:pStyle w:val="PS"/>
        <w:spacing w:after="400"/>
      </w:pPr>
      <w:r>
        <w:t>Attendu que M. Y a été déchargé de sa gestion au 31 décembre 2004 par le jugement du 17 octobre 2006 susvisé ; que dès lors sa responsabilité ne peut être engagée au titre de mandats antérieurs au 1</w:t>
      </w:r>
      <w:r w:rsidRPr="00DB13E5">
        <w:rPr>
          <w:vertAlign w:val="superscript"/>
        </w:rPr>
        <w:t>er</w:t>
      </w:r>
      <w:r>
        <w:t xml:space="preserve"> janvier 2005 ; </w:t>
      </w:r>
    </w:p>
    <w:p w:rsidR="007D65AE" w:rsidRPr="009E682B" w:rsidRDefault="007D65AE" w:rsidP="003C550F">
      <w:pPr>
        <w:pStyle w:val="PS"/>
      </w:pPr>
      <w:r>
        <w:t xml:space="preserve">Attendu ainsi qu’il convient de retenir </w:t>
      </w:r>
      <w:r w:rsidRPr="009E682B">
        <w:t>les mandats suivants, pour un montant total de 35 903,67 € ;</w:t>
      </w:r>
    </w:p>
    <w:tbl>
      <w:tblPr>
        <w:tblW w:w="8700" w:type="dxa"/>
        <w:tblInd w:w="1562" w:type="dxa"/>
        <w:tblCellMar>
          <w:left w:w="70" w:type="dxa"/>
          <w:right w:w="70" w:type="dxa"/>
        </w:tblCellMar>
        <w:tblLook w:val="0000"/>
      </w:tblPr>
      <w:tblGrid>
        <w:gridCol w:w="3820"/>
        <w:gridCol w:w="1520"/>
        <w:gridCol w:w="1940"/>
        <w:gridCol w:w="1420"/>
      </w:tblGrid>
      <w:tr w:rsidR="007D65AE" w:rsidRPr="009E682B">
        <w:trPr>
          <w:trHeight w:val="255"/>
        </w:trPr>
        <w:tc>
          <w:tcPr>
            <w:tcW w:w="3820" w:type="dxa"/>
            <w:tcBorders>
              <w:top w:val="single" w:sz="4" w:space="0" w:color="auto"/>
              <w:left w:val="single" w:sz="4" w:space="0" w:color="auto"/>
              <w:bottom w:val="single" w:sz="4" w:space="0" w:color="auto"/>
              <w:right w:val="single" w:sz="8" w:space="0" w:color="auto"/>
            </w:tcBorders>
            <w:noWrap/>
            <w:vAlign w:val="bottom"/>
          </w:tcPr>
          <w:p w:rsidR="007D65AE" w:rsidRPr="009E682B" w:rsidRDefault="007D65AE" w:rsidP="003C0687">
            <w:r w:rsidRPr="009E682B">
              <w:t>Bénéficiaire porté sur le mandat</w:t>
            </w:r>
          </w:p>
        </w:tc>
        <w:tc>
          <w:tcPr>
            <w:tcW w:w="1520" w:type="dxa"/>
            <w:tcBorders>
              <w:top w:val="single" w:sz="4" w:space="0" w:color="auto"/>
              <w:left w:val="nil"/>
              <w:bottom w:val="single" w:sz="4" w:space="0" w:color="auto"/>
              <w:right w:val="nil"/>
            </w:tcBorders>
            <w:noWrap/>
            <w:vAlign w:val="bottom"/>
          </w:tcPr>
          <w:p w:rsidR="007D65AE" w:rsidRPr="009E682B" w:rsidRDefault="007D65AE" w:rsidP="003C0687">
            <w:pPr>
              <w:jc w:val="center"/>
            </w:pPr>
            <w:r w:rsidRPr="009E682B">
              <w:t>N° de mandat</w:t>
            </w:r>
          </w:p>
        </w:tc>
        <w:tc>
          <w:tcPr>
            <w:tcW w:w="1940" w:type="dxa"/>
            <w:tcBorders>
              <w:top w:val="single" w:sz="4" w:space="0" w:color="auto"/>
              <w:left w:val="single" w:sz="8" w:space="0" w:color="auto"/>
              <w:bottom w:val="single" w:sz="4" w:space="0" w:color="auto"/>
              <w:right w:val="single" w:sz="8" w:space="0" w:color="auto"/>
            </w:tcBorders>
            <w:noWrap/>
            <w:vAlign w:val="bottom"/>
          </w:tcPr>
          <w:p w:rsidR="007D65AE" w:rsidRPr="009E682B" w:rsidRDefault="007D65AE" w:rsidP="003C0687">
            <w:pPr>
              <w:jc w:val="center"/>
            </w:pPr>
            <w:r w:rsidRPr="009E682B">
              <w:t>Date du paiement</w:t>
            </w:r>
          </w:p>
        </w:tc>
        <w:tc>
          <w:tcPr>
            <w:tcW w:w="1420" w:type="dxa"/>
            <w:tcBorders>
              <w:top w:val="single" w:sz="4" w:space="0" w:color="auto"/>
              <w:left w:val="nil"/>
              <w:bottom w:val="single" w:sz="4" w:space="0" w:color="auto"/>
              <w:right w:val="single" w:sz="4" w:space="0" w:color="auto"/>
            </w:tcBorders>
            <w:noWrap/>
            <w:vAlign w:val="bottom"/>
          </w:tcPr>
          <w:p w:rsidR="007D65AE" w:rsidRPr="009E682B" w:rsidRDefault="007D65AE" w:rsidP="003C0687">
            <w:pPr>
              <w:jc w:val="center"/>
            </w:pPr>
            <w:r w:rsidRPr="009E682B">
              <w:t>Montant</w:t>
            </w:r>
          </w:p>
        </w:tc>
      </w:tr>
      <w:tr w:rsidR="007D65AE" w:rsidRPr="009E682B">
        <w:trPr>
          <w:trHeight w:val="255"/>
        </w:trPr>
        <w:tc>
          <w:tcPr>
            <w:tcW w:w="3820" w:type="dxa"/>
            <w:tcBorders>
              <w:top w:val="single" w:sz="4" w:space="0" w:color="auto"/>
              <w:left w:val="single" w:sz="4" w:space="0" w:color="auto"/>
              <w:bottom w:val="single" w:sz="4" w:space="0" w:color="auto"/>
              <w:right w:val="single" w:sz="8" w:space="0" w:color="auto"/>
            </w:tcBorders>
            <w:noWrap/>
            <w:vAlign w:val="bottom"/>
          </w:tcPr>
          <w:p w:rsidR="007D65AE" w:rsidRPr="009E682B" w:rsidRDefault="007D65AE" w:rsidP="003C0687">
            <w:r w:rsidRPr="009E682B">
              <w:t>SICAE</w:t>
            </w:r>
          </w:p>
        </w:tc>
        <w:tc>
          <w:tcPr>
            <w:tcW w:w="1520" w:type="dxa"/>
            <w:tcBorders>
              <w:top w:val="single" w:sz="4" w:space="0" w:color="auto"/>
              <w:left w:val="nil"/>
              <w:bottom w:val="single" w:sz="4" w:space="0" w:color="auto"/>
              <w:right w:val="nil"/>
            </w:tcBorders>
            <w:noWrap/>
            <w:vAlign w:val="bottom"/>
          </w:tcPr>
          <w:p w:rsidR="007D65AE" w:rsidRPr="009E682B" w:rsidRDefault="007D65AE" w:rsidP="003C0687">
            <w:pPr>
              <w:jc w:val="center"/>
            </w:pPr>
            <w:r w:rsidRPr="009E682B">
              <w:t>47</w:t>
            </w:r>
          </w:p>
        </w:tc>
        <w:tc>
          <w:tcPr>
            <w:tcW w:w="1940" w:type="dxa"/>
            <w:tcBorders>
              <w:top w:val="single" w:sz="4" w:space="0" w:color="auto"/>
              <w:left w:val="single" w:sz="8" w:space="0" w:color="auto"/>
              <w:bottom w:val="single" w:sz="4" w:space="0" w:color="auto"/>
              <w:right w:val="single" w:sz="8" w:space="0" w:color="auto"/>
            </w:tcBorders>
            <w:noWrap/>
            <w:vAlign w:val="bottom"/>
          </w:tcPr>
          <w:p w:rsidR="007D65AE" w:rsidRPr="009E682B" w:rsidRDefault="007D65AE" w:rsidP="003C0687">
            <w:pPr>
              <w:jc w:val="center"/>
            </w:pPr>
            <w:r w:rsidRPr="009E682B">
              <w:t>17/02/2005</w:t>
            </w:r>
          </w:p>
        </w:tc>
        <w:tc>
          <w:tcPr>
            <w:tcW w:w="1420" w:type="dxa"/>
            <w:tcBorders>
              <w:top w:val="single" w:sz="4" w:space="0" w:color="auto"/>
              <w:left w:val="nil"/>
              <w:bottom w:val="single" w:sz="4" w:space="0" w:color="auto"/>
              <w:right w:val="single" w:sz="4" w:space="0" w:color="auto"/>
            </w:tcBorders>
            <w:noWrap/>
            <w:vAlign w:val="bottom"/>
          </w:tcPr>
          <w:p w:rsidR="007D65AE" w:rsidRPr="009E682B" w:rsidRDefault="007D65AE" w:rsidP="003C0687">
            <w:pPr>
              <w:jc w:val="center"/>
            </w:pPr>
            <w:r w:rsidRPr="009E682B">
              <w:t>4 094,61 €</w:t>
            </w:r>
          </w:p>
        </w:tc>
      </w:tr>
      <w:tr w:rsidR="007D65AE" w:rsidRPr="009E682B">
        <w:trPr>
          <w:trHeight w:val="255"/>
        </w:trPr>
        <w:tc>
          <w:tcPr>
            <w:tcW w:w="3820" w:type="dxa"/>
            <w:tcBorders>
              <w:top w:val="nil"/>
              <w:left w:val="single" w:sz="8" w:space="0" w:color="auto"/>
              <w:bottom w:val="single" w:sz="4" w:space="0" w:color="auto"/>
              <w:right w:val="single" w:sz="8" w:space="0" w:color="auto"/>
            </w:tcBorders>
            <w:noWrap/>
            <w:vAlign w:val="bottom"/>
          </w:tcPr>
          <w:p w:rsidR="007D65AE" w:rsidRPr="009E682B" w:rsidRDefault="007D65AE" w:rsidP="003C0687">
            <w:r w:rsidRPr="009E682B">
              <w:t>SICAE</w:t>
            </w:r>
          </w:p>
        </w:tc>
        <w:tc>
          <w:tcPr>
            <w:tcW w:w="1520" w:type="dxa"/>
            <w:tcBorders>
              <w:top w:val="nil"/>
              <w:left w:val="nil"/>
              <w:bottom w:val="single" w:sz="4" w:space="0" w:color="auto"/>
              <w:right w:val="nil"/>
            </w:tcBorders>
            <w:noWrap/>
            <w:vAlign w:val="bottom"/>
          </w:tcPr>
          <w:p w:rsidR="007D65AE" w:rsidRPr="009E682B" w:rsidRDefault="007D65AE" w:rsidP="003C0687">
            <w:pPr>
              <w:jc w:val="center"/>
            </w:pPr>
            <w:r w:rsidRPr="009E682B">
              <w:t>68</w:t>
            </w:r>
          </w:p>
        </w:tc>
        <w:tc>
          <w:tcPr>
            <w:tcW w:w="1940" w:type="dxa"/>
            <w:tcBorders>
              <w:top w:val="nil"/>
              <w:left w:val="single" w:sz="8" w:space="0" w:color="auto"/>
              <w:bottom w:val="single" w:sz="4" w:space="0" w:color="auto"/>
              <w:right w:val="single" w:sz="8" w:space="0" w:color="auto"/>
            </w:tcBorders>
            <w:noWrap/>
            <w:vAlign w:val="bottom"/>
          </w:tcPr>
          <w:p w:rsidR="007D65AE" w:rsidRPr="009E682B" w:rsidRDefault="007D65AE" w:rsidP="003C0687">
            <w:pPr>
              <w:jc w:val="center"/>
            </w:pPr>
            <w:r w:rsidRPr="009E682B">
              <w:t>11/03/2005</w:t>
            </w:r>
          </w:p>
        </w:tc>
        <w:tc>
          <w:tcPr>
            <w:tcW w:w="1420" w:type="dxa"/>
            <w:tcBorders>
              <w:top w:val="nil"/>
              <w:left w:val="nil"/>
              <w:bottom w:val="single" w:sz="4" w:space="0" w:color="auto"/>
              <w:right w:val="single" w:sz="8" w:space="0" w:color="auto"/>
            </w:tcBorders>
            <w:noWrap/>
            <w:vAlign w:val="bottom"/>
          </w:tcPr>
          <w:p w:rsidR="007D65AE" w:rsidRPr="009E682B" w:rsidRDefault="007D65AE" w:rsidP="003C0687">
            <w:pPr>
              <w:jc w:val="center"/>
            </w:pPr>
            <w:r w:rsidRPr="009E682B">
              <w:t>3 493,10 €</w:t>
            </w:r>
          </w:p>
        </w:tc>
      </w:tr>
      <w:tr w:rsidR="007D65AE" w:rsidRPr="009E682B">
        <w:trPr>
          <w:trHeight w:val="255"/>
        </w:trPr>
        <w:tc>
          <w:tcPr>
            <w:tcW w:w="3820" w:type="dxa"/>
            <w:tcBorders>
              <w:top w:val="nil"/>
              <w:left w:val="single" w:sz="8" w:space="0" w:color="auto"/>
              <w:bottom w:val="single" w:sz="4" w:space="0" w:color="auto"/>
              <w:right w:val="single" w:sz="8" w:space="0" w:color="auto"/>
            </w:tcBorders>
            <w:noWrap/>
            <w:vAlign w:val="bottom"/>
          </w:tcPr>
          <w:p w:rsidR="007D65AE" w:rsidRPr="009E682B" w:rsidRDefault="007D65AE" w:rsidP="003C0687">
            <w:r w:rsidRPr="009E682B">
              <w:t>SOCCA</w:t>
            </w:r>
          </w:p>
        </w:tc>
        <w:tc>
          <w:tcPr>
            <w:tcW w:w="1520" w:type="dxa"/>
            <w:tcBorders>
              <w:top w:val="nil"/>
              <w:left w:val="nil"/>
              <w:bottom w:val="single" w:sz="4" w:space="0" w:color="auto"/>
              <w:right w:val="nil"/>
            </w:tcBorders>
            <w:noWrap/>
            <w:vAlign w:val="bottom"/>
          </w:tcPr>
          <w:p w:rsidR="007D65AE" w:rsidRPr="009E682B" w:rsidRDefault="007D65AE" w:rsidP="003C0687">
            <w:pPr>
              <w:jc w:val="center"/>
            </w:pPr>
            <w:r w:rsidRPr="009E682B">
              <w:t>120</w:t>
            </w:r>
          </w:p>
        </w:tc>
        <w:tc>
          <w:tcPr>
            <w:tcW w:w="1940" w:type="dxa"/>
            <w:tcBorders>
              <w:top w:val="nil"/>
              <w:left w:val="single" w:sz="8" w:space="0" w:color="auto"/>
              <w:bottom w:val="single" w:sz="4" w:space="0" w:color="auto"/>
              <w:right w:val="single" w:sz="8" w:space="0" w:color="auto"/>
            </w:tcBorders>
            <w:noWrap/>
            <w:vAlign w:val="bottom"/>
          </w:tcPr>
          <w:p w:rsidR="007D65AE" w:rsidRPr="009E682B" w:rsidRDefault="007D65AE" w:rsidP="003C0687">
            <w:pPr>
              <w:jc w:val="center"/>
            </w:pPr>
            <w:r w:rsidRPr="009E682B">
              <w:t>11/04/2005</w:t>
            </w:r>
          </w:p>
        </w:tc>
        <w:tc>
          <w:tcPr>
            <w:tcW w:w="1420" w:type="dxa"/>
            <w:tcBorders>
              <w:top w:val="nil"/>
              <w:left w:val="nil"/>
              <w:bottom w:val="single" w:sz="4" w:space="0" w:color="auto"/>
              <w:right w:val="single" w:sz="8" w:space="0" w:color="auto"/>
            </w:tcBorders>
            <w:noWrap/>
            <w:vAlign w:val="bottom"/>
          </w:tcPr>
          <w:p w:rsidR="007D65AE" w:rsidRPr="009E682B" w:rsidRDefault="007D65AE" w:rsidP="003C0687">
            <w:pPr>
              <w:jc w:val="center"/>
            </w:pPr>
            <w:r w:rsidRPr="009E682B">
              <w:t>1 962,88 €</w:t>
            </w:r>
          </w:p>
        </w:tc>
      </w:tr>
      <w:tr w:rsidR="007D65AE" w:rsidRPr="009E682B">
        <w:trPr>
          <w:trHeight w:val="255"/>
        </w:trPr>
        <w:tc>
          <w:tcPr>
            <w:tcW w:w="3820" w:type="dxa"/>
            <w:tcBorders>
              <w:top w:val="nil"/>
              <w:left w:val="single" w:sz="8" w:space="0" w:color="auto"/>
              <w:bottom w:val="single" w:sz="4" w:space="0" w:color="auto"/>
              <w:right w:val="single" w:sz="8" w:space="0" w:color="auto"/>
            </w:tcBorders>
            <w:noWrap/>
            <w:vAlign w:val="bottom"/>
          </w:tcPr>
          <w:p w:rsidR="007D65AE" w:rsidRPr="009E682B" w:rsidRDefault="007D65AE" w:rsidP="003C0687">
            <w:r w:rsidRPr="009E682B">
              <w:t>PERSOHN</w:t>
            </w:r>
          </w:p>
        </w:tc>
        <w:tc>
          <w:tcPr>
            <w:tcW w:w="1520" w:type="dxa"/>
            <w:tcBorders>
              <w:top w:val="nil"/>
              <w:left w:val="nil"/>
              <w:bottom w:val="single" w:sz="4" w:space="0" w:color="auto"/>
              <w:right w:val="nil"/>
            </w:tcBorders>
            <w:noWrap/>
            <w:vAlign w:val="bottom"/>
          </w:tcPr>
          <w:p w:rsidR="007D65AE" w:rsidRPr="009E682B" w:rsidRDefault="007D65AE" w:rsidP="003C0687">
            <w:pPr>
              <w:jc w:val="center"/>
            </w:pPr>
            <w:r w:rsidRPr="009E682B">
              <w:t>122</w:t>
            </w:r>
          </w:p>
        </w:tc>
        <w:tc>
          <w:tcPr>
            <w:tcW w:w="1940" w:type="dxa"/>
            <w:tcBorders>
              <w:top w:val="nil"/>
              <w:left w:val="single" w:sz="8" w:space="0" w:color="auto"/>
              <w:bottom w:val="single" w:sz="4" w:space="0" w:color="auto"/>
              <w:right w:val="single" w:sz="8" w:space="0" w:color="auto"/>
            </w:tcBorders>
            <w:noWrap/>
            <w:vAlign w:val="bottom"/>
          </w:tcPr>
          <w:p w:rsidR="007D65AE" w:rsidRPr="009E682B" w:rsidRDefault="007D65AE" w:rsidP="003C0687">
            <w:pPr>
              <w:jc w:val="center"/>
            </w:pPr>
            <w:r w:rsidRPr="009E682B">
              <w:t>13/04/2005</w:t>
            </w:r>
          </w:p>
        </w:tc>
        <w:tc>
          <w:tcPr>
            <w:tcW w:w="1420" w:type="dxa"/>
            <w:tcBorders>
              <w:top w:val="nil"/>
              <w:left w:val="nil"/>
              <w:bottom w:val="single" w:sz="4" w:space="0" w:color="auto"/>
              <w:right w:val="single" w:sz="8" w:space="0" w:color="auto"/>
            </w:tcBorders>
            <w:noWrap/>
            <w:vAlign w:val="bottom"/>
          </w:tcPr>
          <w:p w:rsidR="007D65AE" w:rsidRPr="009E682B" w:rsidRDefault="007D65AE" w:rsidP="003C0687">
            <w:pPr>
              <w:jc w:val="center"/>
            </w:pPr>
            <w:r w:rsidRPr="009E682B">
              <w:t>3 139,88 €</w:t>
            </w:r>
          </w:p>
        </w:tc>
      </w:tr>
      <w:tr w:rsidR="007D65AE" w:rsidRPr="009E682B">
        <w:trPr>
          <w:trHeight w:val="255"/>
        </w:trPr>
        <w:tc>
          <w:tcPr>
            <w:tcW w:w="3820" w:type="dxa"/>
            <w:tcBorders>
              <w:top w:val="nil"/>
              <w:left w:val="single" w:sz="8" w:space="0" w:color="auto"/>
              <w:bottom w:val="single" w:sz="4" w:space="0" w:color="auto"/>
              <w:right w:val="single" w:sz="8" w:space="0" w:color="auto"/>
            </w:tcBorders>
            <w:noWrap/>
            <w:vAlign w:val="bottom"/>
          </w:tcPr>
          <w:p w:rsidR="007D65AE" w:rsidRPr="009E682B" w:rsidRDefault="007D65AE" w:rsidP="003C0687">
            <w:r w:rsidRPr="009E682B">
              <w:t>ELSTER</w:t>
            </w:r>
          </w:p>
        </w:tc>
        <w:tc>
          <w:tcPr>
            <w:tcW w:w="1520" w:type="dxa"/>
            <w:tcBorders>
              <w:top w:val="nil"/>
              <w:left w:val="nil"/>
              <w:bottom w:val="single" w:sz="4" w:space="0" w:color="auto"/>
              <w:right w:val="nil"/>
            </w:tcBorders>
            <w:noWrap/>
            <w:vAlign w:val="bottom"/>
          </w:tcPr>
          <w:p w:rsidR="007D65AE" w:rsidRPr="009E682B" w:rsidRDefault="007D65AE" w:rsidP="003C0687">
            <w:pPr>
              <w:jc w:val="center"/>
            </w:pPr>
            <w:r w:rsidRPr="009E682B">
              <w:t>156</w:t>
            </w:r>
          </w:p>
        </w:tc>
        <w:tc>
          <w:tcPr>
            <w:tcW w:w="1940" w:type="dxa"/>
            <w:tcBorders>
              <w:top w:val="nil"/>
              <w:left w:val="single" w:sz="8" w:space="0" w:color="auto"/>
              <w:bottom w:val="single" w:sz="4" w:space="0" w:color="auto"/>
              <w:right w:val="single" w:sz="8" w:space="0" w:color="auto"/>
            </w:tcBorders>
            <w:noWrap/>
            <w:vAlign w:val="bottom"/>
          </w:tcPr>
          <w:p w:rsidR="007D65AE" w:rsidRPr="009E682B" w:rsidRDefault="007D65AE" w:rsidP="003C0687">
            <w:pPr>
              <w:jc w:val="center"/>
            </w:pPr>
            <w:r w:rsidRPr="009E682B">
              <w:t>02/05/2005</w:t>
            </w:r>
          </w:p>
        </w:tc>
        <w:tc>
          <w:tcPr>
            <w:tcW w:w="1420" w:type="dxa"/>
            <w:tcBorders>
              <w:top w:val="nil"/>
              <w:left w:val="nil"/>
              <w:bottom w:val="single" w:sz="4" w:space="0" w:color="auto"/>
              <w:right w:val="single" w:sz="8" w:space="0" w:color="auto"/>
            </w:tcBorders>
            <w:noWrap/>
            <w:vAlign w:val="bottom"/>
          </w:tcPr>
          <w:p w:rsidR="007D65AE" w:rsidRPr="009E682B" w:rsidRDefault="007D65AE" w:rsidP="003C0687">
            <w:pPr>
              <w:jc w:val="center"/>
            </w:pPr>
            <w:r w:rsidRPr="009E682B">
              <w:t>1 318,59 €</w:t>
            </w:r>
          </w:p>
        </w:tc>
      </w:tr>
      <w:tr w:rsidR="007D65AE" w:rsidRPr="009E682B">
        <w:trPr>
          <w:trHeight w:val="255"/>
        </w:trPr>
        <w:tc>
          <w:tcPr>
            <w:tcW w:w="3820" w:type="dxa"/>
            <w:tcBorders>
              <w:top w:val="nil"/>
              <w:left w:val="single" w:sz="8" w:space="0" w:color="auto"/>
              <w:bottom w:val="single" w:sz="4" w:space="0" w:color="auto"/>
              <w:right w:val="single" w:sz="8" w:space="0" w:color="auto"/>
            </w:tcBorders>
            <w:noWrap/>
            <w:vAlign w:val="bottom"/>
          </w:tcPr>
          <w:p w:rsidR="007D65AE" w:rsidRPr="009E682B" w:rsidRDefault="007D65AE" w:rsidP="003C0687">
            <w:r w:rsidRPr="009E682B">
              <w:t>SOCCA</w:t>
            </w:r>
          </w:p>
        </w:tc>
        <w:tc>
          <w:tcPr>
            <w:tcW w:w="1520" w:type="dxa"/>
            <w:tcBorders>
              <w:top w:val="nil"/>
              <w:left w:val="nil"/>
              <w:bottom w:val="single" w:sz="4" w:space="0" w:color="auto"/>
              <w:right w:val="nil"/>
            </w:tcBorders>
            <w:noWrap/>
            <w:vAlign w:val="bottom"/>
          </w:tcPr>
          <w:p w:rsidR="007D65AE" w:rsidRPr="009E682B" w:rsidRDefault="007D65AE" w:rsidP="003C0687">
            <w:pPr>
              <w:jc w:val="center"/>
            </w:pPr>
            <w:r w:rsidRPr="009E682B">
              <w:t>172</w:t>
            </w:r>
          </w:p>
        </w:tc>
        <w:tc>
          <w:tcPr>
            <w:tcW w:w="1940" w:type="dxa"/>
            <w:tcBorders>
              <w:top w:val="nil"/>
              <w:left w:val="single" w:sz="8" w:space="0" w:color="auto"/>
              <w:bottom w:val="single" w:sz="4" w:space="0" w:color="auto"/>
              <w:right w:val="single" w:sz="8" w:space="0" w:color="auto"/>
            </w:tcBorders>
            <w:noWrap/>
            <w:vAlign w:val="bottom"/>
          </w:tcPr>
          <w:p w:rsidR="007D65AE" w:rsidRPr="009E682B" w:rsidRDefault="007D65AE" w:rsidP="003C0687">
            <w:pPr>
              <w:jc w:val="center"/>
            </w:pPr>
            <w:r w:rsidRPr="009E682B">
              <w:t>23/05/2005</w:t>
            </w:r>
          </w:p>
        </w:tc>
        <w:tc>
          <w:tcPr>
            <w:tcW w:w="1420" w:type="dxa"/>
            <w:tcBorders>
              <w:top w:val="nil"/>
              <w:left w:val="nil"/>
              <w:bottom w:val="single" w:sz="4" w:space="0" w:color="auto"/>
              <w:right w:val="single" w:sz="8" w:space="0" w:color="auto"/>
            </w:tcBorders>
            <w:noWrap/>
            <w:vAlign w:val="bottom"/>
          </w:tcPr>
          <w:p w:rsidR="007D65AE" w:rsidRPr="009E682B" w:rsidRDefault="007D65AE" w:rsidP="003C0687">
            <w:pPr>
              <w:jc w:val="center"/>
            </w:pPr>
            <w:r w:rsidRPr="009E682B">
              <w:t>2 320,26 €</w:t>
            </w:r>
          </w:p>
        </w:tc>
      </w:tr>
      <w:tr w:rsidR="007D65AE" w:rsidRPr="009E682B">
        <w:trPr>
          <w:trHeight w:val="255"/>
        </w:trPr>
        <w:tc>
          <w:tcPr>
            <w:tcW w:w="3820" w:type="dxa"/>
            <w:tcBorders>
              <w:top w:val="nil"/>
              <w:left w:val="single" w:sz="8" w:space="0" w:color="auto"/>
              <w:bottom w:val="single" w:sz="4" w:space="0" w:color="auto"/>
              <w:right w:val="single" w:sz="8" w:space="0" w:color="auto"/>
            </w:tcBorders>
            <w:noWrap/>
            <w:vAlign w:val="bottom"/>
          </w:tcPr>
          <w:p w:rsidR="007D65AE" w:rsidRPr="009E682B" w:rsidRDefault="007D65AE" w:rsidP="003C0687">
            <w:r w:rsidRPr="009E682B">
              <w:t>WATEAU</w:t>
            </w:r>
          </w:p>
        </w:tc>
        <w:tc>
          <w:tcPr>
            <w:tcW w:w="1520" w:type="dxa"/>
            <w:tcBorders>
              <w:top w:val="nil"/>
              <w:left w:val="nil"/>
              <w:bottom w:val="single" w:sz="4" w:space="0" w:color="auto"/>
              <w:right w:val="nil"/>
            </w:tcBorders>
            <w:noWrap/>
            <w:vAlign w:val="bottom"/>
          </w:tcPr>
          <w:p w:rsidR="007D65AE" w:rsidRPr="009E682B" w:rsidRDefault="007D65AE" w:rsidP="003C0687">
            <w:pPr>
              <w:jc w:val="center"/>
            </w:pPr>
            <w:r w:rsidRPr="009E682B">
              <w:t>175</w:t>
            </w:r>
          </w:p>
        </w:tc>
        <w:tc>
          <w:tcPr>
            <w:tcW w:w="1940" w:type="dxa"/>
            <w:tcBorders>
              <w:top w:val="nil"/>
              <w:left w:val="single" w:sz="8" w:space="0" w:color="auto"/>
              <w:bottom w:val="single" w:sz="4" w:space="0" w:color="auto"/>
              <w:right w:val="single" w:sz="8" w:space="0" w:color="auto"/>
            </w:tcBorders>
            <w:noWrap/>
            <w:vAlign w:val="bottom"/>
          </w:tcPr>
          <w:p w:rsidR="007D65AE" w:rsidRPr="009E682B" w:rsidRDefault="007D65AE" w:rsidP="003C0687">
            <w:pPr>
              <w:jc w:val="center"/>
            </w:pPr>
            <w:r w:rsidRPr="009E682B">
              <w:t>23/05/2005</w:t>
            </w:r>
          </w:p>
        </w:tc>
        <w:tc>
          <w:tcPr>
            <w:tcW w:w="1420" w:type="dxa"/>
            <w:tcBorders>
              <w:top w:val="nil"/>
              <w:left w:val="nil"/>
              <w:bottom w:val="single" w:sz="4" w:space="0" w:color="auto"/>
              <w:right w:val="single" w:sz="8" w:space="0" w:color="auto"/>
            </w:tcBorders>
            <w:noWrap/>
            <w:vAlign w:val="bottom"/>
          </w:tcPr>
          <w:p w:rsidR="007D65AE" w:rsidRPr="009E682B" w:rsidRDefault="007D65AE" w:rsidP="003C0687">
            <w:pPr>
              <w:jc w:val="center"/>
            </w:pPr>
            <w:r w:rsidRPr="009E682B">
              <w:t>2 159,98 €</w:t>
            </w:r>
          </w:p>
        </w:tc>
      </w:tr>
      <w:tr w:rsidR="007D65AE" w:rsidRPr="009E682B">
        <w:trPr>
          <w:trHeight w:val="255"/>
        </w:trPr>
        <w:tc>
          <w:tcPr>
            <w:tcW w:w="3820" w:type="dxa"/>
            <w:tcBorders>
              <w:top w:val="nil"/>
              <w:left w:val="single" w:sz="8" w:space="0" w:color="auto"/>
              <w:bottom w:val="single" w:sz="4" w:space="0" w:color="auto"/>
              <w:right w:val="single" w:sz="8" w:space="0" w:color="auto"/>
            </w:tcBorders>
            <w:noWrap/>
            <w:vAlign w:val="bottom"/>
          </w:tcPr>
          <w:p w:rsidR="007D65AE" w:rsidRPr="009E682B" w:rsidRDefault="007D65AE" w:rsidP="003C0687">
            <w:r w:rsidRPr="009E682B">
              <w:t>SOCCA</w:t>
            </w:r>
          </w:p>
        </w:tc>
        <w:tc>
          <w:tcPr>
            <w:tcW w:w="1520" w:type="dxa"/>
            <w:tcBorders>
              <w:top w:val="nil"/>
              <w:left w:val="nil"/>
              <w:bottom w:val="single" w:sz="4" w:space="0" w:color="auto"/>
              <w:right w:val="nil"/>
            </w:tcBorders>
            <w:noWrap/>
            <w:vAlign w:val="bottom"/>
          </w:tcPr>
          <w:p w:rsidR="007D65AE" w:rsidRPr="009E682B" w:rsidRDefault="007D65AE" w:rsidP="003C0687">
            <w:pPr>
              <w:jc w:val="center"/>
            </w:pPr>
            <w:r w:rsidRPr="009E682B">
              <w:t>206</w:t>
            </w:r>
          </w:p>
        </w:tc>
        <w:tc>
          <w:tcPr>
            <w:tcW w:w="1940" w:type="dxa"/>
            <w:tcBorders>
              <w:top w:val="nil"/>
              <w:left w:val="single" w:sz="8" w:space="0" w:color="auto"/>
              <w:bottom w:val="single" w:sz="4" w:space="0" w:color="auto"/>
              <w:right w:val="single" w:sz="8" w:space="0" w:color="auto"/>
            </w:tcBorders>
            <w:noWrap/>
            <w:vAlign w:val="bottom"/>
          </w:tcPr>
          <w:p w:rsidR="007D65AE" w:rsidRPr="009E682B" w:rsidRDefault="007D65AE" w:rsidP="003C0687">
            <w:pPr>
              <w:jc w:val="center"/>
            </w:pPr>
            <w:r w:rsidRPr="009E682B">
              <w:t>10/06/2005</w:t>
            </w:r>
          </w:p>
        </w:tc>
        <w:tc>
          <w:tcPr>
            <w:tcW w:w="1420" w:type="dxa"/>
            <w:tcBorders>
              <w:top w:val="nil"/>
              <w:left w:val="nil"/>
              <w:bottom w:val="single" w:sz="4" w:space="0" w:color="auto"/>
              <w:right w:val="single" w:sz="8" w:space="0" w:color="auto"/>
            </w:tcBorders>
            <w:noWrap/>
            <w:vAlign w:val="bottom"/>
          </w:tcPr>
          <w:p w:rsidR="007D65AE" w:rsidRPr="009E682B" w:rsidRDefault="007D65AE" w:rsidP="003C0687">
            <w:pPr>
              <w:jc w:val="center"/>
            </w:pPr>
            <w:r w:rsidRPr="009E682B">
              <w:t>6 305,23 €</w:t>
            </w:r>
          </w:p>
        </w:tc>
      </w:tr>
      <w:tr w:rsidR="007D65AE" w:rsidRPr="009E682B">
        <w:trPr>
          <w:trHeight w:val="255"/>
        </w:trPr>
        <w:tc>
          <w:tcPr>
            <w:tcW w:w="3820" w:type="dxa"/>
            <w:tcBorders>
              <w:top w:val="nil"/>
              <w:left w:val="single" w:sz="8" w:space="0" w:color="auto"/>
              <w:bottom w:val="single" w:sz="4" w:space="0" w:color="auto"/>
              <w:right w:val="single" w:sz="8" w:space="0" w:color="auto"/>
            </w:tcBorders>
            <w:noWrap/>
            <w:vAlign w:val="bottom"/>
          </w:tcPr>
          <w:p w:rsidR="007D65AE" w:rsidRPr="009E682B" w:rsidRDefault="007D65AE" w:rsidP="003C0687">
            <w:r w:rsidRPr="009E682B">
              <w:t>SICAE</w:t>
            </w:r>
          </w:p>
        </w:tc>
        <w:tc>
          <w:tcPr>
            <w:tcW w:w="1520" w:type="dxa"/>
            <w:tcBorders>
              <w:top w:val="nil"/>
              <w:left w:val="nil"/>
              <w:bottom w:val="single" w:sz="4" w:space="0" w:color="auto"/>
              <w:right w:val="nil"/>
            </w:tcBorders>
            <w:noWrap/>
            <w:vAlign w:val="bottom"/>
          </w:tcPr>
          <w:p w:rsidR="007D65AE" w:rsidRPr="009E682B" w:rsidRDefault="007D65AE" w:rsidP="003C0687">
            <w:pPr>
              <w:jc w:val="center"/>
            </w:pPr>
            <w:r w:rsidRPr="009E682B">
              <w:t>263</w:t>
            </w:r>
          </w:p>
        </w:tc>
        <w:tc>
          <w:tcPr>
            <w:tcW w:w="1940" w:type="dxa"/>
            <w:tcBorders>
              <w:top w:val="nil"/>
              <w:left w:val="single" w:sz="8" w:space="0" w:color="auto"/>
              <w:bottom w:val="single" w:sz="4" w:space="0" w:color="auto"/>
              <w:right w:val="single" w:sz="8" w:space="0" w:color="auto"/>
            </w:tcBorders>
            <w:noWrap/>
            <w:vAlign w:val="bottom"/>
          </w:tcPr>
          <w:p w:rsidR="007D65AE" w:rsidRPr="009E682B" w:rsidRDefault="007D65AE" w:rsidP="003C0687">
            <w:pPr>
              <w:jc w:val="center"/>
            </w:pPr>
            <w:r w:rsidRPr="009E682B">
              <w:t>12/07/2005</w:t>
            </w:r>
          </w:p>
        </w:tc>
        <w:tc>
          <w:tcPr>
            <w:tcW w:w="1420" w:type="dxa"/>
            <w:tcBorders>
              <w:top w:val="nil"/>
              <w:left w:val="nil"/>
              <w:bottom w:val="single" w:sz="4" w:space="0" w:color="auto"/>
              <w:right w:val="single" w:sz="8" w:space="0" w:color="auto"/>
            </w:tcBorders>
            <w:noWrap/>
            <w:vAlign w:val="bottom"/>
          </w:tcPr>
          <w:p w:rsidR="007D65AE" w:rsidRPr="009E682B" w:rsidRDefault="007D65AE" w:rsidP="003C0687">
            <w:pPr>
              <w:jc w:val="center"/>
            </w:pPr>
            <w:r w:rsidRPr="009E682B">
              <w:t>1 919,27 €</w:t>
            </w:r>
          </w:p>
        </w:tc>
      </w:tr>
      <w:tr w:rsidR="007D65AE" w:rsidRPr="009E682B">
        <w:trPr>
          <w:trHeight w:val="270"/>
        </w:trPr>
        <w:tc>
          <w:tcPr>
            <w:tcW w:w="3820" w:type="dxa"/>
            <w:tcBorders>
              <w:top w:val="nil"/>
              <w:left w:val="single" w:sz="8" w:space="0" w:color="auto"/>
              <w:bottom w:val="single" w:sz="4" w:space="0" w:color="auto"/>
              <w:right w:val="single" w:sz="8" w:space="0" w:color="auto"/>
            </w:tcBorders>
            <w:noWrap/>
            <w:vAlign w:val="bottom"/>
          </w:tcPr>
          <w:p w:rsidR="007D65AE" w:rsidRPr="009E682B" w:rsidRDefault="007D65AE" w:rsidP="003C0687">
            <w:r w:rsidRPr="009E682B">
              <w:t>SOVAL</w:t>
            </w:r>
          </w:p>
        </w:tc>
        <w:tc>
          <w:tcPr>
            <w:tcW w:w="1520" w:type="dxa"/>
            <w:tcBorders>
              <w:top w:val="nil"/>
              <w:left w:val="nil"/>
              <w:bottom w:val="single" w:sz="4" w:space="0" w:color="auto"/>
              <w:right w:val="nil"/>
            </w:tcBorders>
            <w:noWrap/>
            <w:vAlign w:val="bottom"/>
          </w:tcPr>
          <w:p w:rsidR="007D65AE" w:rsidRPr="009E682B" w:rsidRDefault="007D65AE" w:rsidP="003C0687">
            <w:pPr>
              <w:jc w:val="center"/>
            </w:pPr>
            <w:r w:rsidRPr="009E682B">
              <w:t>293</w:t>
            </w:r>
          </w:p>
        </w:tc>
        <w:tc>
          <w:tcPr>
            <w:tcW w:w="1940" w:type="dxa"/>
            <w:tcBorders>
              <w:top w:val="nil"/>
              <w:left w:val="single" w:sz="8" w:space="0" w:color="auto"/>
              <w:bottom w:val="single" w:sz="4" w:space="0" w:color="auto"/>
              <w:right w:val="single" w:sz="8" w:space="0" w:color="auto"/>
            </w:tcBorders>
            <w:noWrap/>
            <w:vAlign w:val="bottom"/>
          </w:tcPr>
          <w:p w:rsidR="007D65AE" w:rsidRPr="009E682B" w:rsidRDefault="007D65AE" w:rsidP="003C0687">
            <w:pPr>
              <w:jc w:val="center"/>
            </w:pPr>
            <w:r w:rsidRPr="009E682B">
              <w:t>12/08/2005</w:t>
            </w:r>
          </w:p>
        </w:tc>
        <w:tc>
          <w:tcPr>
            <w:tcW w:w="1420" w:type="dxa"/>
            <w:tcBorders>
              <w:top w:val="nil"/>
              <w:left w:val="nil"/>
              <w:bottom w:val="single" w:sz="4" w:space="0" w:color="auto"/>
              <w:right w:val="single" w:sz="8" w:space="0" w:color="auto"/>
            </w:tcBorders>
            <w:noWrap/>
            <w:vAlign w:val="bottom"/>
          </w:tcPr>
          <w:p w:rsidR="007D65AE" w:rsidRPr="009E682B" w:rsidRDefault="007D65AE" w:rsidP="003C0687">
            <w:pPr>
              <w:jc w:val="center"/>
            </w:pPr>
            <w:r w:rsidRPr="009E682B">
              <w:t>9 189,87 €</w:t>
            </w:r>
          </w:p>
        </w:tc>
      </w:tr>
      <w:tr w:rsidR="007D65AE" w:rsidRPr="009E682B">
        <w:trPr>
          <w:trHeight w:val="270"/>
        </w:trPr>
        <w:tc>
          <w:tcPr>
            <w:tcW w:w="3820" w:type="dxa"/>
            <w:tcBorders>
              <w:top w:val="single" w:sz="4" w:space="0" w:color="auto"/>
              <w:left w:val="single" w:sz="4" w:space="0" w:color="auto"/>
              <w:bottom w:val="single" w:sz="4" w:space="0" w:color="auto"/>
              <w:right w:val="single" w:sz="8" w:space="0" w:color="auto"/>
            </w:tcBorders>
            <w:noWrap/>
            <w:vAlign w:val="bottom"/>
          </w:tcPr>
          <w:p w:rsidR="007D65AE" w:rsidRPr="009E682B" w:rsidRDefault="007D65AE" w:rsidP="003C0687">
            <w:pPr>
              <w:rPr>
                <w:b/>
                <w:bCs/>
              </w:rPr>
            </w:pPr>
            <w:r w:rsidRPr="009E682B">
              <w:rPr>
                <w:b/>
                <w:bCs/>
              </w:rPr>
              <w:t>Ensemble</w:t>
            </w:r>
          </w:p>
        </w:tc>
        <w:tc>
          <w:tcPr>
            <w:tcW w:w="1520" w:type="dxa"/>
            <w:tcBorders>
              <w:top w:val="single" w:sz="4" w:space="0" w:color="auto"/>
              <w:left w:val="nil"/>
              <w:bottom w:val="single" w:sz="4" w:space="0" w:color="auto"/>
              <w:right w:val="nil"/>
            </w:tcBorders>
            <w:noWrap/>
            <w:vAlign w:val="bottom"/>
          </w:tcPr>
          <w:p w:rsidR="007D65AE" w:rsidRPr="009E682B" w:rsidRDefault="007D65AE" w:rsidP="003C0687">
            <w:pPr>
              <w:jc w:val="center"/>
              <w:rPr>
                <w:b/>
                <w:bCs/>
              </w:rPr>
            </w:pPr>
            <w:r w:rsidRPr="009E682B">
              <w:rPr>
                <w:b/>
                <w:bCs/>
              </w:rPr>
              <w:t> </w:t>
            </w:r>
          </w:p>
        </w:tc>
        <w:tc>
          <w:tcPr>
            <w:tcW w:w="1940" w:type="dxa"/>
            <w:tcBorders>
              <w:top w:val="single" w:sz="4" w:space="0" w:color="auto"/>
              <w:left w:val="single" w:sz="8" w:space="0" w:color="auto"/>
              <w:bottom w:val="single" w:sz="4" w:space="0" w:color="auto"/>
              <w:right w:val="single" w:sz="8" w:space="0" w:color="auto"/>
            </w:tcBorders>
            <w:noWrap/>
            <w:vAlign w:val="bottom"/>
          </w:tcPr>
          <w:p w:rsidR="007D65AE" w:rsidRPr="009E682B" w:rsidRDefault="007D65AE" w:rsidP="003C0687">
            <w:pPr>
              <w:jc w:val="center"/>
              <w:rPr>
                <w:b/>
                <w:bCs/>
              </w:rPr>
            </w:pPr>
            <w:r w:rsidRPr="009E682B">
              <w:rPr>
                <w:b/>
                <w:bCs/>
              </w:rPr>
              <w:t> </w:t>
            </w:r>
          </w:p>
        </w:tc>
        <w:tc>
          <w:tcPr>
            <w:tcW w:w="1420" w:type="dxa"/>
            <w:tcBorders>
              <w:top w:val="single" w:sz="4" w:space="0" w:color="auto"/>
              <w:left w:val="nil"/>
              <w:bottom w:val="single" w:sz="4" w:space="0" w:color="auto"/>
              <w:right w:val="single" w:sz="4" w:space="0" w:color="auto"/>
            </w:tcBorders>
            <w:noWrap/>
            <w:vAlign w:val="bottom"/>
          </w:tcPr>
          <w:p w:rsidR="007D65AE" w:rsidRPr="009E682B" w:rsidRDefault="007D65AE" w:rsidP="003C0687">
            <w:pPr>
              <w:jc w:val="center"/>
              <w:rPr>
                <w:b/>
                <w:bCs/>
              </w:rPr>
            </w:pPr>
            <w:r w:rsidRPr="009E682B">
              <w:rPr>
                <w:b/>
                <w:bCs/>
              </w:rPr>
              <w:t>35 903, 67 €</w:t>
            </w:r>
          </w:p>
        </w:tc>
      </w:tr>
    </w:tbl>
    <w:p w:rsidR="007D65AE" w:rsidRPr="003C0687" w:rsidRDefault="007D65AE" w:rsidP="003C0687">
      <w:pPr>
        <w:pStyle w:val="PS"/>
        <w:spacing w:before="360" w:after="400"/>
        <w:rPr>
          <w:b/>
          <w:bCs/>
        </w:rPr>
      </w:pPr>
      <w:r w:rsidRPr="003C0687">
        <w:rPr>
          <w:b/>
          <w:bCs/>
        </w:rPr>
        <w:t>Sur l’articulation des responsabilités respectives de l’employée et de M. </w:t>
      </w:r>
      <w:r>
        <w:rPr>
          <w:b/>
          <w:bCs/>
        </w:rPr>
        <w:t> </w:t>
      </w:r>
      <w:r w:rsidRPr="003C0687">
        <w:rPr>
          <w:b/>
          <w:bCs/>
        </w:rPr>
        <w:t xml:space="preserve"> Y :</w:t>
      </w:r>
    </w:p>
    <w:p w:rsidR="007D65AE" w:rsidRDefault="007D65AE" w:rsidP="003C0687">
      <w:pPr>
        <w:pStyle w:val="PS"/>
        <w:spacing w:after="400"/>
      </w:pPr>
      <w:r>
        <w:t xml:space="preserve">Attendu que M. Y invoque, à sa décharge, l’émission par le SIAEP d’un titre de recettes du montant de sommes détournées à l’encontre de l’employée, qui a commencé à faire l’objet de recouvrements ; </w:t>
      </w:r>
    </w:p>
    <w:p w:rsidR="007D65AE" w:rsidRDefault="007D65AE" w:rsidP="003C0687">
      <w:pPr>
        <w:pStyle w:val="PS"/>
        <w:spacing w:after="400"/>
      </w:pPr>
      <w:r>
        <w:t xml:space="preserve">Attendu que l’émission d’un titre de recettes à l’encontre de l’auteur d’un détournement de fonds publics ne fait pas obstacle au principe de mise en jeu de la responsabilité pécuniaire du comptable qui, par ses négligences, a permis ou facilité ce détournement ; </w:t>
      </w:r>
    </w:p>
    <w:p w:rsidR="007D65AE" w:rsidRDefault="007D65AE" w:rsidP="003C0687">
      <w:pPr>
        <w:pStyle w:val="PS"/>
        <w:spacing w:after="400"/>
      </w:pPr>
      <w:r>
        <w:t xml:space="preserve">Attendu toutefois qu’une collectivité publique ne peut détenir deux créances en réparation du même préjudice ; </w:t>
      </w:r>
    </w:p>
    <w:p w:rsidR="007D65AE" w:rsidRDefault="007D65AE" w:rsidP="003C0687">
      <w:pPr>
        <w:pStyle w:val="PS"/>
        <w:spacing w:after="400"/>
      </w:pPr>
      <w:r>
        <w:t>Attendu ainsi que le comptable patent dont les négligences ont permis des détournements de fonds est investi d’une responsabilité subsidiaire relativement à l’auteur du détournement ; qu’il doit donc être tenu de justifier du reversement par l’auteur du détournement, ou à défaut, par lui-même, des sommes détournées ;</w:t>
      </w:r>
    </w:p>
    <w:p w:rsidR="007D65AE" w:rsidRDefault="007D65AE" w:rsidP="003C550F">
      <w:pPr>
        <w:pStyle w:val="PS"/>
      </w:pPr>
      <w:r>
        <w:t>Attendu que le titre exécutoire de 47 505,22 € émis le 24 novembre 2005 par le SIAEP à l’encontre de son employée au titre de la répétition de l’indu correspond au cumul des montants détournés en 2004 et 2005 ; que les versements devant être effectués par l’employée en vue d’éteindre sa dette à l’égard du SIAEP ont vocation à s’imputer en priorité sur les dettes les plus anciennes, en application de l’article 1256 du Code civil ;</w:t>
      </w:r>
    </w:p>
    <w:p w:rsidR="007D65AE" w:rsidRDefault="007D65AE" w:rsidP="003C550F">
      <w:pPr>
        <w:pStyle w:val="PS"/>
      </w:pPr>
      <w:r>
        <w:t xml:space="preserve">Attendu ainsi que M. Y doit être tenu de </w:t>
      </w:r>
      <w:r w:rsidRPr="005723EF">
        <w:t xml:space="preserve">justifier du reversement de </w:t>
      </w:r>
      <w:r>
        <w:t>35 903,67 </w:t>
      </w:r>
      <w:r w:rsidRPr="005723EF">
        <w:t>€</w:t>
      </w:r>
      <w:r>
        <w:t>, que ce soit</w:t>
      </w:r>
      <w:r w:rsidRPr="005723EF">
        <w:t xml:space="preserve"> par </w:t>
      </w:r>
      <w:r>
        <w:t xml:space="preserve">l’employée </w:t>
      </w:r>
      <w:r w:rsidRPr="005723EF">
        <w:t>au titre des détourn</w:t>
      </w:r>
      <w:r>
        <w:t>ements commis en 2005</w:t>
      </w:r>
      <w:r w:rsidRPr="005723EF">
        <w:t xml:space="preserve"> </w:t>
      </w:r>
      <w:r>
        <w:t>ou par lui-même ou de fournir toute autre explication à décharge ;</w:t>
      </w:r>
    </w:p>
    <w:p w:rsidR="007D65AE" w:rsidRDefault="007D65AE" w:rsidP="003C550F">
      <w:pPr>
        <w:pStyle w:val="PS"/>
      </w:pPr>
      <w:r>
        <w:t>Par ces motifs,</w:t>
      </w:r>
    </w:p>
    <w:p w:rsidR="007D65AE" w:rsidRDefault="007D65AE" w:rsidP="003C0687">
      <w:pPr>
        <w:pStyle w:val="PS"/>
        <w:ind w:firstLine="0"/>
        <w:jc w:val="center"/>
      </w:pPr>
      <w:r>
        <w:t>STATUANT DEFINITIVEMENT,</w:t>
      </w:r>
    </w:p>
    <w:p w:rsidR="007D65AE" w:rsidRPr="00246B03" w:rsidRDefault="007D65AE" w:rsidP="003C0687">
      <w:pPr>
        <w:pStyle w:val="PS"/>
        <w:ind w:firstLine="0"/>
        <w:jc w:val="center"/>
      </w:pPr>
      <w:r>
        <w:t>ORDONNE :</w:t>
      </w:r>
    </w:p>
    <w:p w:rsidR="007D65AE" w:rsidRDefault="007D65AE" w:rsidP="003C550F">
      <w:pPr>
        <w:pStyle w:val="PS"/>
      </w:pPr>
      <w:r w:rsidRPr="005723EF">
        <w:t>Le jugement n° 2007-0048-982 du 30 mai 2007 est infirmé.</w:t>
      </w:r>
    </w:p>
    <w:p w:rsidR="007D65AE" w:rsidRPr="005723EF" w:rsidRDefault="007D65AE" w:rsidP="003C0687">
      <w:pPr>
        <w:pStyle w:val="PS"/>
        <w:ind w:firstLine="0"/>
        <w:jc w:val="center"/>
      </w:pPr>
      <w:r w:rsidRPr="005723EF">
        <w:t>STATUANT PROVISOIREMENT</w:t>
      </w:r>
      <w:r>
        <w:t>,</w:t>
      </w:r>
    </w:p>
    <w:p w:rsidR="007D65AE" w:rsidRPr="005723EF" w:rsidRDefault="007D65AE" w:rsidP="003C0687">
      <w:pPr>
        <w:pStyle w:val="PS"/>
        <w:ind w:firstLine="0"/>
        <w:jc w:val="center"/>
      </w:pPr>
      <w:r w:rsidRPr="005723EF">
        <w:t xml:space="preserve">ORDONNE </w:t>
      </w:r>
      <w:r>
        <w:t> :</w:t>
      </w:r>
    </w:p>
    <w:p w:rsidR="007D65AE" w:rsidRPr="00C24AAC" w:rsidRDefault="007D65AE" w:rsidP="003C550F">
      <w:pPr>
        <w:pStyle w:val="PS"/>
      </w:pPr>
      <w:r>
        <w:t xml:space="preserve">M. Michel Y est tenu </w:t>
      </w:r>
      <w:r w:rsidRPr="005723EF">
        <w:t xml:space="preserve">de justifier du reversement </w:t>
      </w:r>
      <w:r>
        <w:t xml:space="preserve">dans les caisses du SIAEP </w:t>
      </w:r>
      <w:r w:rsidRPr="005723EF">
        <w:t xml:space="preserve">de </w:t>
      </w:r>
      <w:r>
        <w:t xml:space="preserve">la somme de </w:t>
      </w:r>
      <w:r w:rsidRPr="005723EF">
        <w:t>35 903,67 € ou de fournir toute explication à décharge</w:t>
      </w:r>
      <w:r>
        <w:t xml:space="preserve"> dans un délai de deux mois</w:t>
      </w:r>
      <w:r w:rsidRPr="005723EF">
        <w:t>.</w:t>
      </w:r>
    </w:p>
    <w:p w:rsidR="007D65AE" w:rsidRPr="005723EF" w:rsidRDefault="007D65AE" w:rsidP="003C0687">
      <w:pPr>
        <w:pStyle w:val="PS"/>
        <w:ind w:firstLine="0"/>
        <w:jc w:val="center"/>
      </w:pPr>
      <w:r>
        <w:t>----------</w:t>
      </w:r>
    </w:p>
    <w:p w:rsidR="007D65AE" w:rsidRDefault="007D65AE" w:rsidP="003C550F">
      <w:pPr>
        <w:pStyle w:val="PS"/>
      </w:pPr>
      <w:r w:rsidRPr="005723EF">
        <w:t>Fait et jugé par la Cour des comptes, quatr</w:t>
      </w:r>
      <w:r>
        <w:t>ième chambre, première section. P</w:t>
      </w:r>
      <w:r w:rsidRPr="005723EF">
        <w:t>résents</w:t>
      </w:r>
      <w:r>
        <w:t> : </w:t>
      </w:r>
      <w:r w:rsidRPr="005723EF">
        <w:t>MM</w:t>
      </w:r>
      <w:r>
        <w:t>. Pichon, président de chambre, Moreau, président de section, Billaud, Ganser, Thérond, Pallot, Ritz, Bernicot, Uguen, Mme Gadriot-Renard, conseillers maîtres.</w:t>
      </w:r>
    </w:p>
    <w:p w:rsidR="007D65AE" w:rsidRDefault="007D65AE" w:rsidP="003C550F">
      <w:pPr>
        <w:pStyle w:val="PS"/>
      </w:pPr>
      <w:r>
        <w:t>Signé : Pichon, président, et Reynaud, greffier.</w:t>
      </w:r>
    </w:p>
    <w:p w:rsidR="007D65AE" w:rsidRDefault="007D65AE" w:rsidP="003C550F">
      <w:pPr>
        <w:pStyle w:val="PS"/>
      </w:pPr>
      <w:r>
        <w:t>Collationné, certifié conforme à la minute étant au greffe de la Cour des comptes et délivré par moi, secrétaire générale.</w:t>
      </w:r>
    </w:p>
    <w:sectPr w:rsidR="007D65AE" w:rsidSect="003C550F">
      <w:headerReference w:type="default" r:id="rId6"/>
      <w:footerReference w:type="default" r:id="rId7"/>
      <w:pgSz w:w="11907" w:h="16840"/>
      <w:pgMar w:top="1701"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5AE" w:rsidRDefault="007D65AE">
      <w:r>
        <w:separator/>
      </w:r>
    </w:p>
  </w:endnote>
  <w:endnote w:type="continuationSeparator" w:id="1">
    <w:p w:rsidR="007D65AE" w:rsidRDefault="007D65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5AE" w:rsidRDefault="007D65AE" w:rsidP="003C068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5AE" w:rsidRDefault="007D65AE">
      <w:r>
        <w:separator/>
      </w:r>
    </w:p>
  </w:footnote>
  <w:footnote w:type="continuationSeparator" w:id="1">
    <w:p w:rsidR="007D65AE" w:rsidRDefault="007D65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5AE" w:rsidRDefault="007D65AE" w:rsidP="003C550F">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06BCD"/>
    <w:rsid w:val="00127B7D"/>
    <w:rsid w:val="0021266F"/>
    <w:rsid w:val="00246B03"/>
    <w:rsid w:val="002B0244"/>
    <w:rsid w:val="00301BFD"/>
    <w:rsid w:val="003528C1"/>
    <w:rsid w:val="00366A50"/>
    <w:rsid w:val="003870FC"/>
    <w:rsid w:val="003C0687"/>
    <w:rsid w:val="003C550F"/>
    <w:rsid w:val="003D501B"/>
    <w:rsid w:val="003D7CE8"/>
    <w:rsid w:val="004C0A71"/>
    <w:rsid w:val="00552CCB"/>
    <w:rsid w:val="005723EF"/>
    <w:rsid w:val="005F15CB"/>
    <w:rsid w:val="006022A2"/>
    <w:rsid w:val="00610EC4"/>
    <w:rsid w:val="0065627E"/>
    <w:rsid w:val="00746B8C"/>
    <w:rsid w:val="007D65AE"/>
    <w:rsid w:val="008E47BF"/>
    <w:rsid w:val="008F32C6"/>
    <w:rsid w:val="00987C6F"/>
    <w:rsid w:val="009A29BE"/>
    <w:rsid w:val="009C503C"/>
    <w:rsid w:val="009E682B"/>
    <w:rsid w:val="00B81AB3"/>
    <w:rsid w:val="00B82C1D"/>
    <w:rsid w:val="00C1492F"/>
    <w:rsid w:val="00C24AAC"/>
    <w:rsid w:val="00C5461D"/>
    <w:rsid w:val="00CD396B"/>
    <w:rsid w:val="00D861A2"/>
    <w:rsid w:val="00DB13E5"/>
    <w:rsid w:val="00E81A1F"/>
    <w:rsid w:val="00EB456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A9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34A9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34A94"/>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134A94"/>
    <w:rPr>
      <w:sz w:val="20"/>
      <w:szCs w:val="20"/>
    </w:rPr>
  </w:style>
  <w:style w:type="paragraph" w:customStyle="1" w:styleId="ET">
    <w:name w:val="ET"/>
    <w:basedOn w:val="Normal"/>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customStyle="1" w:styleId="texte">
    <w:name w:val="texte"/>
    <w:basedOn w:val="Normal"/>
    <w:uiPriority w:val="99"/>
    <w:rsid w:val="003C550F"/>
    <w:pPr>
      <w:spacing w:before="100" w:beforeAutospacing="1" w:after="100" w:afterAutospacing="1"/>
      <w:ind w:left="225" w:right="150"/>
    </w:pPr>
    <w:rPr>
      <w:rFonts w:ascii="Arial" w:hAnsi="Arial" w:cs="Arial"/>
    </w:rPr>
  </w:style>
  <w:style w:type="paragraph" w:styleId="Footer">
    <w:name w:val="footer"/>
    <w:basedOn w:val="Normal"/>
    <w:link w:val="FooterChar"/>
    <w:uiPriority w:val="99"/>
    <w:rsid w:val="003C550F"/>
    <w:pPr>
      <w:tabs>
        <w:tab w:val="center" w:pos="4536"/>
        <w:tab w:val="right" w:pos="9072"/>
      </w:tabs>
    </w:pPr>
    <w:rPr>
      <w:sz w:val="24"/>
      <w:szCs w:val="24"/>
    </w:rPr>
  </w:style>
  <w:style w:type="character" w:customStyle="1" w:styleId="FooterChar">
    <w:name w:val="Footer Char"/>
    <w:basedOn w:val="DefaultParagraphFont"/>
    <w:link w:val="Footer"/>
    <w:uiPriority w:val="99"/>
    <w:semiHidden/>
    <w:rsid w:val="00134A94"/>
    <w:rPr>
      <w:sz w:val="20"/>
      <w:szCs w:val="20"/>
    </w:rPr>
  </w:style>
  <w:style w:type="character" w:styleId="PageNumber">
    <w:name w:val="page number"/>
    <w:basedOn w:val="DefaultParagraphFont"/>
    <w:uiPriority w:val="99"/>
    <w:rsid w:val="003C550F"/>
  </w:style>
  <w:style w:type="paragraph" w:styleId="NormalWeb">
    <w:name w:val="Normal (Web)"/>
    <w:basedOn w:val="Normal"/>
    <w:uiPriority w:val="99"/>
    <w:rsid w:val="003C550F"/>
    <w:pPr>
      <w:spacing w:before="100" w:beforeAutospacing="1" w:after="100" w:afterAutospacing="1"/>
    </w:pPr>
    <w:rPr>
      <w:sz w:val="24"/>
      <w:szCs w:val="24"/>
    </w:rPr>
  </w:style>
  <w:style w:type="character" w:customStyle="1" w:styleId="titremenu">
    <w:name w:val="titremenu"/>
    <w:basedOn w:val="DefaultParagraphFont"/>
    <w:uiPriority w:val="99"/>
    <w:rsid w:val="003C550F"/>
  </w:style>
  <w:style w:type="character" w:customStyle="1" w:styleId="PSCar">
    <w:name w:val="PS Car"/>
    <w:basedOn w:val="DefaultParagraphFont"/>
    <w:link w:val="PS"/>
    <w:uiPriority w:val="99"/>
    <w:locked/>
    <w:rsid w:val="003C550F"/>
    <w:rPr>
      <w:sz w:val="24"/>
      <w:szCs w:val="24"/>
      <w:lang w:val="fr-FR" w:eastAsia="fr-FR"/>
    </w:rPr>
  </w:style>
  <w:style w:type="paragraph" w:styleId="BalloonText">
    <w:name w:val="Balloon Text"/>
    <w:basedOn w:val="Normal"/>
    <w:link w:val="BalloonTextChar"/>
    <w:uiPriority w:val="99"/>
    <w:semiHidden/>
    <w:rsid w:val="00EB456A"/>
    <w:rPr>
      <w:rFonts w:ascii="Tahoma" w:hAnsi="Tahoma" w:cs="Tahoma"/>
      <w:sz w:val="16"/>
      <w:szCs w:val="16"/>
    </w:rPr>
  </w:style>
  <w:style w:type="character" w:customStyle="1" w:styleId="BalloonTextChar">
    <w:name w:val="Balloon Text Char"/>
    <w:basedOn w:val="DefaultParagraphFont"/>
    <w:link w:val="BalloonText"/>
    <w:uiPriority w:val="99"/>
    <w:semiHidden/>
    <w:rsid w:val="00134A94"/>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1409</Words>
  <Characters>7755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2</cp:revision>
  <cp:lastPrinted>2008-04-30T11:21:00Z</cp:lastPrinted>
  <dcterms:created xsi:type="dcterms:W3CDTF">2008-06-11T09:44:00Z</dcterms:created>
  <dcterms:modified xsi:type="dcterms:W3CDTF">2008-06-11T09:44:00Z</dcterms:modified>
</cp:coreProperties>
</file>