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2552"/>
        <w:gridCol w:w="4252"/>
      </w:tblGrid>
      <w:tr w:rsidR="001F5319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Pr="00B772D6" w:rsidRDefault="001F5319" w:rsidP="00B772D6">
            <w:pPr>
              <w:pStyle w:val="1pageCour"/>
            </w:pPr>
            <w:r w:rsidRPr="00B772D6">
              <w:t>Cour des comptes</w:t>
            </w:r>
          </w:p>
        </w:tc>
        <w:tc>
          <w:tcPr>
            <w:tcW w:w="2552" w:type="dxa"/>
            <w:vAlign w:val="center"/>
          </w:tcPr>
          <w:p w:rsidR="001F5319" w:rsidRDefault="001F5319" w:rsidP="00B772D6">
            <w:pPr>
              <w:pStyle w:val="1pageCour"/>
            </w:pPr>
          </w:p>
        </w:tc>
        <w:tc>
          <w:tcPr>
            <w:tcW w:w="4252" w:type="dxa"/>
            <w:vAlign w:val="center"/>
          </w:tcPr>
          <w:p w:rsidR="001F5319" w:rsidRDefault="001F5319" w:rsidP="00B772D6">
            <w:pPr>
              <w:pStyle w:val="1pageCour"/>
            </w:pPr>
          </w:p>
        </w:tc>
      </w:tr>
      <w:tr w:rsidR="001F5319" w:rsidRPr="00C176ED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Pr="00C176ED" w:rsidRDefault="001F5319" w:rsidP="00B772D6">
            <w:pPr>
              <w:pStyle w:val="1pageCour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552" w:type="dxa"/>
            <w:vAlign w:val="center"/>
          </w:tcPr>
          <w:p w:rsidR="001F5319" w:rsidRPr="00C176ED" w:rsidRDefault="001F5319" w:rsidP="00B772D6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252" w:type="dxa"/>
            <w:vAlign w:val="center"/>
          </w:tcPr>
          <w:p w:rsidR="001F5319" w:rsidRPr="00C176ED" w:rsidRDefault="001F5319" w:rsidP="00B772D6">
            <w:pPr>
              <w:pStyle w:val="1pageCour"/>
              <w:rPr>
                <w:sz w:val="16"/>
                <w:szCs w:val="16"/>
              </w:rPr>
            </w:pPr>
          </w:p>
        </w:tc>
      </w:tr>
      <w:tr w:rsidR="001F5319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2835" w:type="dxa"/>
            <w:vAlign w:val="center"/>
          </w:tcPr>
          <w:p w:rsidR="001F5319" w:rsidRDefault="001F5319" w:rsidP="00B772D6">
            <w:pPr>
              <w:pStyle w:val="1pageChambre"/>
            </w:pPr>
            <w:r>
              <w:t>Quatrième chambre</w:t>
            </w:r>
          </w:p>
        </w:tc>
        <w:tc>
          <w:tcPr>
            <w:tcW w:w="2552" w:type="dxa"/>
            <w:vAlign w:val="center"/>
          </w:tcPr>
          <w:p w:rsidR="001F5319" w:rsidRDefault="001F5319" w:rsidP="00B772D6">
            <w:pPr>
              <w:pStyle w:val="1pageCour"/>
            </w:pPr>
          </w:p>
        </w:tc>
        <w:tc>
          <w:tcPr>
            <w:tcW w:w="4252" w:type="dxa"/>
            <w:vAlign w:val="center"/>
          </w:tcPr>
          <w:p w:rsidR="001F5319" w:rsidRDefault="001F5319" w:rsidP="00B772D6">
            <w:pPr>
              <w:pStyle w:val="1pageCour"/>
            </w:pPr>
          </w:p>
        </w:tc>
      </w:tr>
      <w:tr w:rsidR="001F5319" w:rsidRPr="00C176ED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Pr="00C176ED" w:rsidRDefault="001F5319" w:rsidP="00B772D6">
            <w:pPr>
              <w:pStyle w:val="1pageChambre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552" w:type="dxa"/>
            <w:vAlign w:val="center"/>
          </w:tcPr>
          <w:p w:rsidR="001F5319" w:rsidRPr="00C176ED" w:rsidRDefault="001F5319" w:rsidP="00B772D6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252" w:type="dxa"/>
            <w:vAlign w:val="center"/>
          </w:tcPr>
          <w:p w:rsidR="001F5319" w:rsidRPr="00C176ED" w:rsidRDefault="001F5319" w:rsidP="00B772D6">
            <w:pPr>
              <w:pStyle w:val="1pageCour"/>
              <w:rPr>
                <w:sz w:val="16"/>
                <w:szCs w:val="16"/>
              </w:rPr>
            </w:pPr>
          </w:p>
        </w:tc>
      </w:tr>
      <w:tr w:rsidR="001F5319" w:rsidRPr="00BE69A2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Pr="00F30C3C" w:rsidRDefault="001F5319" w:rsidP="00B772D6">
            <w:pPr>
              <w:pStyle w:val="1pageChambre"/>
            </w:pPr>
            <w:r w:rsidRPr="00F30C3C">
              <w:t>Première section</w:t>
            </w:r>
          </w:p>
        </w:tc>
        <w:tc>
          <w:tcPr>
            <w:tcW w:w="2552" w:type="dxa"/>
            <w:vAlign w:val="center"/>
          </w:tcPr>
          <w:p w:rsidR="001F5319" w:rsidRPr="00BE69A2" w:rsidRDefault="001F5319" w:rsidP="00B772D6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252" w:type="dxa"/>
            <w:vAlign w:val="center"/>
          </w:tcPr>
          <w:p w:rsidR="001F5319" w:rsidRPr="00BE69A2" w:rsidRDefault="001F5319" w:rsidP="00B772D6">
            <w:pPr>
              <w:pStyle w:val="1pageCour"/>
              <w:rPr>
                <w:sz w:val="16"/>
                <w:szCs w:val="16"/>
              </w:rPr>
            </w:pPr>
          </w:p>
        </w:tc>
      </w:tr>
      <w:tr w:rsidR="001F5319" w:rsidRPr="00C176ED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Pr="00C176ED" w:rsidRDefault="001F5319" w:rsidP="00B772D6">
            <w:pPr>
              <w:pStyle w:val="1pageCour"/>
              <w:rPr>
                <w:sz w:val="16"/>
                <w:szCs w:val="16"/>
              </w:rPr>
            </w:pPr>
            <w:r w:rsidRPr="00C176ED">
              <w:rPr>
                <w:sz w:val="16"/>
                <w:szCs w:val="16"/>
              </w:rPr>
              <w:t>----------</w:t>
            </w:r>
          </w:p>
        </w:tc>
        <w:tc>
          <w:tcPr>
            <w:tcW w:w="2552" w:type="dxa"/>
            <w:vAlign w:val="center"/>
          </w:tcPr>
          <w:p w:rsidR="001F5319" w:rsidRPr="00C176ED" w:rsidRDefault="001F5319" w:rsidP="00B772D6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252" w:type="dxa"/>
            <w:vAlign w:val="center"/>
          </w:tcPr>
          <w:p w:rsidR="001F5319" w:rsidRPr="00C176ED" w:rsidRDefault="001F5319" w:rsidP="00B772D6">
            <w:pPr>
              <w:pStyle w:val="1pageCour"/>
              <w:rPr>
                <w:sz w:val="16"/>
                <w:szCs w:val="16"/>
              </w:rPr>
            </w:pPr>
          </w:p>
        </w:tc>
      </w:tr>
      <w:tr w:rsidR="001F5319" w:rsidRPr="006B60E8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Default="001F5319" w:rsidP="00B772D6">
            <w:pPr>
              <w:pStyle w:val="BodyText"/>
              <w:spacing w:before="0" w:after="0"/>
              <w:ind w:left="0" w:firstLine="0"/>
              <w:jc w:val="center"/>
              <w:rPr>
                <w:i/>
                <w:sz w:val="22"/>
                <w:szCs w:val="22"/>
              </w:rPr>
            </w:pPr>
          </w:p>
          <w:p w:rsidR="001F5319" w:rsidRPr="006D7491" w:rsidRDefault="001F5319" w:rsidP="00B772D6">
            <w:pPr>
              <w:pStyle w:val="BodyText"/>
              <w:spacing w:before="0" w:after="0"/>
              <w:ind w:left="0" w:firstLine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6D7491">
              <w:rPr>
                <w:b/>
                <w:bCs/>
                <w:i/>
                <w:sz w:val="22"/>
                <w:szCs w:val="22"/>
              </w:rPr>
              <w:t>Arrêt n° 52885</w:t>
            </w:r>
          </w:p>
        </w:tc>
        <w:tc>
          <w:tcPr>
            <w:tcW w:w="2552" w:type="dxa"/>
            <w:vAlign w:val="center"/>
          </w:tcPr>
          <w:p w:rsidR="001F5319" w:rsidRPr="006B60E8" w:rsidRDefault="001F5319" w:rsidP="00B772D6">
            <w:pPr>
              <w:pStyle w:val="BodyText"/>
              <w:spacing w:before="0" w:after="0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4252" w:type="dxa"/>
            <w:vAlign w:val="center"/>
          </w:tcPr>
          <w:p w:rsidR="001F5319" w:rsidRPr="006B60E8" w:rsidRDefault="001F5319" w:rsidP="00B772D6">
            <w:pPr>
              <w:pStyle w:val="BodyText"/>
              <w:spacing w:before="0" w:after="0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</w:tr>
      <w:tr w:rsidR="001F5319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Pr="00FA2BFF" w:rsidRDefault="001F5319" w:rsidP="00C176ED">
            <w:pPr>
              <w:pStyle w:val="BodyText"/>
              <w:spacing w:before="0" w:after="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1F5319" w:rsidRDefault="001F5319" w:rsidP="004F2C98">
            <w:pPr>
              <w:pStyle w:val="BodyText"/>
              <w:spacing w:before="0" w:after="0"/>
              <w:ind w:left="0" w:firstLine="0"/>
              <w:jc w:val="left"/>
            </w:pPr>
          </w:p>
        </w:tc>
        <w:tc>
          <w:tcPr>
            <w:tcW w:w="4252" w:type="dxa"/>
            <w:vAlign w:val="center"/>
          </w:tcPr>
          <w:p w:rsidR="001F5319" w:rsidRPr="00C176ED" w:rsidRDefault="001F5319" w:rsidP="00CC1760">
            <w:pPr>
              <w:pStyle w:val="Corpstextegauche"/>
              <w:spacing w:after="120"/>
              <w:jc w:val="left"/>
              <w:rPr>
                <w:caps/>
              </w:rPr>
            </w:pPr>
            <w:r w:rsidRPr="00C176ED">
              <w:rPr>
                <w:caps/>
              </w:rPr>
              <w:t>c</w:t>
            </w:r>
            <w:r>
              <w:rPr>
                <w:caps/>
              </w:rPr>
              <w:t>entre communal d’action sociale de la c</w:t>
            </w:r>
            <w:r w:rsidRPr="00C176ED">
              <w:rPr>
                <w:caps/>
              </w:rPr>
              <w:t>ommune de</w:t>
            </w:r>
            <w:r>
              <w:rPr>
                <w:caps/>
              </w:rPr>
              <w:t xml:space="preserve"> villejuif (val de marne)</w:t>
            </w:r>
          </w:p>
        </w:tc>
      </w:tr>
      <w:tr w:rsidR="001F5319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Default="001F5319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552" w:type="dxa"/>
            <w:vAlign w:val="center"/>
          </w:tcPr>
          <w:p w:rsidR="001F5319" w:rsidRDefault="001F5319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252" w:type="dxa"/>
            <w:vAlign w:val="center"/>
          </w:tcPr>
          <w:p w:rsidR="001F5319" w:rsidRPr="001732E8" w:rsidRDefault="001F5319" w:rsidP="00CC1760">
            <w:pPr>
              <w:pStyle w:val="Corpstextegauche"/>
              <w:spacing w:after="120"/>
            </w:pPr>
            <w:r>
              <w:t>Appel d’un jugement de la chambre régionale des comptes d’Île-de-France</w:t>
            </w:r>
          </w:p>
        </w:tc>
      </w:tr>
      <w:tr w:rsidR="001F5319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Default="001F5319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552" w:type="dxa"/>
            <w:vAlign w:val="center"/>
          </w:tcPr>
          <w:p w:rsidR="001F5319" w:rsidRDefault="001F5319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252" w:type="dxa"/>
            <w:vAlign w:val="center"/>
          </w:tcPr>
          <w:p w:rsidR="001F5319" w:rsidRDefault="001F5319" w:rsidP="00CC1760">
            <w:pPr>
              <w:pStyle w:val="Corpstextegauche"/>
              <w:spacing w:after="120"/>
            </w:pPr>
            <w:r>
              <w:t>Rapport n° 2008-529-0</w:t>
            </w:r>
          </w:p>
        </w:tc>
      </w:tr>
      <w:tr w:rsidR="001F5319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Default="001F5319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552" w:type="dxa"/>
            <w:vAlign w:val="center"/>
          </w:tcPr>
          <w:p w:rsidR="001F5319" w:rsidRDefault="001F5319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252" w:type="dxa"/>
            <w:vAlign w:val="center"/>
          </w:tcPr>
          <w:p w:rsidR="001F5319" w:rsidRDefault="001F5319" w:rsidP="00CC1760">
            <w:pPr>
              <w:pStyle w:val="Corpstextegauche"/>
              <w:spacing w:after="120"/>
            </w:pPr>
            <w:r>
              <w:t>Audience publique du 25 septembre 2008</w:t>
            </w:r>
          </w:p>
        </w:tc>
      </w:tr>
      <w:tr w:rsidR="001F5319">
        <w:tblPrEx>
          <w:tblCellMar>
            <w:top w:w="0" w:type="dxa"/>
            <w:bottom w:w="0" w:type="dxa"/>
          </w:tblCellMar>
        </w:tblPrEx>
        <w:tc>
          <w:tcPr>
            <w:tcW w:w="2835" w:type="dxa"/>
            <w:vAlign w:val="center"/>
          </w:tcPr>
          <w:p w:rsidR="001F5319" w:rsidRDefault="001F5319" w:rsidP="00C176ED">
            <w:pPr>
              <w:pStyle w:val="BodyText"/>
              <w:spacing w:before="60" w:after="60"/>
              <w:ind w:left="0" w:firstLine="0"/>
              <w:jc w:val="center"/>
            </w:pPr>
          </w:p>
        </w:tc>
        <w:tc>
          <w:tcPr>
            <w:tcW w:w="2552" w:type="dxa"/>
            <w:vAlign w:val="center"/>
          </w:tcPr>
          <w:p w:rsidR="001F5319" w:rsidRDefault="001F5319" w:rsidP="00BE69A2">
            <w:pPr>
              <w:pStyle w:val="BodyText"/>
              <w:spacing w:before="60" w:after="60"/>
              <w:ind w:left="0" w:firstLine="0"/>
              <w:jc w:val="left"/>
            </w:pPr>
          </w:p>
        </w:tc>
        <w:tc>
          <w:tcPr>
            <w:tcW w:w="4252" w:type="dxa"/>
            <w:vAlign w:val="center"/>
          </w:tcPr>
          <w:p w:rsidR="001F5319" w:rsidRDefault="001F5319" w:rsidP="00C176ED">
            <w:pPr>
              <w:pStyle w:val="Corpstextegauche"/>
            </w:pPr>
            <w:r>
              <w:t>Lecture publique du 30 octobre 2008</w:t>
            </w:r>
          </w:p>
        </w:tc>
      </w:tr>
    </w:tbl>
    <w:p w:rsidR="001F5319" w:rsidRDefault="001F5319" w:rsidP="0088193B">
      <w:pPr>
        <w:pStyle w:val="BodyText"/>
      </w:pPr>
    </w:p>
    <w:p w:rsidR="001F5319" w:rsidRPr="00F9185E" w:rsidRDefault="001F5319" w:rsidP="00F9185E">
      <w:pPr>
        <w:pStyle w:val="BodyText"/>
      </w:pPr>
      <w:r>
        <w:t>LA COUR DES COMPTES a rendu l’arrêt suivant :</w:t>
      </w:r>
    </w:p>
    <w:p w:rsidR="001F5319" w:rsidRDefault="001F5319" w:rsidP="00043E0F">
      <w:pPr>
        <w:pStyle w:val="BodyText"/>
      </w:pPr>
      <w:r w:rsidRPr="00C176ED">
        <w:t>LA COUR,</w:t>
      </w:r>
    </w:p>
    <w:p w:rsidR="001F5319" w:rsidRPr="00B772D6" w:rsidRDefault="001F5319" w:rsidP="006D7491">
      <w:pPr>
        <w:pStyle w:val="BodyText"/>
      </w:pPr>
      <w:r w:rsidRPr="00B772D6">
        <w:t>Vu la requête, enregistrée le 12</w:t>
      </w:r>
      <w:r>
        <w:t> </w:t>
      </w:r>
      <w:r w:rsidRPr="00B772D6">
        <w:t>juin</w:t>
      </w:r>
      <w:r>
        <w:t> </w:t>
      </w:r>
      <w:r w:rsidRPr="00B772D6">
        <w:t>2006 au greffe de la chambre régionale des comptes d’Île-de-France, par laquelle le commissaire du Gouvernement près la chambre régionale des comptes a élevé appel du jugement n°</w:t>
      </w:r>
      <w:r>
        <w:t> </w:t>
      </w:r>
      <w:r w:rsidRPr="00B772D6">
        <w:t>06-</w:t>
      </w:r>
      <w:r>
        <w:t>0</w:t>
      </w:r>
      <w:r w:rsidRPr="00B772D6">
        <w:t>25</w:t>
      </w:r>
      <w:r>
        <w:t>2</w:t>
      </w:r>
      <w:r w:rsidRPr="00B772D6">
        <w:t xml:space="preserve"> J du 3</w:t>
      </w:r>
      <w:r>
        <w:t> </w:t>
      </w:r>
      <w:r w:rsidRPr="00B772D6">
        <w:t>mars</w:t>
      </w:r>
      <w:r>
        <w:t> </w:t>
      </w:r>
      <w:r w:rsidRPr="00B772D6">
        <w:t>2006 par lequel ladite chambre a déchargé de sa gestion M.</w:t>
      </w:r>
      <w:r>
        <w:t> </w:t>
      </w:r>
      <w:r w:rsidRPr="00B772D6">
        <w:t xml:space="preserve">X, comptable </w:t>
      </w:r>
      <w:r>
        <w:t xml:space="preserve">du CENTRE COMMUNAL D’ACTION SOCIALE DE LA </w:t>
      </w:r>
      <w:r w:rsidRPr="00B772D6">
        <w:t>COMMUNE DE VILLEJUIF (VAL</w:t>
      </w:r>
      <w:r>
        <w:t xml:space="preserve"> </w:t>
      </w:r>
      <w:r w:rsidRPr="00B772D6">
        <w:t>DE</w:t>
      </w:r>
      <w:r>
        <w:t xml:space="preserve"> </w:t>
      </w:r>
      <w:r w:rsidRPr="00B772D6">
        <w:t>MARNE) du 16</w:t>
      </w:r>
      <w:r>
        <w:t> </w:t>
      </w:r>
      <w:r w:rsidRPr="00B772D6">
        <w:t>octobre</w:t>
      </w:r>
      <w:r>
        <w:t> </w:t>
      </w:r>
      <w:r w:rsidRPr="00B772D6">
        <w:t>1986 au 30</w:t>
      </w:r>
      <w:r>
        <w:t> </w:t>
      </w:r>
      <w:r w:rsidRPr="00B772D6">
        <w:t>juin</w:t>
      </w:r>
      <w:r>
        <w:t> </w:t>
      </w:r>
      <w:r w:rsidRPr="00B772D6">
        <w:t>1988, et lui en a délivré quitus ;</w:t>
      </w:r>
    </w:p>
    <w:p w:rsidR="001F5319" w:rsidRPr="00B772D6" w:rsidRDefault="001F5319" w:rsidP="006D7491">
      <w:pPr>
        <w:pStyle w:val="BodyText"/>
      </w:pPr>
      <w:r w:rsidRPr="00B772D6">
        <w:t>Vu le réquisitoire du Procureur général, en date du 23</w:t>
      </w:r>
      <w:r>
        <w:t> </w:t>
      </w:r>
      <w:r w:rsidRPr="00B772D6">
        <w:t>mars</w:t>
      </w:r>
      <w:r>
        <w:t> </w:t>
      </w:r>
      <w:r w:rsidRPr="00B772D6">
        <w:t>2007, transmettant la requête précitée ;</w:t>
      </w:r>
    </w:p>
    <w:p w:rsidR="001F5319" w:rsidRPr="00B772D6" w:rsidRDefault="001F5319" w:rsidP="006D7491">
      <w:pPr>
        <w:pStyle w:val="BodyText"/>
      </w:pPr>
      <w:r w:rsidRPr="00B772D6">
        <w:t>Vu les pièces de la procédure suivie en première instance, ensemble le jugement provisoire n°</w:t>
      </w:r>
      <w:r>
        <w:t> </w:t>
      </w:r>
      <w:r w:rsidRPr="00B772D6">
        <w:t>01-</w:t>
      </w:r>
      <w:r>
        <w:t xml:space="preserve">0029 J </w:t>
      </w:r>
      <w:r w:rsidRPr="00B772D6">
        <w:t xml:space="preserve">du </w:t>
      </w:r>
      <w:r>
        <w:t>9 janvier </w:t>
      </w:r>
      <w:r w:rsidRPr="00B772D6">
        <w:t>2001 et le jugement définitif n°</w:t>
      </w:r>
      <w:r>
        <w:t> 06</w:t>
      </w:r>
      <w:r>
        <w:noBreakHyphen/>
        <w:t>0</w:t>
      </w:r>
      <w:r w:rsidRPr="00B772D6">
        <w:t>25</w:t>
      </w:r>
      <w:r>
        <w:t xml:space="preserve">2 J </w:t>
      </w:r>
      <w:r w:rsidRPr="00B772D6">
        <w:t>du 3</w:t>
      </w:r>
      <w:r>
        <w:t> </w:t>
      </w:r>
      <w:r w:rsidRPr="00B772D6">
        <w:t>mars</w:t>
      </w:r>
      <w:r>
        <w:t> </w:t>
      </w:r>
      <w:r w:rsidRPr="00B772D6">
        <w:t>2006 ;</w:t>
      </w:r>
    </w:p>
    <w:p w:rsidR="001F5319" w:rsidRDefault="001F5319" w:rsidP="006D7491">
      <w:pPr>
        <w:pStyle w:val="BodyText"/>
      </w:pPr>
      <w:r w:rsidRPr="00B772D6">
        <w:t>Vu l’article 60 de la loi de finances n°</w:t>
      </w:r>
      <w:r>
        <w:t> </w:t>
      </w:r>
      <w:r w:rsidRPr="00B772D6">
        <w:t>63-156 du 23</w:t>
      </w:r>
      <w:r>
        <w:t> </w:t>
      </w:r>
      <w:r w:rsidRPr="00B772D6">
        <w:t>février</w:t>
      </w:r>
      <w:r>
        <w:t> </w:t>
      </w:r>
      <w:r w:rsidRPr="00B772D6">
        <w:t>1963 modifiée ;</w:t>
      </w:r>
    </w:p>
    <w:p w:rsidR="001F5319" w:rsidRDefault="001F5319" w:rsidP="00511683">
      <w:pPr>
        <w:pStyle w:val="BodyText"/>
      </w:pPr>
      <w:r w:rsidRPr="00B772D6">
        <w:t>Vu le décret n°</w:t>
      </w:r>
      <w:r>
        <w:t> </w:t>
      </w:r>
      <w:r w:rsidRPr="00B772D6">
        <w:t>62-1587 du 29</w:t>
      </w:r>
      <w:r>
        <w:t> </w:t>
      </w:r>
      <w:r w:rsidRPr="00B772D6">
        <w:t>décembre</w:t>
      </w:r>
      <w:r>
        <w:t> </w:t>
      </w:r>
      <w:r w:rsidRPr="00B772D6">
        <w:t>1962 modifié portant règlement général sur la comptabilité publique ;</w:t>
      </w:r>
    </w:p>
    <w:p w:rsidR="001F5319" w:rsidRPr="003B4317" w:rsidRDefault="001F5319" w:rsidP="00FE42AD">
      <w:pPr>
        <w:pStyle w:val="BodyText"/>
        <w:ind w:hanging="567"/>
        <w:rPr>
          <w:i/>
          <w:iCs/>
          <w:sz w:val="16"/>
          <w:szCs w:val="16"/>
        </w:rPr>
      </w:pPr>
      <w:r w:rsidRPr="003B4317">
        <w:rPr>
          <w:i/>
          <w:iCs/>
          <w:sz w:val="16"/>
          <w:szCs w:val="16"/>
        </w:rPr>
        <w:t>MJ</w:t>
      </w:r>
    </w:p>
    <w:p w:rsidR="001F5319" w:rsidRPr="00B772D6" w:rsidRDefault="001F5319" w:rsidP="00511683">
      <w:pPr>
        <w:pStyle w:val="BodyText"/>
        <w:spacing w:after="240"/>
      </w:pPr>
      <w:r w:rsidRPr="00B772D6">
        <w:t>Vu le code des juridictions financières ;</w:t>
      </w:r>
    </w:p>
    <w:p w:rsidR="001F5319" w:rsidRPr="00B772D6" w:rsidRDefault="001F5319" w:rsidP="00511683">
      <w:pPr>
        <w:pStyle w:val="BodyText"/>
        <w:spacing w:after="240"/>
      </w:pPr>
      <w:r w:rsidRPr="00B772D6">
        <w:t>Vu le rapport de M.</w:t>
      </w:r>
      <w:r>
        <w:t> </w:t>
      </w:r>
      <w:r w:rsidRPr="00B772D6">
        <w:t>Senhaji, conseiller référendaire ;</w:t>
      </w:r>
    </w:p>
    <w:p w:rsidR="001F5319" w:rsidRPr="00B772D6" w:rsidRDefault="001F5319" w:rsidP="00511683">
      <w:pPr>
        <w:pStyle w:val="BodyText"/>
        <w:spacing w:after="240"/>
      </w:pPr>
      <w:r w:rsidRPr="00B772D6">
        <w:t>Vu les conclusions du Procureur général ;</w:t>
      </w:r>
    </w:p>
    <w:p w:rsidR="001F5319" w:rsidRPr="00B772D6" w:rsidRDefault="001F5319" w:rsidP="00511683">
      <w:pPr>
        <w:pStyle w:val="BodyText"/>
        <w:spacing w:after="240"/>
      </w:pPr>
      <w:r w:rsidRPr="00B772D6">
        <w:t>Entendu, lors de l’audience publique de ce jour, M.</w:t>
      </w:r>
      <w:r>
        <w:t> </w:t>
      </w:r>
      <w:r w:rsidRPr="00B772D6">
        <w:t>Senhaji, rapporteur, en</w:t>
      </w:r>
      <w:r>
        <w:t> </w:t>
      </w:r>
      <w:r w:rsidRPr="00B772D6">
        <w:t>son rapport, M.</w:t>
      </w:r>
      <w:r>
        <w:t> </w:t>
      </w:r>
      <w:r w:rsidRPr="00B772D6">
        <w:t>Colin, chargé de mission près le Procureur général, en ses conclusions, l’appelant, informé de l’audience</w:t>
      </w:r>
      <w:r>
        <w:t>,</w:t>
      </w:r>
      <w:r w:rsidRPr="00B772D6">
        <w:t xml:space="preserve"> n’étant ni présent ni représenté ;</w:t>
      </w:r>
    </w:p>
    <w:p w:rsidR="001F5319" w:rsidRPr="00B772D6" w:rsidRDefault="001F5319" w:rsidP="00511683">
      <w:pPr>
        <w:pStyle w:val="BodyText"/>
        <w:spacing w:after="240"/>
      </w:pPr>
      <w:r w:rsidRPr="00B772D6">
        <w:t>Entendu en délibéré, M.</w:t>
      </w:r>
      <w:r>
        <w:t> </w:t>
      </w:r>
      <w:r w:rsidRPr="00B772D6">
        <w:t>Moreau, président de section, en ses observations ;</w:t>
      </w:r>
    </w:p>
    <w:p w:rsidR="001F5319" w:rsidRPr="00085149" w:rsidRDefault="001F5319" w:rsidP="00511683">
      <w:pPr>
        <w:pStyle w:val="BodyText"/>
        <w:spacing w:after="240"/>
        <w:rPr>
          <w:i/>
          <w:u w:val="single"/>
        </w:rPr>
      </w:pPr>
      <w:r w:rsidRPr="00085149">
        <w:rPr>
          <w:i/>
          <w:u w:val="single"/>
        </w:rPr>
        <w:t xml:space="preserve">Sur </w:t>
      </w:r>
      <w:r>
        <w:rPr>
          <w:i/>
          <w:u w:val="single"/>
        </w:rPr>
        <w:t>la régularité de la procédure suivie  en première instance</w:t>
      </w:r>
    </w:p>
    <w:p w:rsidR="001F5319" w:rsidRPr="00B772D6" w:rsidRDefault="001F5319" w:rsidP="00511683">
      <w:pPr>
        <w:pStyle w:val="BodyText"/>
        <w:spacing w:after="240"/>
      </w:pPr>
      <w:r w:rsidRPr="00B772D6">
        <w:t>Attendu qu'il résulte des pièces produites que le jugement attaqué n°</w:t>
      </w:r>
      <w:r>
        <w:t> </w:t>
      </w:r>
      <w:r w:rsidRPr="00B772D6">
        <w:t>06</w:t>
      </w:r>
      <w:r w:rsidRPr="00B772D6">
        <w:noBreakHyphen/>
      </w:r>
      <w:r>
        <w:t>0</w:t>
      </w:r>
      <w:r w:rsidRPr="00B772D6">
        <w:t>25</w:t>
      </w:r>
      <w:r>
        <w:t>2</w:t>
      </w:r>
      <w:r w:rsidRPr="00B772D6">
        <w:t> J du 3</w:t>
      </w:r>
      <w:r>
        <w:t> </w:t>
      </w:r>
      <w:r w:rsidRPr="00B772D6">
        <w:t>mars</w:t>
      </w:r>
      <w:r>
        <w:t> </w:t>
      </w:r>
      <w:r w:rsidRPr="00B772D6">
        <w:t>2006 a été rendu au terme d'un délibéré auquel a participé le rapporteur ; que le rapporteur, en première instance, a la charge principale de procéder à l'instruction du dossier en prenant toutes mesures utiles pour éclairer et permettre à la formation collégiale de juger le compte ; qu'en conséquence, le principe d'impartialité applicable à toutes les juridictions administratives faisait obstacle à ce que ledit rapporteur participât aux délibérés portant sur les propositions contenues dans son rapport ; qu'il en résulte que la formation ayant prononcé le jugement du 3</w:t>
      </w:r>
      <w:r>
        <w:t> </w:t>
      </w:r>
      <w:r w:rsidRPr="00B772D6">
        <w:t>mars</w:t>
      </w:r>
      <w:r>
        <w:t> </w:t>
      </w:r>
      <w:r w:rsidRPr="00B772D6">
        <w:t>2006 était irrégulière ;</w:t>
      </w:r>
    </w:p>
    <w:p w:rsidR="001F5319" w:rsidRPr="00B772D6" w:rsidRDefault="001F5319" w:rsidP="00511683">
      <w:pPr>
        <w:pStyle w:val="BodyText"/>
        <w:spacing w:after="240"/>
      </w:pPr>
      <w:r w:rsidRPr="00B772D6">
        <w:t>Considérant que ce moyen est d'ordre public et qu'il doit donc être soulevé d'office dans le cadre du présent appel ; que dès lors, il y a lieu, sans qu'il soit besoin de soulever d'autres moyens, d'annuler ledit jugement en ses dispositions définitives dont est appel ;</w:t>
      </w:r>
    </w:p>
    <w:p w:rsidR="001F5319" w:rsidRPr="00B772D6" w:rsidRDefault="001F5319" w:rsidP="00B772D6">
      <w:pPr>
        <w:pStyle w:val="BodyText"/>
      </w:pPr>
      <w:r w:rsidRPr="00B772D6">
        <w:t>Attendu que, saisie de conclusions au fond par le requérant, la Cour est en mesure d'évoquer l'affaire</w:t>
      </w:r>
      <w:r>
        <w:t> ;</w:t>
      </w:r>
    </w:p>
    <w:p w:rsidR="001F5319" w:rsidRPr="00191627" w:rsidRDefault="001F5319" w:rsidP="00F81F70">
      <w:pPr>
        <w:pStyle w:val="BodyText"/>
        <w:rPr>
          <w:i/>
          <w:u w:val="single"/>
        </w:rPr>
      </w:pPr>
      <w:r w:rsidRPr="00191627">
        <w:rPr>
          <w:i/>
          <w:u w:val="single"/>
        </w:rPr>
        <w:t>Sur le fond</w:t>
      </w:r>
    </w:p>
    <w:p w:rsidR="001F5319" w:rsidRPr="00CE765F" w:rsidRDefault="001F5319" w:rsidP="006D7491">
      <w:pPr>
        <w:pStyle w:val="BodyText"/>
        <w:keepNext/>
        <w:keepLines/>
      </w:pPr>
      <w:r>
        <w:t>Attendu que par jugement</w:t>
      </w:r>
      <w:r w:rsidRPr="00CE765F">
        <w:t xml:space="preserve"> du 25</w:t>
      </w:r>
      <w:r>
        <w:t> </w:t>
      </w:r>
      <w:r w:rsidRPr="00CE765F">
        <w:t>janvier</w:t>
      </w:r>
      <w:r>
        <w:t> </w:t>
      </w:r>
      <w:r w:rsidRPr="00CE765F">
        <w:t xml:space="preserve">1990, la </w:t>
      </w:r>
      <w:r w:rsidRPr="00117F7D">
        <w:t>cha</w:t>
      </w:r>
      <w:r>
        <w:t>mbre régionale des comptes d'Île-</w:t>
      </w:r>
      <w:r w:rsidRPr="00117F7D">
        <w:t>de</w:t>
      </w:r>
      <w:r>
        <w:t>-France</w:t>
      </w:r>
      <w:r w:rsidRPr="00CE765F">
        <w:t xml:space="preserve"> a prononcé une amende de </w:t>
      </w:r>
      <w:r>
        <w:t>457,35 € (</w:t>
      </w:r>
      <w:r w:rsidRPr="00CE765F">
        <w:t>3</w:t>
      </w:r>
      <w:r>
        <w:t> </w:t>
      </w:r>
      <w:r w:rsidRPr="00CE765F">
        <w:t>000</w:t>
      </w:r>
      <w:r>
        <w:t> </w:t>
      </w:r>
      <w:r w:rsidRPr="00CE765F">
        <w:t>F</w:t>
      </w:r>
      <w:r>
        <w:t>)</w:t>
      </w:r>
      <w:r w:rsidRPr="00CE765F">
        <w:t>, pour retard dans la production de six comptes de collectivités et établissements de sa réunion, afférents à la gestion 1986</w:t>
      </w:r>
      <w:r>
        <w:t>, à l'encontre de M. X ; que par jugement</w:t>
      </w:r>
      <w:r w:rsidRPr="00CE765F">
        <w:t xml:space="preserve"> du 7</w:t>
      </w:r>
      <w:r>
        <w:t> </w:t>
      </w:r>
      <w:r w:rsidRPr="00CE765F">
        <w:t>mai</w:t>
      </w:r>
      <w:r>
        <w:t> </w:t>
      </w:r>
      <w:r w:rsidRPr="00CE765F">
        <w:t>1991, la</w:t>
      </w:r>
      <w:r>
        <w:t> </w:t>
      </w:r>
      <w:r w:rsidRPr="00117F7D">
        <w:t>cha</w:t>
      </w:r>
      <w:r>
        <w:t>mbre régionale des comptes d'Île-</w:t>
      </w:r>
      <w:r w:rsidRPr="00117F7D">
        <w:t>de</w:t>
      </w:r>
      <w:r>
        <w:t>-France</w:t>
      </w:r>
      <w:r w:rsidRPr="00CE765F">
        <w:t xml:space="preserve"> a prononcé une amende de </w:t>
      </w:r>
      <w:r>
        <w:t>1 509,25 € (</w:t>
      </w:r>
      <w:r w:rsidRPr="00CE765F">
        <w:t>9</w:t>
      </w:r>
      <w:r>
        <w:t> </w:t>
      </w:r>
      <w:r w:rsidRPr="00CE765F">
        <w:t>900</w:t>
      </w:r>
      <w:r>
        <w:t> </w:t>
      </w:r>
      <w:r w:rsidRPr="00CE765F">
        <w:t>F</w:t>
      </w:r>
      <w:r>
        <w:t>)</w:t>
      </w:r>
      <w:r w:rsidRPr="00CE765F">
        <w:t>, pour retard dans la production de comptes de collectivités et établissements de sa réunion, afférents à la gestion 1987, à l'encontre de</w:t>
      </w:r>
      <w:r>
        <w:t xml:space="preserve"> M. X ;</w:t>
      </w:r>
      <w:r w:rsidRPr="0024422B">
        <w:t xml:space="preserve"> </w:t>
      </w:r>
    </w:p>
    <w:p w:rsidR="001F5319" w:rsidRDefault="001F5319" w:rsidP="006D7491">
      <w:pPr>
        <w:pStyle w:val="BodyText"/>
      </w:pPr>
      <w:r>
        <w:br w:type="page"/>
        <w:t>Attendu que,</w:t>
      </w:r>
      <w:r w:rsidRPr="0095211A">
        <w:t xml:space="preserve"> </w:t>
      </w:r>
      <w:r>
        <w:t xml:space="preserve">M. X restant débiteur des susdites amendes, </w:t>
      </w:r>
      <w:r w:rsidRPr="00CE765F">
        <w:t xml:space="preserve">la </w:t>
      </w:r>
      <w:r w:rsidRPr="00117F7D">
        <w:t>cha</w:t>
      </w:r>
      <w:r>
        <w:t>mbre régionale des comptes d'Île-</w:t>
      </w:r>
      <w:r w:rsidRPr="00117F7D">
        <w:t>de</w:t>
      </w:r>
      <w:r>
        <w:t xml:space="preserve">-France a sursis à sa décharge par jugement du 12 juillet 1994 ; que ce sursis a été maintenu par jugements successifs du 16 février 1999 et du 9 janvier 2001 ; </w:t>
      </w:r>
    </w:p>
    <w:p w:rsidR="001F5319" w:rsidRDefault="001F5319" w:rsidP="006D7491">
      <w:pPr>
        <w:pStyle w:val="BodyText"/>
      </w:pPr>
      <w:r>
        <w:t>Attendu que le ministère public rappelle qu’ « </w:t>
      </w:r>
      <w:r w:rsidRPr="0095211A">
        <w:rPr>
          <w:i/>
        </w:rPr>
        <w:t>aux termes de l'article</w:t>
      </w:r>
      <w:r>
        <w:rPr>
          <w:i/>
        </w:rPr>
        <w:t> </w:t>
      </w:r>
      <w:r w:rsidRPr="0095211A">
        <w:rPr>
          <w:i/>
        </w:rPr>
        <w:t>L.</w:t>
      </w:r>
      <w:r>
        <w:rPr>
          <w:i/>
        </w:rPr>
        <w:t> </w:t>
      </w:r>
      <w:r w:rsidRPr="0095211A">
        <w:rPr>
          <w:i/>
        </w:rPr>
        <w:t>131-12 du Code des juridictions financières, auquel renvoie l'article</w:t>
      </w:r>
      <w:r>
        <w:rPr>
          <w:i/>
        </w:rPr>
        <w:t> </w:t>
      </w:r>
      <w:r w:rsidRPr="0095211A">
        <w:rPr>
          <w:i/>
        </w:rPr>
        <w:t>L.</w:t>
      </w:r>
      <w:r>
        <w:rPr>
          <w:i/>
        </w:rPr>
        <w:t> </w:t>
      </w:r>
      <w:r w:rsidRPr="0095211A">
        <w:rPr>
          <w:i/>
        </w:rPr>
        <w:t>231</w:t>
      </w:r>
      <w:r>
        <w:rPr>
          <w:i/>
        </w:rPr>
        <w:noBreakHyphen/>
      </w:r>
      <w:r w:rsidRPr="0095211A">
        <w:rPr>
          <w:i/>
        </w:rPr>
        <w:t>10 du même code, les amendes sont assimilées aux débets des comptables des collectivités ou établissements en ce qui concerne les modes de recouvrement, de poursuites ou de remises </w:t>
      </w:r>
      <w:r>
        <w:t>» ; que « </w:t>
      </w:r>
      <w:r w:rsidRPr="0095211A">
        <w:rPr>
          <w:i/>
        </w:rPr>
        <w:t>selon la jurisprudence de la Cour des comptes, nul comptable ne peut être déchargé de sa gestion s’il ne s’est acquitté sur ses deniers personnels (ou s’il a obtenu remise gracieuse) des amendes pour retard prononcées à son encontre</w:t>
      </w:r>
      <w:r>
        <w:t> » ;</w:t>
      </w:r>
      <w:r w:rsidRPr="00DC416C">
        <w:t> </w:t>
      </w:r>
    </w:p>
    <w:p w:rsidR="001F5319" w:rsidRDefault="001F5319" w:rsidP="00B76405">
      <w:pPr>
        <w:pStyle w:val="BodyText"/>
      </w:pPr>
      <w:r>
        <w:t>Attendu qu’en effet la production du compte est une obligation du comptable ; que le juge des comptes peut infliger une amende au comptable qui ne respecte pas cette obligation ; que le paiement de ladite amende constitue une nouvelle obligation à la charge du comptable ; qu’il ne peut être déclaré quitte de la gestion de son poste tant qu’une telle amende n’a pas été acquittée ;</w:t>
      </w:r>
    </w:p>
    <w:p w:rsidR="001F5319" w:rsidRDefault="001F5319" w:rsidP="006D7491">
      <w:pPr>
        <w:pStyle w:val="BodyText"/>
        <w:rPr>
          <w:rStyle w:val="PSCar"/>
        </w:rPr>
      </w:pPr>
      <w:r>
        <w:rPr>
          <w:rStyle w:val="PSCar"/>
        </w:rPr>
        <w:t>Attendu, toutefois, que, en application des articles L 111-1 et L 211-1 du code des juridictions financières, le juge des comptes juge les comptes des comptables publics ; que l</w:t>
      </w:r>
      <w:r w:rsidRPr="00112376">
        <w:rPr>
          <w:rStyle w:val="PSCar"/>
        </w:rPr>
        <w:t xml:space="preserve">a responsabilité pécuniaire </w:t>
      </w:r>
      <w:r>
        <w:rPr>
          <w:rStyle w:val="PSCar"/>
        </w:rPr>
        <w:t xml:space="preserve">de ces derniers sur la gestion desdits comptes </w:t>
      </w:r>
      <w:r w:rsidRPr="00112376">
        <w:rPr>
          <w:rStyle w:val="PSCar"/>
        </w:rPr>
        <w:t>est engagée à défaut des seuls contrôles imposés par le règlement général sur la comptabilité publique et dans les limites fixées par l'article</w:t>
      </w:r>
      <w:r>
        <w:rPr>
          <w:rStyle w:val="PSCar"/>
        </w:rPr>
        <w:t> </w:t>
      </w:r>
      <w:r w:rsidRPr="00112376">
        <w:rPr>
          <w:rStyle w:val="PSCar"/>
        </w:rPr>
        <w:t>60-</w:t>
      </w:r>
      <w:r>
        <w:rPr>
          <w:rStyle w:val="PSCar"/>
        </w:rPr>
        <w:t>I</w:t>
      </w:r>
      <w:r w:rsidRPr="00112376">
        <w:rPr>
          <w:rStyle w:val="PSCar"/>
        </w:rPr>
        <w:t>V de la loi du</w:t>
      </w:r>
      <w:r>
        <w:rPr>
          <w:rStyle w:val="PSCar"/>
        </w:rPr>
        <w:t> </w:t>
      </w:r>
      <w:r w:rsidRPr="00112376">
        <w:rPr>
          <w:rStyle w:val="PSCar"/>
        </w:rPr>
        <w:t>23</w:t>
      </w:r>
      <w:r>
        <w:rPr>
          <w:rStyle w:val="PSCar"/>
        </w:rPr>
        <w:t> </w:t>
      </w:r>
      <w:r w:rsidRPr="00112376">
        <w:rPr>
          <w:rStyle w:val="PSCar"/>
        </w:rPr>
        <w:t>février</w:t>
      </w:r>
      <w:r>
        <w:rPr>
          <w:rStyle w:val="PSCar"/>
        </w:rPr>
        <w:t> </w:t>
      </w:r>
      <w:r w:rsidRPr="00112376">
        <w:rPr>
          <w:rStyle w:val="PSCar"/>
        </w:rPr>
        <w:t>1963</w:t>
      </w:r>
      <w:r>
        <w:rPr>
          <w:rStyle w:val="PSCar"/>
        </w:rPr>
        <w:t xml:space="preserve"> ; </w:t>
      </w:r>
    </w:p>
    <w:p w:rsidR="001F5319" w:rsidRDefault="001F5319" w:rsidP="00B76405">
      <w:pPr>
        <w:pStyle w:val="BodyText"/>
      </w:pPr>
      <w:r>
        <w:rPr>
          <w:rStyle w:val="PSCar"/>
        </w:rPr>
        <w:t>Attendu que l</w:t>
      </w:r>
      <w:r>
        <w:t xml:space="preserve">e prononcé de l’amende due par un comptable du fait du retard dans la production d’un compte est sans incidence sur le compte en jugement ; </w:t>
      </w:r>
      <w:r w:rsidRPr="00673057">
        <w:t>que l</w:t>
      </w:r>
      <w:r>
        <w:t xml:space="preserve">e sursis à décharger le comptable de sa gestion d’un compte, au seul motif qu’il ne se serait pas acquitté de l’amende à lui infligée pour production tardive de ce compte, ce qui est le cas en l’espèce, </w:t>
      </w:r>
      <w:r w:rsidRPr="00673057">
        <w:t>ne se justifie</w:t>
      </w:r>
      <w:r>
        <w:t>rait</w:t>
      </w:r>
      <w:r w:rsidRPr="00673057">
        <w:t xml:space="preserve"> donc par aucun un élément matériel du compte</w:t>
      </w:r>
      <w:r>
        <w:t xml:space="preserve"> jugé ;</w:t>
      </w:r>
    </w:p>
    <w:p w:rsidR="001F5319" w:rsidRPr="00BA15B8" w:rsidRDefault="001F5319" w:rsidP="00426AD0">
      <w:pPr>
        <w:pStyle w:val="BodyText"/>
      </w:pPr>
      <w:r>
        <w:t xml:space="preserve">Attendu que les jugements de la chambre régionale des comptes précités, ayant force de chose jugée, ont levé toutes les charges afférentes à la gestion des comptes en jugement ; qu’aucun élément matériel ne justifie donc de maintenir une réserve sur lesdits comptes ; </w:t>
      </w:r>
    </w:p>
    <w:p w:rsidR="001F5319" w:rsidRDefault="001F5319" w:rsidP="007C16BF">
      <w:pPr>
        <w:pStyle w:val="BodyText"/>
        <w:keepNext/>
        <w:keepLines/>
      </w:pPr>
      <w:r>
        <w:t>Par ces motifs,</w:t>
      </w:r>
    </w:p>
    <w:p w:rsidR="001F5319" w:rsidRPr="00660A6D" w:rsidRDefault="001F5319" w:rsidP="006D7491">
      <w:pPr>
        <w:pStyle w:val="BodyText"/>
        <w:keepNext/>
        <w:keepLines/>
        <w:ind w:firstLine="0"/>
        <w:jc w:val="center"/>
      </w:pPr>
      <w:r w:rsidRPr="00660A6D">
        <w:t>STATUANT DÉFINITIVEMENT</w:t>
      </w:r>
      <w:r>
        <w:t>,</w:t>
      </w:r>
    </w:p>
    <w:p w:rsidR="001F5319" w:rsidRPr="00660A6D" w:rsidRDefault="001F5319" w:rsidP="006D7491">
      <w:pPr>
        <w:pStyle w:val="BodyText"/>
        <w:keepNext/>
        <w:keepLines/>
        <w:ind w:firstLine="0"/>
        <w:jc w:val="center"/>
      </w:pPr>
      <w:r w:rsidRPr="00660A6D">
        <w:t>ORDONNE :</w:t>
      </w:r>
    </w:p>
    <w:p w:rsidR="001F5319" w:rsidRPr="007C16BF" w:rsidRDefault="001F5319" w:rsidP="006D7491">
      <w:pPr>
        <w:pStyle w:val="BodyText"/>
      </w:pPr>
      <w:r w:rsidRPr="007C16BF">
        <w:rPr>
          <w:u w:val="single"/>
        </w:rPr>
        <w:t>Article 1er</w:t>
      </w:r>
      <w:r w:rsidRPr="007C16BF">
        <w:t> : le jugement de la chambre régionale des comptes d’Île</w:t>
      </w:r>
      <w:r>
        <w:noBreakHyphen/>
      </w:r>
      <w:r w:rsidRPr="007C16BF">
        <w:t>de</w:t>
      </w:r>
      <w:r>
        <w:noBreakHyphen/>
      </w:r>
      <w:r w:rsidRPr="007C16BF">
        <w:t>France du 3</w:t>
      </w:r>
      <w:r>
        <w:t> </w:t>
      </w:r>
      <w:r w:rsidRPr="007C16BF">
        <w:t>mars</w:t>
      </w:r>
      <w:r>
        <w:t> </w:t>
      </w:r>
      <w:r w:rsidRPr="007C16BF">
        <w:t>2006 est annulé en ses dispositions définitives</w:t>
      </w:r>
      <w:r>
        <w:t xml:space="preserve"> dont est appel</w:t>
      </w:r>
      <w:r w:rsidRPr="007C16BF">
        <w:t>.</w:t>
      </w:r>
    </w:p>
    <w:p w:rsidR="001F5319" w:rsidRPr="007C16BF" w:rsidRDefault="001F5319" w:rsidP="007C16BF">
      <w:pPr>
        <w:pStyle w:val="BodyText"/>
      </w:pPr>
      <w:r w:rsidRPr="007C16BF">
        <w:rPr>
          <w:u w:val="single"/>
        </w:rPr>
        <w:t>Article 2</w:t>
      </w:r>
      <w:r w:rsidRPr="007C16BF">
        <w:t xml:space="preserve"> : l'affaire est évoquée devant la Cour des comptes.</w:t>
      </w:r>
    </w:p>
    <w:p w:rsidR="001F5319" w:rsidRPr="007C16BF" w:rsidRDefault="001F5319" w:rsidP="006D7491">
      <w:pPr>
        <w:pStyle w:val="BodyText"/>
      </w:pPr>
      <w:r w:rsidRPr="007C16BF">
        <w:rPr>
          <w:u w:val="single"/>
        </w:rPr>
        <w:t>Article 3</w:t>
      </w:r>
      <w:r w:rsidRPr="007C16BF">
        <w:t xml:space="preserve"> : </w:t>
      </w:r>
      <w:r>
        <w:t>la réserve n° 1 maintenue par le jugement n° 01-0029 J du 20 novembre 2001</w:t>
      </w:r>
      <w:r w:rsidRPr="007C16BF">
        <w:t xml:space="preserve"> à l’égard de M. X </w:t>
      </w:r>
      <w:r>
        <w:t>es</w:t>
      </w:r>
      <w:r w:rsidRPr="007C16BF">
        <w:t>t levée.</w:t>
      </w:r>
    </w:p>
    <w:p w:rsidR="001F5319" w:rsidRPr="00660A6D" w:rsidRDefault="001F5319" w:rsidP="00511683">
      <w:pPr>
        <w:pStyle w:val="BodyText"/>
        <w:spacing w:after="240"/>
        <w:ind w:firstLine="0"/>
        <w:jc w:val="center"/>
      </w:pPr>
      <w:r w:rsidRPr="00660A6D">
        <w:t>------------</w:t>
      </w:r>
    </w:p>
    <w:p w:rsidR="001F5319" w:rsidRDefault="001F5319" w:rsidP="00D81576">
      <w:pPr>
        <w:pStyle w:val="PS"/>
        <w:ind w:left="0"/>
        <w:rPr>
          <w:rFonts w:ascii="Times New Roman" w:hAnsi="Times New Roman"/>
        </w:rPr>
      </w:pPr>
      <w:r w:rsidRPr="00660A6D">
        <w:rPr>
          <w:rFonts w:ascii="Times New Roman" w:hAnsi="Times New Roman"/>
        </w:rPr>
        <w:t>Fait et jugé en la Cour des comptes, quatrième chambre, première section</w:t>
      </w:r>
      <w:r>
        <w:rPr>
          <w:rFonts w:ascii="Times New Roman" w:hAnsi="Times New Roman"/>
        </w:rPr>
        <w:t>,</w:t>
      </w:r>
      <w:r w:rsidRPr="00660A6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le vingt-cinq septembre deux mil huit. </w:t>
      </w:r>
      <w:r w:rsidRPr="00660A6D">
        <w:rPr>
          <w:rFonts w:ascii="Times New Roman" w:hAnsi="Times New Roman"/>
        </w:rPr>
        <w:t>Présents</w:t>
      </w:r>
      <w:r>
        <w:rPr>
          <w:rFonts w:ascii="Times New Roman" w:hAnsi="Times New Roman"/>
        </w:rPr>
        <w:t> : </w:t>
      </w:r>
      <w:r w:rsidRPr="00660A6D">
        <w:rPr>
          <w:rFonts w:ascii="Times New Roman" w:hAnsi="Times New Roman"/>
        </w:rPr>
        <w:t>MM</w:t>
      </w:r>
      <w:r>
        <w:rPr>
          <w:rFonts w:ascii="Times New Roman" w:hAnsi="Times New Roman"/>
        </w:rPr>
        <w:t>. Pichon</w:t>
      </w:r>
      <w:r w:rsidRPr="00660A6D">
        <w:rPr>
          <w:rFonts w:ascii="Times New Roman" w:hAnsi="Times New Roman"/>
        </w:rPr>
        <w:t xml:space="preserve">, président, Moreau, président de section, </w:t>
      </w:r>
      <w:r>
        <w:rPr>
          <w:rFonts w:ascii="Times New Roman" w:hAnsi="Times New Roman"/>
        </w:rPr>
        <w:t>Billaud, Thérond, Pallot, Ritz, Bernicot, Martin, Uguen, Mme Gadriot-Renard</w:t>
      </w:r>
      <w:r w:rsidRPr="00660A6D">
        <w:rPr>
          <w:rFonts w:ascii="Times New Roman" w:hAnsi="Times New Roman"/>
        </w:rPr>
        <w:t>, conseillers maîtres.</w:t>
      </w:r>
    </w:p>
    <w:p w:rsidR="001F5319" w:rsidRDefault="001F5319" w:rsidP="006D7491">
      <w:pPr>
        <w:pStyle w:val="P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Signé : Pichon, président, et Reynaud, greffier.</w:t>
      </w:r>
    </w:p>
    <w:p w:rsidR="001F5319" w:rsidRPr="00660A6D" w:rsidRDefault="001F5319" w:rsidP="006D7491">
      <w:pPr>
        <w:pStyle w:val="PS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Collationné, certifié conforme à la minute étant au greffe de la Cour des comptes et délivré par moi, secrétaire générale.</w:t>
      </w:r>
    </w:p>
    <w:p w:rsidR="001F5319" w:rsidRPr="00C176ED" w:rsidRDefault="001F5319" w:rsidP="00511683">
      <w:pPr>
        <w:pStyle w:val="BodyText"/>
      </w:pPr>
    </w:p>
    <w:sectPr w:rsidR="001F5319" w:rsidRPr="00C176ED" w:rsidSect="004E2EEC"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319" w:rsidRDefault="001F5319">
      <w:r>
        <w:separator/>
      </w:r>
    </w:p>
  </w:endnote>
  <w:endnote w:type="continuationSeparator" w:id="1">
    <w:p w:rsidR="001F5319" w:rsidRDefault="001F53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19" w:rsidRDefault="001F53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5319" w:rsidRDefault="001F531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19" w:rsidRDefault="001F5319" w:rsidP="00A22CC3">
    <w:pPr>
      <w:pStyle w:val="Footer"/>
      <w:ind w:right="-2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319" w:rsidRDefault="001F5319">
      <w:r>
        <w:separator/>
      </w:r>
    </w:p>
  </w:footnote>
  <w:footnote w:type="continuationSeparator" w:id="1">
    <w:p w:rsidR="001F5319" w:rsidRDefault="001F53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19" w:rsidRDefault="001F5319" w:rsidP="00F27A47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5108D"/>
    <w:multiLevelType w:val="multilevel"/>
    <w:tmpl w:val="23FCECD8"/>
    <w:lvl w:ilvl="0">
      <w:start w:val="1"/>
      <w:numFmt w:val="upperRoman"/>
      <w:suff w:val="nothing"/>
      <w:lvlText w:val="PARTIE %1 : "/>
      <w:lvlJc w:val="left"/>
      <w:pPr>
        <w:ind w:left="1985" w:hanging="284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upperRoman"/>
      <w:suff w:val="space"/>
      <w:lvlText w:val="%2."/>
      <w:lvlJc w:val="left"/>
      <w:pPr>
        <w:ind w:left="510" w:hanging="510"/>
      </w:pPr>
      <w:rPr>
        <w:rFonts w:cs="Times New Roman"/>
      </w:rPr>
    </w:lvl>
    <w:lvl w:ilvl="2">
      <w:start w:val="1"/>
      <w:numFmt w:val="upperLetter"/>
      <w:suff w:val="space"/>
      <w:lvlText w:val="%3."/>
      <w:lvlJc w:val="left"/>
      <w:pPr>
        <w:ind w:left="851" w:hanging="851"/>
      </w:pPr>
      <w:rPr>
        <w:rFonts w:cs="Times New Roman"/>
      </w:rPr>
    </w:lvl>
    <w:lvl w:ilvl="3">
      <w:start w:val="1"/>
      <w:numFmt w:val="decimal"/>
      <w:suff w:val="space"/>
      <w:lvlText w:val="%4."/>
      <w:lvlJc w:val="left"/>
      <w:pPr>
        <w:ind w:left="879" w:hanging="879"/>
      </w:pPr>
      <w:rPr>
        <w:rFonts w:cs="Times New Roman"/>
        <w:u w:val="none"/>
      </w:rPr>
    </w:lvl>
    <w:lvl w:ilvl="4">
      <w:start w:val="1"/>
      <w:numFmt w:val="lowerLetter"/>
      <w:suff w:val="space"/>
      <w:lvlText w:val="%5."/>
      <w:lvlJc w:val="left"/>
      <w:pPr>
        <w:ind w:left="992" w:hanging="992"/>
      </w:pPr>
      <w:rPr>
        <w:rFonts w:cs="Times New Roman"/>
        <w:u w:val="none"/>
      </w:rPr>
    </w:lvl>
    <w:lvl w:ilvl="5">
      <w:start w:val="1"/>
      <w:numFmt w:val="decimal"/>
      <w:suff w:val="space"/>
      <w:lvlText w:val="%6)."/>
      <w:lvlJc w:val="left"/>
      <w:pPr>
        <w:ind w:left="709"/>
      </w:pPr>
      <w:rPr>
        <w:rFonts w:cs="Times New Roman"/>
      </w:rPr>
    </w:lvl>
    <w:lvl w:ilvl="6">
      <w:start w:val="1"/>
      <w:numFmt w:val="lowerLetter"/>
      <w:pStyle w:val="Heading7"/>
      <w:suff w:val="space"/>
      <w:lvlText w:val="%7)."/>
      <w:lvlJc w:val="left"/>
      <w:pPr>
        <w:ind w:left="709" w:hanging="142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3B26513F"/>
    <w:multiLevelType w:val="multilevel"/>
    <w:tmpl w:val="60ECB5A8"/>
    <w:lvl w:ilvl="0">
      <w:start w:val="1"/>
      <w:numFmt w:val="upperRoman"/>
      <w:pStyle w:val="Heading1"/>
      <w:suff w:val="space"/>
      <w:lvlText w:val="PARTIE %1 : "/>
      <w:lvlJc w:val="center"/>
      <w:pPr>
        <w:ind w:left="851" w:firstLine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510" w:hanging="510"/>
      </w:pPr>
      <w:rPr>
        <w:rFonts w:cs="Times New Roman"/>
      </w:rPr>
    </w:lvl>
    <w:lvl w:ilvl="2">
      <w:start w:val="1"/>
      <w:numFmt w:val="upperLetter"/>
      <w:pStyle w:val="Heading3"/>
      <w:suff w:val="space"/>
      <w:lvlText w:val="%3."/>
      <w:lvlJc w:val="left"/>
      <w:pPr>
        <w:ind w:left="851" w:hanging="851"/>
      </w:pPr>
      <w:rPr>
        <w:rFonts w:cs="Times New Roman"/>
      </w:rPr>
    </w:lvl>
    <w:lvl w:ilvl="3">
      <w:start w:val="1"/>
      <w:numFmt w:val="decimal"/>
      <w:pStyle w:val="Heading4"/>
      <w:suff w:val="space"/>
      <w:lvlText w:val="%4."/>
      <w:lvlJc w:val="left"/>
      <w:pPr>
        <w:ind w:left="879" w:hanging="879"/>
      </w:pPr>
      <w:rPr>
        <w:rFonts w:cs="Times New Roman"/>
        <w:u w:val="none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992" w:hanging="992"/>
      </w:pPr>
      <w:rPr>
        <w:rFonts w:cs="Times New Roman"/>
        <w:u w:val="none"/>
      </w:rPr>
    </w:lvl>
    <w:lvl w:ilvl="5">
      <w:start w:val="1"/>
      <w:numFmt w:val="decimal"/>
      <w:pStyle w:val="Heading6"/>
      <w:suff w:val="space"/>
      <w:lvlText w:val="%6)."/>
      <w:lvlJc w:val="left"/>
      <w:pPr>
        <w:ind w:left="709" w:hanging="142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50923283"/>
    <w:multiLevelType w:val="multilevel"/>
    <w:tmpl w:val="FAC2A876"/>
    <w:lvl w:ilvl="0">
      <w:start w:val="1"/>
      <w:numFmt w:val="decimal"/>
      <w:pStyle w:val="Titretableau"/>
      <w:suff w:val="nothing"/>
      <w:lvlText w:val="Tableau n° %1 : "/>
      <w:lvlJc w:val="left"/>
      <w:pPr>
        <w:ind w:left="284" w:hanging="284"/>
      </w:pPr>
      <w:rPr>
        <w:rFonts w:cs="Times New Roman"/>
      </w:rPr>
    </w:lvl>
    <w:lvl w:ilvl="1">
      <w:start w:val="1"/>
      <w:numFmt w:val="none"/>
      <w:suff w:val="nothing"/>
      <w:lvlText w:val="%1%2"/>
      <w:lvlJc w:val="left"/>
      <w:pPr>
        <w:ind w:left="284" w:hanging="284"/>
      </w:pPr>
      <w:rPr>
        <w:rFonts w:cs="Times New Roman"/>
      </w:rPr>
    </w:lvl>
    <w:lvl w:ilvl="2">
      <w:start w:val="1"/>
      <w:numFmt w:val="none"/>
      <w:suff w:val="nothing"/>
      <w:lvlText w:val="%1%2"/>
      <w:lvlJc w:val="left"/>
      <w:pPr>
        <w:ind w:left="284" w:hanging="284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284" w:hanging="284"/>
      </w:pPr>
      <w:rPr>
        <w:rFonts w:cs="Times New Roman"/>
        <w:u w:val="none"/>
      </w:rPr>
    </w:lvl>
    <w:lvl w:ilvl="4">
      <w:start w:val="1"/>
      <w:numFmt w:val="none"/>
      <w:suff w:val="nothing"/>
      <w:lvlText w:val=""/>
      <w:lvlJc w:val="left"/>
      <w:pPr>
        <w:ind w:left="284" w:hanging="284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52B9448C"/>
    <w:multiLevelType w:val="singleLevel"/>
    <w:tmpl w:val="5FDE4ADE"/>
    <w:lvl w:ilvl="0">
      <w:start w:val="1"/>
      <w:numFmt w:val="decimal"/>
      <w:pStyle w:val="CommentText"/>
      <w:lvlText w:val="Obs n°%1."/>
      <w:lvlJc w:val="left"/>
      <w:pPr>
        <w:tabs>
          <w:tab w:val="num" w:pos="0"/>
        </w:tabs>
        <w:ind w:left="1021" w:hanging="1361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attachedTemplate r:id="rId1"/>
  <w:stylePaneFormatFilter w:val="28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992"/>
    <w:rsid w:val="00000B86"/>
    <w:rsid w:val="00006A4C"/>
    <w:rsid w:val="0001175A"/>
    <w:rsid w:val="00015E8C"/>
    <w:rsid w:val="00041EDB"/>
    <w:rsid w:val="00043E0F"/>
    <w:rsid w:val="000533C7"/>
    <w:rsid w:val="00067F87"/>
    <w:rsid w:val="00085149"/>
    <w:rsid w:val="00085992"/>
    <w:rsid w:val="00087B9E"/>
    <w:rsid w:val="00087E49"/>
    <w:rsid w:val="000A53B5"/>
    <w:rsid w:val="000B022A"/>
    <w:rsid w:val="000C31C2"/>
    <w:rsid w:val="00112376"/>
    <w:rsid w:val="00117F7D"/>
    <w:rsid w:val="001210F2"/>
    <w:rsid w:val="00130CB5"/>
    <w:rsid w:val="001549E6"/>
    <w:rsid w:val="00167F20"/>
    <w:rsid w:val="001732E8"/>
    <w:rsid w:val="001867C1"/>
    <w:rsid w:val="00191627"/>
    <w:rsid w:val="00195205"/>
    <w:rsid w:val="001A5894"/>
    <w:rsid w:val="001D185F"/>
    <w:rsid w:val="001D685B"/>
    <w:rsid w:val="001F4841"/>
    <w:rsid w:val="001F5238"/>
    <w:rsid w:val="001F5319"/>
    <w:rsid w:val="0021488B"/>
    <w:rsid w:val="0024422B"/>
    <w:rsid w:val="00275C12"/>
    <w:rsid w:val="002768F1"/>
    <w:rsid w:val="00285C10"/>
    <w:rsid w:val="002952FD"/>
    <w:rsid w:val="002B01CF"/>
    <w:rsid w:val="002C3915"/>
    <w:rsid w:val="002D54D5"/>
    <w:rsid w:val="003057E5"/>
    <w:rsid w:val="00311F01"/>
    <w:rsid w:val="003176B4"/>
    <w:rsid w:val="00320787"/>
    <w:rsid w:val="003804A4"/>
    <w:rsid w:val="003969AE"/>
    <w:rsid w:val="003B3BCE"/>
    <w:rsid w:val="003B4317"/>
    <w:rsid w:val="00426AD0"/>
    <w:rsid w:val="004319A8"/>
    <w:rsid w:val="004530D7"/>
    <w:rsid w:val="0047598D"/>
    <w:rsid w:val="00480568"/>
    <w:rsid w:val="00481825"/>
    <w:rsid w:val="004879D3"/>
    <w:rsid w:val="004A0899"/>
    <w:rsid w:val="004B7489"/>
    <w:rsid w:val="004E14E3"/>
    <w:rsid w:val="004E2EEC"/>
    <w:rsid w:val="004F2C98"/>
    <w:rsid w:val="004F376A"/>
    <w:rsid w:val="00511683"/>
    <w:rsid w:val="00596BE6"/>
    <w:rsid w:val="005B11D6"/>
    <w:rsid w:val="005B284A"/>
    <w:rsid w:val="005F1151"/>
    <w:rsid w:val="00600939"/>
    <w:rsid w:val="00605CDE"/>
    <w:rsid w:val="0062561B"/>
    <w:rsid w:val="0064552C"/>
    <w:rsid w:val="00660A6D"/>
    <w:rsid w:val="00660CF2"/>
    <w:rsid w:val="00662C2F"/>
    <w:rsid w:val="00663DF7"/>
    <w:rsid w:val="00667022"/>
    <w:rsid w:val="00673057"/>
    <w:rsid w:val="00687C09"/>
    <w:rsid w:val="00695EED"/>
    <w:rsid w:val="006B350D"/>
    <w:rsid w:val="006B4B77"/>
    <w:rsid w:val="006B60E8"/>
    <w:rsid w:val="006C2155"/>
    <w:rsid w:val="006D6C11"/>
    <w:rsid w:val="006D7491"/>
    <w:rsid w:val="006F2195"/>
    <w:rsid w:val="006F336A"/>
    <w:rsid w:val="007129E5"/>
    <w:rsid w:val="00733F35"/>
    <w:rsid w:val="0074254C"/>
    <w:rsid w:val="0078290A"/>
    <w:rsid w:val="00791D85"/>
    <w:rsid w:val="00795768"/>
    <w:rsid w:val="007A678F"/>
    <w:rsid w:val="007C16BF"/>
    <w:rsid w:val="007D1BCA"/>
    <w:rsid w:val="008512F6"/>
    <w:rsid w:val="008700DF"/>
    <w:rsid w:val="0088193B"/>
    <w:rsid w:val="00885684"/>
    <w:rsid w:val="008F0084"/>
    <w:rsid w:val="009105A4"/>
    <w:rsid w:val="00930DD8"/>
    <w:rsid w:val="0093160E"/>
    <w:rsid w:val="0094637E"/>
    <w:rsid w:val="0095211A"/>
    <w:rsid w:val="0096136B"/>
    <w:rsid w:val="009631BA"/>
    <w:rsid w:val="00970086"/>
    <w:rsid w:val="009B5183"/>
    <w:rsid w:val="009B5533"/>
    <w:rsid w:val="009B78DE"/>
    <w:rsid w:val="009C36CA"/>
    <w:rsid w:val="009C5235"/>
    <w:rsid w:val="009E4A35"/>
    <w:rsid w:val="00A11F5F"/>
    <w:rsid w:val="00A20764"/>
    <w:rsid w:val="00A22CC3"/>
    <w:rsid w:val="00A35D6D"/>
    <w:rsid w:val="00A61F30"/>
    <w:rsid w:val="00A6208F"/>
    <w:rsid w:val="00A71663"/>
    <w:rsid w:val="00A80B76"/>
    <w:rsid w:val="00AB16AE"/>
    <w:rsid w:val="00AC028A"/>
    <w:rsid w:val="00B050D6"/>
    <w:rsid w:val="00B055FA"/>
    <w:rsid w:val="00B31423"/>
    <w:rsid w:val="00B321EE"/>
    <w:rsid w:val="00B55A11"/>
    <w:rsid w:val="00B561D3"/>
    <w:rsid w:val="00B70A3F"/>
    <w:rsid w:val="00B75748"/>
    <w:rsid w:val="00B76405"/>
    <w:rsid w:val="00B772D6"/>
    <w:rsid w:val="00B87008"/>
    <w:rsid w:val="00BA15B8"/>
    <w:rsid w:val="00BB4633"/>
    <w:rsid w:val="00BB65C8"/>
    <w:rsid w:val="00BE51C1"/>
    <w:rsid w:val="00BE5875"/>
    <w:rsid w:val="00BE69A2"/>
    <w:rsid w:val="00BF1B3B"/>
    <w:rsid w:val="00C02E1F"/>
    <w:rsid w:val="00C176ED"/>
    <w:rsid w:val="00C24FB6"/>
    <w:rsid w:val="00C5465D"/>
    <w:rsid w:val="00C620BF"/>
    <w:rsid w:val="00C73832"/>
    <w:rsid w:val="00C73F9F"/>
    <w:rsid w:val="00C76468"/>
    <w:rsid w:val="00C87F7B"/>
    <w:rsid w:val="00C93935"/>
    <w:rsid w:val="00C947E1"/>
    <w:rsid w:val="00CC1760"/>
    <w:rsid w:val="00CD0316"/>
    <w:rsid w:val="00CE05F8"/>
    <w:rsid w:val="00CE765F"/>
    <w:rsid w:val="00D0518E"/>
    <w:rsid w:val="00D065E2"/>
    <w:rsid w:val="00D2027C"/>
    <w:rsid w:val="00D211BB"/>
    <w:rsid w:val="00D26EF9"/>
    <w:rsid w:val="00D30EFD"/>
    <w:rsid w:val="00D32F59"/>
    <w:rsid w:val="00D4514C"/>
    <w:rsid w:val="00D64C6D"/>
    <w:rsid w:val="00D74415"/>
    <w:rsid w:val="00D76465"/>
    <w:rsid w:val="00D80AC6"/>
    <w:rsid w:val="00D81576"/>
    <w:rsid w:val="00D85364"/>
    <w:rsid w:val="00D95A88"/>
    <w:rsid w:val="00DA6E59"/>
    <w:rsid w:val="00DB1136"/>
    <w:rsid w:val="00DB2454"/>
    <w:rsid w:val="00DB5243"/>
    <w:rsid w:val="00DC416C"/>
    <w:rsid w:val="00DC4AF1"/>
    <w:rsid w:val="00DC57B4"/>
    <w:rsid w:val="00DD7183"/>
    <w:rsid w:val="00E01570"/>
    <w:rsid w:val="00E02B81"/>
    <w:rsid w:val="00E67EC6"/>
    <w:rsid w:val="00E71565"/>
    <w:rsid w:val="00E7528E"/>
    <w:rsid w:val="00EC0E3C"/>
    <w:rsid w:val="00EC4A61"/>
    <w:rsid w:val="00ED606F"/>
    <w:rsid w:val="00ED7F65"/>
    <w:rsid w:val="00EE5270"/>
    <w:rsid w:val="00EF23B5"/>
    <w:rsid w:val="00EF3243"/>
    <w:rsid w:val="00F27A47"/>
    <w:rsid w:val="00F30C3C"/>
    <w:rsid w:val="00F620E5"/>
    <w:rsid w:val="00F714E4"/>
    <w:rsid w:val="00F81F70"/>
    <w:rsid w:val="00F9185E"/>
    <w:rsid w:val="00F91D2B"/>
    <w:rsid w:val="00FA2BFF"/>
    <w:rsid w:val="00FC083B"/>
    <w:rsid w:val="00FD2E16"/>
    <w:rsid w:val="00FE02E5"/>
    <w:rsid w:val="00FE42AD"/>
    <w:rsid w:val="00FF2954"/>
    <w:rsid w:val="00FF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qFormat/>
    <w:rsid w:val="00F714E4"/>
    <w:pPr>
      <w:spacing w:before="200" w:after="200"/>
      <w:ind w:left="567" w:firstLine="1134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numPr>
        <w:numId w:val="2"/>
      </w:numPr>
      <w:spacing w:before="480" w:after="480"/>
      <w:jc w:val="left"/>
      <w:outlineLvl w:val="0"/>
    </w:pPr>
    <w:rPr>
      <w:b/>
      <w:bCs/>
      <w:caps/>
      <w:kern w:val="28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keepLines/>
      <w:numPr>
        <w:ilvl w:val="1"/>
        <w:numId w:val="2"/>
      </w:numPr>
      <w:spacing w:before="480"/>
      <w:jc w:val="left"/>
      <w:outlineLvl w:val="1"/>
    </w:pPr>
    <w:rPr>
      <w:b/>
      <w:bCs/>
      <w:caps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keepLines/>
      <w:numPr>
        <w:ilvl w:val="2"/>
        <w:numId w:val="2"/>
      </w:numPr>
      <w:spacing w:before="600"/>
      <w:jc w:val="left"/>
      <w:outlineLvl w:val="2"/>
    </w:pPr>
    <w:rPr>
      <w:b/>
      <w:bCs/>
      <w:smallCaps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keepLines/>
      <w:numPr>
        <w:ilvl w:val="3"/>
        <w:numId w:val="2"/>
      </w:numPr>
      <w:spacing w:before="480"/>
      <w:jc w:val="left"/>
      <w:outlineLvl w:val="3"/>
    </w:pPr>
    <w:rPr>
      <w:b/>
      <w:bCs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keepLines/>
      <w:numPr>
        <w:ilvl w:val="4"/>
        <w:numId w:val="2"/>
      </w:numPr>
      <w:spacing w:before="240"/>
      <w:jc w:val="left"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uiPriority w:val="99"/>
    <w:qFormat/>
    <w:pPr>
      <w:keepNext/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BodyText"/>
    <w:link w:val="Heading7Char"/>
    <w:uiPriority w:val="99"/>
    <w:qFormat/>
    <w:pPr>
      <w:keepNext/>
      <w:numPr>
        <w:ilvl w:val="6"/>
        <w:numId w:val="3"/>
      </w:numPr>
      <w:jc w:val="left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0" w:after="0" w:line="400" w:lineRule="exact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spacing w:before="0" w:after="0" w:line="400" w:lineRule="exact"/>
      <w:ind w:left="57" w:firstLine="0"/>
      <w:jc w:val="center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0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0A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0A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0AC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0AC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0A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0AC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rsid w:val="00DA60AC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536"/>
        <w:tab w:val="right" w:pos="9072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0A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536"/>
        <w:tab w:val="right" w:pos="9072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0A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rPr>
      <w:rFonts w:cs="Times New Roman"/>
    </w:rPr>
  </w:style>
  <w:style w:type="paragraph" w:styleId="TOC1">
    <w:name w:val="toc 1"/>
    <w:basedOn w:val="Normal"/>
    <w:next w:val="BodyText"/>
    <w:uiPriority w:val="99"/>
    <w:semiHidden/>
    <w:pPr>
      <w:spacing w:before="360" w:after="0"/>
      <w:jc w:val="left"/>
    </w:pPr>
    <w:rPr>
      <w:rFonts w:ascii="Arial" w:hAnsi="Arial" w:cs="Arial"/>
      <w:b/>
      <w:bCs/>
      <w:caps/>
    </w:rPr>
  </w:style>
  <w:style w:type="paragraph" w:customStyle="1" w:styleId="Titretableau">
    <w:name w:val="Titre tableau"/>
    <w:basedOn w:val="BodyText"/>
    <w:next w:val="BodyText"/>
    <w:uiPriority w:val="99"/>
    <w:semiHidden/>
    <w:pPr>
      <w:numPr>
        <w:numId w:val="1"/>
      </w:numPr>
      <w:spacing w:before="480" w:after="240"/>
      <w:jc w:val="center"/>
    </w:pPr>
    <w:rPr>
      <w:b/>
      <w:bCs/>
    </w:rPr>
  </w:style>
  <w:style w:type="character" w:styleId="FootnoteReference">
    <w:name w:val="footnote reference"/>
    <w:basedOn w:val="DefaultParagraphFont"/>
    <w:uiPriority w:val="99"/>
    <w:rPr>
      <w:rFonts w:cs="Times New Roman"/>
      <w:sz w:val="20"/>
      <w:szCs w:val="20"/>
      <w:vertAlign w:val="superscript"/>
    </w:rPr>
  </w:style>
  <w:style w:type="paragraph" w:customStyle="1" w:styleId="Tableau">
    <w:name w:val="Tableau"/>
    <w:basedOn w:val="Normal"/>
    <w:uiPriority w:val="99"/>
    <w:rsid w:val="00F714E4"/>
    <w:pPr>
      <w:widowControl w:val="0"/>
      <w:spacing w:before="0" w:after="0"/>
      <w:ind w:firstLine="0"/>
      <w:jc w:val="right"/>
    </w:pPr>
    <w:rPr>
      <w:color w:val="000000"/>
    </w:rPr>
  </w:style>
  <w:style w:type="paragraph" w:styleId="TOC2">
    <w:name w:val="toc 2"/>
    <w:basedOn w:val="Normal"/>
    <w:next w:val="BodyText"/>
    <w:uiPriority w:val="99"/>
    <w:semiHidden/>
    <w:pPr>
      <w:spacing w:before="240" w:after="0"/>
      <w:jc w:val="left"/>
    </w:pPr>
    <w:rPr>
      <w:b/>
      <w:bCs/>
      <w:sz w:val="20"/>
      <w:szCs w:val="20"/>
    </w:rPr>
  </w:style>
  <w:style w:type="paragraph" w:styleId="TOC3">
    <w:name w:val="toc 3"/>
    <w:basedOn w:val="Normal"/>
    <w:next w:val="BodyText"/>
    <w:uiPriority w:val="99"/>
    <w:semiHidden/>
    <w:pPr>
      <w:spacing w:before="0" w:after="0"/>
      <w:ind w:left="240"/>
      <w:jc w:val="left"/>
    </w:pPr>
    <w:rPr>
      <w:sz w:val="20"/>
      <w:szCs w:val="20"/>
    </w:rPr>
  </w:style>
  <w:style w:type="paragraph" w:styleId="TOC4">
    <w:name w:val="toc 4"/>
    <w:basedOn w:val="Normal"/>
    <w:next w:val="BodyText"/>
    <w:uiPriority w:val="99"/>
    <w:semiHidden/>
    <w:pPr>
      <w:spacing w:before="0" w:after="0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BodyText"/>
    <w:autoRedefine/>
    <w:uiPriority w:val="99"/>
    <w:semiHidden/>
    <w:pPr>
      <w:spacing w:before="0" w:after="0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BodyText"/>
    <w:autoRedefine/>
    <w:uiPriority w:val="99"/>
    <w:semiHidden/>
    <w:pPr>
      <w:spacing w:before="0" w:after="0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BodyText"/>
    <w:autoRedefine/>
    <w:uiPriority w:val="99"/>
    <w:semiHidden/>
    <w:pPr>
      <w:spacing w:before="0" w:after="0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BodyText"/>
    <w:autoRedefine/>
    <w:uiPriority w:val="99"/>
    <w:semiHidden/>
    <w:pPr>
      <w:spacing w:before="0" w:after="0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BodyText"/>
    <w:autoRedefine/>
    <w:uiPriority w:val="99"/>
    <w:semiHidden/>
    <w:pPr>
      <w:spacing w:before="0" w:after="0"/>
      <w:ind w:left="1680"/>
      <w:jc w:val="left"/>
    </w:pPr>
    <w:rPr>
      <w:sz w:val="20"/>
      <w:szCs w:val="20"/>
    </w:rPr>
  </w:style>
  <w:style w:type="paragraph" w:customStyle="1" w:styleId="1pageChambre">
    <w:name w:val="1°page Chambre"/>
    <w:basedOn w:val="Corpstextegauche"/>
    <w:uiPriority w:val="99"/>
    <w:rsid w:val="00F30C3C"/>
    <w:pPr>
      <w:keepNext/>
      <w:spacing w:before="0" w:after="0"/>
      <w:jc w:val="center"/>
      <w:outlineLvl w:val="5"/>
    </w:pPr>
    <w:rPr>
      <w:b/>
      <w:bCs/>
      <w:smallCaps/>
      <w:spacing w:val="6"/>
    </w:rPr>
  </w:style>
  <w:style w:type="paragraph" w:customStyle="1" w:styleId="Sous-titrerapport">
    <w:name w:val="Sous-titre rapport"/>
    <w:basedOn w:val="Normal"/>
    <w:uiPriority w:val="99"/>
    <w:semiHidden/>
    <w:pPr>
      <w:spacing w:before="160" w:after="160"/>
      <w:ind w:firstLine="0"/>
      <w:jc w:val="center"/>
    </w:pPr>
  </w:style>
  <w:style w:type="paragraph" w:customStyle="1" w:styleId="encadr">
    <w:name w:val="encadré"/>
    <w:basedOn w:val="Normal"/>
    <w:uiPriority w:val="99"/>
    <w:semiHidden/>
    <w:pPr>
      <w:pBdr>
        <w:top w:val="single" w:sz="4" w:space="12" w:color="auto"/>
        <w:left w:val="single" w:sz="4" w:space="8" w:color="auto"/>
        <w:bottom w:val="single" w:sz="4" w:space="12" w:color="auto"/>
        <w:right w:val="single" w:sz="4" w:space="8" w:color="auto"/>
      </w:pBdr>
      <w:ind w:left="284" w:right="284"/>
    </w:pPr>
    <w:rPr>
      <w:sz w:val="22"/>
      <w:szCs w:val="22"/>
    </w:rPr>
  </w:style>
  <w:style w:type="paragraph" w:customStyle="1" w:styleId="tabledesobservations1">
    <w:name w:val="table des observations1"/>
    <w:uiPriority w:val="99"/>
    <w:semiHidden/>
    <w:pPr>
      <w:tabs>
        <w:tab w:val="right" w:leader="dot" w:pos="9356"/>
      </w:tabs>
      <w:spacing w:before="240" w:after="60"/>
      <w:ind w:left="851" w:hanging="851"/>
    </w:pPr>
    <w:rPr>
      <w:b/>
      <w:bCs/>
      <w:noProof/>
      <w:sz w:val="24"/>
      <w:szCs w:val="24"/>
    </w:rPr>
  </w:style>
  <w:style w:type="paragraph" w:customStyle="1" w:styleId="tabledesobservations2">
    <w:name w:val="table des observations2"/>
    <w:uiPriority w:val="99"/>
    <w:semiHidden/>
    <w:pPr>
      <w:tabs>
        <w:tab w:val="right" w:leader="dot" w:pos="9356"/>
      </w:tabs>
      <w:spacing w:before="60" w:after="240"/>
      <w:ind w:left="3261"/>
      <w:jc w:val="right"/>
    </w:pPr>
    <w:rPr>
      <w:i/>
      <w:iCs/>
      <w:noProof/>
      <w:sz w:val="24"/>
      <w:szCs w:val="24"/>
    </w:rPr>
  </w:style>
  <w:style w:type="paragraph" w:customStyle="1" w:styleId="Corpstextegauche">
    <w:name w:val="Corps texte gauche"/>
    <w:basedOn w:val="Normal"/>
    <w:next w:val="BodyText"/>
    <w:uiPriority w:val="99"/>
    <w:rsid w:val="00C176ED"/>
    <w:pPr>
      <w:spacing w:before="60" w:after="60"/>
      <w:ind w:left="0" w:firstLine="0"/>
    </w:pPr>
  </w:style>
  <w:style w:type="paragraph" w:styleId="FootnoteText">
    <w:name w:val="footnote text"/>
    <w:basedOn w:val="Normal"/>
    <w:next w:val="BodyText"/>
    <w:link w:val="FootnoteTextChar"/>
    <w:uiPriority w:val="99"/>
    <w:semiHidden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60AC"/>
    <w:rPr>
      <w:sz w:val="20"/>
      <w:szCs w:val="20"/>
    </w:rPr>
  </w:style>
  <w:style w:type="paragraph" w:customStyle="1" w:styleId="Introconclu">
    <w:name w:val="Intro_conclu"/>
    <w:basedOn w:val="Normal"/>
    <w:next w:val="BodyText"/>
    <w:uiPriority w:val="99"/>
    <w:semiHidden/>
    <w:pPr>
      <w:spacing w:before="48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Titrenonreprisdanssommaire">
    <w:name w:val="Titre non repris dans sommaire"/>
    <w:next w:val="BodyText"/>
    <w:uiPriority w:val="99"/>
    <w:semiHidden/>
    <w:pPr>
      <w:spacing w:before="480" w:after="240"/>
      <w:jc w:val="center"/>
    </w:pPr>
    <w:rPr>
      <w:b/>
      <w:bCs/>
      <w:caps/>
      <w:noProof/>
      <w:sz w:val="28"/>
      <w:szCs w:val="28"/>
    </w:rPr>
  </w:style>
  <w:style w:type="paragraph" w:customStyle="1" w:styleId="1pageCour">
    <w:name w:val="1°page Cour"/>
    <w:basedOn w:val="Normal"/>
    <w:uiPriority w:val="99"/>
    <w:rsid w:val="00F30C3C"/>
    <w:pPr>
      <w:spacing w:before="0" w:after="0"/>
      <w:ind w:left="0" w:firstLine="0"/>
      <w:jc w:val="center"/>
    </w:pPr>
    <w:rPr>
      <w:b/>
      <w:bCs/>
      <w:smallCap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pPr>
      <w:spacing w:before="0" w:after="0" w:line="400" w:lineRule="exact"/>
      <w:ind w:firstLine="1418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60AC"/>
    <w:rPr>
      <w:sz w:val="24"/>
      <w:szCs w:val="24"/>
    </w:rPr>
  </w:style>
  <w:style w:type="paragraph" w:customStyle="1" w:styleId="Paragraphe1">
    <w:name w:val="Paragraphe 1"/>
    <w:uiPriority w:val="99"/>
    <w:semiHidden/>
    <w:pPr>
      <w:spacing w:line="480" w:lineRule="exact"/>
      <w:ind w:firstLine="1134"/>
      <w:jc w:val="both"/>
    </w:pPr>
    <w:rPr>
      <w:rFonts w:ascii="Tms Rmn" w:hAnsi="Tms Rm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pPr>
      <w:spacing w:before="0" w:after="0" w:line="400" w:lineRule="exact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60AC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60AC"/>
    <w:rPr>
      <w:sz w:val="0"/>
      <w:szCs w:val="0"/>
    </w:rPr>
  </w:style>
  <w:style w:type="paragraph" w:styleId="NormalIndent">
    <w:name w:val="Normal Indent"/>
    <w:basedOn w:val="Normal"/>
    <w:uiPriority w:val="99"/>
    <w:semiHidden/>
    <w:pPr>
      <w:spacing w:before="0" w:after="0"/>
      <w:ind w:left="708" w:firstLine="0"/>
      <w:jc w:val="left"/>
    </w:pPr>
    <w:rPr>
      <w:sz w:val="20"/>
      <w:szCs w:val="20"/>
    </w:rPr>
  </w:style>
  <w:style w:type="paragraph" w:customStyle="1" w:styleId="0ligneaprs">
    <w:name w:val="0 ligne après"/>
    <w:uiPriority w:val="99"/>
    <w:semiHidden/>
    <w:rsid w:val="006B4B77"/>
    <w:pPr>
      <w:keepLines/>
      <w:spacing w:line="240" w:lineRule="atLeast"/>
      <w:ind w:left="1701" w:firstLine="567"/>
      <w:jc w:val="both"/>
    </w:pPr>
    <w:rPr>
      <w:sz w:val="24"/>
      <w:szCs w:val="24"/>
    </w:rPr>
  </w:style>
  <w:style w:type="paragraph" w:customStyle="1" w:styleId="P0">
    <w:name w:val="P0"/>
    <w:basedOn w:val="Normal"/>
    <w:uiPriority w:val="99"/>
    <w:semiHidden/>
    <w:rsid w:val="00C5465D"/>
    <w:pPr>
      <w:spacing w:before="240" w:after="240" w:line="240" w:lineRule="atLeast"/>
      <w:ind w:left="1701" w:firstLine="567"/>
    </w:pPr>
  </w:style>
  <w:style w:type="paragraph" w:customStyle="1" w:styleId="PS">
    <w:name w:val="PS"/>
    <w:basedOn w:val="Normal"/>
    <w:link w:val="PSCar"/>
    <w:uiPriority w:val="99"/>
    <w:semiHidden/>
    <w:rsid w:val="0088193B"/>
    <w:pPr>
      <w:spacing w:before="0" w:after="480"/>
      <w:ind w:left="1701"/>
    </w:pPr>
    <w:rPr>
      <w:rFonts w:ascii="CG Times (WN)" w:hAnsi="CG Times (WN)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A11F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0AC"/>
    <w:rPr>
      <w:sz w:val="0"/>
      <w:szCs w:val="0"/>
    </w:rPr>
  </w:style>
  <w:style w:type="paragraph" w:customStyle="1" w:styleId="Titreobservations">
    <w:name w:val="Titre observations"/>
    <w:basedOn w:val="Titretableau"/>
    <w:next w:val="BodyText"/>
    <w:uiPriority w:val="99"/>
    <w:semiHidden/>
    <w:rsid w:val="004879D3"/>
    <w:pPr>
      <w:numPr>
        <w:numId w:val="4"/>
      </w:numPr>
      <w:jc w:val="left"/>
    </w:pPr>
    <w:rPr>
      <w:color w:val="000080"/>
      <w:spacing w:val="4"/>
    </w:rPr>
  </w:style>
  <w:style w:type="paragraph" w:customStyle="1" w:styleId="Style">
    <w:name w:val="Style"/>
    <w:uiPriority w:val="99"/>
    <w:semiHidden/>
    <w:rsid w:val="00A6208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paragraphe">
    <w:name w:val="paragraphe"/>
    <w:uiPriority w:val="99"/>
    <w:semiHidden/>
    <w:rsid w:val="005B284A"/>
    <w:pPr>
      <w:spacing w:after="240" w:line="240" w:lineRule="exact"/>
      <w:ind w:left="2268" w:firstLine="1418"/>
      <w:jc w:val="both"/>
    </w:pPr>
    <w:rPr>
      <w:rFonts w:ascii="Tms Rmn" w:hAnsi="Tms Rmn"/>
      <w:sz w:val="24"/>
      <w:szCs w:val="20"/>
    </w:rPr>
  </w:style>
  <w:style w:type="character" w:customStyle="1" w:styleId="CharacterStyle1">
    <w:name w:val="Character Style 1"/>
    <w:uiPriority w:val="99"/>
    <w:semiHidden/>
    <w:rsid w:val="00F81F70"/>
    <w:rPr>
      <w:rFonts w:ascii="Arial" w:hAnsi="Arial"/>
      <w:sz w:val="16"/>
    </w:rPr>
  </w:style>
  <w:style w:type="character" w:customStyle="1" w:styleId="PSCar">
    <w:name w:val="PS Car"/>
    <w:basedOn w:val="DefaultParagraphFont"/>
    <w:link w:val="PS"/>
    <w:uiPriority w:val="99"/>
    <w:locked/>
    <w:rsid w:val="00D64C6D"/>
    <w:rPr>
      <w:rFonts w:ascii="CG Times (WN)" w:hAnsi="CG Times (WN)" w:cs="Times New Roman"/>
      <w:sz w:val="24"/>
      <w:lang w:val="fr-FR" w:eastAsia="fr-FR" w:bidi="ar-SA"/>
    </w:rPr>
  </w:style>
  <w:style w:type="character" w:styleId="CommentReference">
    <w:name w:val="annotation reference"/>
    <w:basedOn w:val="DefaultParagraphFont"/>
    <w:uiPriority w:val="99"/>
    <w:semiHidden/>
    <w:rsid w:val="0024422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44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0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4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0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41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enhaji\Application%20Data\Microsoft\Mod&#232;les\Rapports\CCOS_ARRET%20APPE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CCOS_ARRET APPEL.dot</Template>
  <TotalTime>0</TotalTime>
  <Pages>1</Pages>
  <Words>1039</Words>
  <Characters>5715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Arrêt d'appel - Commune de Villejuif</dc:title>
  <dc:subject/>
  <dc:creator>Omar SENHAJI</dc:creator>
  <cp:keywords/>
  <dc:description/>
  <cp:lastModifiedBy>Maryté Lecroisey</cp:lastModifiedBy>
  <cp:revision>2</cp:revision>
  <cp:lastPrinted>2008-10-14T09:27:00Z</cp:lastPrinted>
  <dcterms:created xsi:type="dcterms:W3CDTF">2008-12-18T14:08:00Z</dcterms:created>
  <dcterms:modified xsi:type="dcterms:W3CDTF">2008-12-18T14:08:00Z</dcterms:modified>
</cp:coreProperties>
</file>