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248" w:rsidRPr="00E965A9" w:rsidRDefault="00081248">
      <w:pPr>
        <w:pStyle w:val="ET"/>
      </w:pPr>
      <w:r w:rsidRPr="00E965A9">
        <w:t>COUR DES COMPTES</w:t>
      </w:r>
    </w:p>
    <w:p w:rsidR="00081248" w:rsidRPr="00E965A9" w:rsidRDefault="00081248">
      <w:pPr>
        <w:pStyle w:val="ET"/>
      </w:pPr>
      <w:r w:rsidRPr="00E965A9">
        <w:tab/>
        <w:t xml:space="preserve">--------- </w:t>
      </w:r>
    </w:p>
    <w:p w:rsidR="00081248" w:rsidRPr="00E965A9" w:rsidRDefault="00081248">
      <w:pPr>
        <w:pStyle w:val="ET"/>
      </w:pPr>
      <w:r w:rsidRPr="00E965A9">
        <w:t xml:space="preserve">SEPTIEME CHAMBRE </w:t>
      </w:r>
    </w:p>
    <w:p w:rsidR="00081248" w:rsidRPr="00E965A9" w:rsidRDefault="00081248">
      <w:pPr>
        <w:pStyle w:val="ET"/>
      </w:pPr>
      <w:r w:rsidRPr="00E965A9">
        <w:tab/>
        <w:t xml:space="preserve">--------- </w:t>
      </w:r>
    </w:p>
    <w:p w:rsidR="00081248" w:rsidRPr="00E965A9" w:rsidRDefault="00081248">
      <w:pPr>
        <w:pStyle w:val="ET"/>
      </w:pPr>
      <w:r w:rsidRPr="00E965A9">
        <w:t xml:space="preserve">DEUXIEME SECTION </w:t>
      </w:r>
    </w:p>
    <w:p w:rsidR="00081248" w:rsidRPr="00E965A9" w:rsidRDefault="00081248">
      <w:pPr>
        <w:pStyle w:val="ET"/>
      </w:pPr>
      <w:r w:rsidRPr="00E965A9">
        <w:tab/>
        <w:t xml:space="preserve">--------- </w:t>
      </w:r>
    </w:p>
    <w:p w:rsidR="00081248" w:rsidRPr="00E965A9" w:rsidRDefault="00081248" w:rsidP="009734F5">
      <w:pPr>
        <w:pStyle w:val="Header"/>
        <w:rPr>
          <w:b/>
          <w:i/>
        </w:rPr>
      </w:pPr>
      <w:r w:rsidRPr="00E965A9">
        <w:t xml:space="preserve">       </w:t>
      </w:r>
      <w:r w:rsidRPr="00E965A9">
        <w:rPr>
          <w:b/>
          <w:i/>
        </w:rPr>
        <w:t>Arrêt n° 46711</w:t>
      </w:r>
    </w:p>
    <w:p w:rsidR="00081248" w:rsidRPr="00E965A9" w:rsidRDefault="00081248" w:rsidP="00E13170">
      <w:pPr>
        <w:pStyle w:val="OR"/>
      </w:pPr>
      <w:r w:rsidRPr="00E965A9">
        <w:t>PARC NATIONAL DE LA GUADELOUPE</w:t>
      </w:r>
    </w:p>
    <w:p w:rsidR="00081248" w:rsidRPr="00E965A9" w:rsidRDefault="00081248" w:rsidP="00E13170">
      <w:pPr>
        <w:pStyle w:val="OR"/>
      </w:pPr>
    </w:p>
    <w:p w:rsidR="00081248" w:rsidRPr="00E965A9" w:rsidRDefault="00081248">
      <w:pPr>
        <w:pStyle w:val="OR"/>
      </w:pPr>
      <w:r w:rsidRPr="00E965A9">
        <w:t>Exercices 1996 à 2001</w:t>
      </w:r>
    </w:p>
    <w:p w:rsidR="00081248" w:rsidRPr="00E965A9" w:rsidRDefault="00081248">
      <w:pPr>
        <w:pStyle w:val="OR"/>
      </w:pPr>
    </w:p>
    <w:p w:rsidR="00081248" w:rsidRPr="00E965A9" w:rsidRDefault="00081248">
      <w:pPr>
        <w:pStyle w:val="OR"/>
      </w:pPr>
      <w:r w:rsidRPr="00E965A9">
        <w:t>Rapport n° 2006-420-1</w:t>
      </w:r>
    </w:p>
    <w:p w:rsidR="00081248" w:rsidRPr="00E965A9" w:rsidRDefault="00081248">
      <w:pPr>
        <w:pStyle w:val="OR"/>
      </w:pPr>
    </w:p>
    <w:p w:rsidR="00081248" w:rsidRPr="00E965A9" w:rsidRDefault="00081248" w:rsidP="00E13170">
      <w:pPr>
        <w:pStyle w:val="OR"/>
        <w:spacing w:after="480"/>
      </w:pPr>
      <w:r w:rsidRPr="00E965A9">
        <w:t xml:space="preserve">Audience et lecture publiques </w:t>
      </w:r>
      <w:r w:rsidRPr="00E965A9">
        <w:br/>
        <w:t>du 18 octobre 2006</w:t>
      </w:r>
    </w:p>
    <w:p w:rsidR="00081248" w:rsidRPr="00E965A9" w:rsidRDefault="00081248" w:rsidP="00796E4A">
      <w:pPr>
        <w:pStyle w:val="PS"/>
        <w:ind w:firstLine="0"/>
        <w:jc w:val="center"/>
      </w:pPr>
      <w:r w:rsidRPr="00E965A9">
        <w:t>RÉPUBLIQUE FRANÇAISE</w:t>
      </w:r>
    </w:p>
    <w:p w:rsidR="00081248" w:rsidRPr="00E965A9" w:rsidRDefault="00081248" w:rsidP="00796E4A">
      <w:pPr>
        <w:pStyle w:val="PS"/>
        <w:ind w:firstLine="0"/>
        <w:jc w:val="center"/>
      </w:pPr>
      <w:r w:rsidRPr="00E965A9">
        <w:t>AU NOM DU PEUPLE FRANÇAIS</w:t>
      </w:r>
    </w:p>
    <w:p w:rsidR="00081248" w:rsidRPr="00E965A9" w:rsidRDefault="00081248" w:rsidP="00796E4A">
      <w:pPr>
        <w:pStyle w:val="PS"/>
        <w:jc w:val="left"/>
      </w:pPr>
      <w:r w:rsidRPr="00E965A9">
        <w:t>LA COUR DES COMPTES a rendu l’arrêt suivant :</w:t>
      </w:r>
    </w:p>
    <w:p w:rsidR="00081248" w:rsidRPr="00E965A9" w:rsidRDefault="00081248" w:rsidP="009734F5">
      <w:pPr>
        <w:pStyle w:val="PS"/>
      </w:pPr>
      <w:r w:rsidRPr="00E965A9">
        <w:t>LA COUR,</w:t>
      </w:r>
    </w:p>
    <w:p w:rsidR="00081248" w:rsidRPr="00E965A9" w:rsidRDefault="00081248" w:rsidP="009734F5">
      <w:pPr>
        <w:pStyle w:val="PS"/>
      </w:pPr>
      <w:r w:rsidRPr="00E965A9">
        <w:t>Vu l’arrêt du 19 mai 2005, par lequel elle a statué sur les comptes rendus en qualité de comptable du PARC NATIONAL DE LA GUADELOUPE pour les exercices 1996 à 2001 par :</w:t>
      </w:r>
    </w:p>
    <w:p w:rsidR="00081248" w:rsidRPr="00E965A9" w:rsidRDefault="00081248" w:rsidP="009734F5">
      <w:pPr>
        <w:pStyle w:val="PS"/>
      </w:pPr>
      <w:r w:rsidRPr="00E965A9">
        <w:t>- M. Daniel X du 1</w:t>
      </w:r>
      <w:r w:rsidRPr="00E965A9">
        <w:rPr>
          <w:vertAlign w:val="superscript"/>
        </w:rPr>
        <w:t>er</w:t>
      </w:r>
      <w:r w:rsidRPr="00E965A9">
        <w:t xml:space="preserve"> janvier 1996 au 2 janvier 2000 ;</w:t>
      </w:r>
    </w:p>
    <w:p w:rsidR="00081248" w:rsidRPr="00E965A9" w:rsidRDefault="00081248" w:rsidP="009734F5">
      <w:pPr>
        <w:pStyle w:val="PS"/>
      </w:pPr>
      <w:r w:rsidRPr="00E965A9">
        <w:t xml:space="preserve">- Mme </w:t>
      </w:r>
      <w:smartTag w:uri="urn:schemas-microsoft-com:office:smarttags" w:element="PersonName">
        <w:r w:rsidRPr="00E965A9">
          <w:t>Michèle</w:t>
        </w:r>
      </w:smartTag>
      <w:r w:rsidRPr="00E965A9">
        <w:t xml:space="preserve"> Y du 3 janvier 2000 au 31 décembre 2001 ;</w:t>
      </w:r>
    </w:p>
    <w:p w:rsidR="00081248" w:rsidRPr="00E965A9" w:rsidRDefault="00081248" w:rsidP="009734F5">
      <w:pPr>
        <w:pStyle w:val="PS"/>
      </w:pPr>
      <w:r w:rsidRPr="00E965A9">
        <w:t xml:space="preserve">Vu les justifications produites en exécution dudit arrêt, ainsi que les correspondances complémentaires en date des 4 et 10 octobre 2006 ; </w:t>
      </w:r>
    </w:p>
    <w:p w:rsidR="00081248" w:rsidRPr="00E965A9" w:rsidRDefault="00081248" w:rsidP="009734F5">
      <w:pPr>
        <w:pStyle w:val="PS"/>
      </w:pPr>
      <w:r w:rsidRPr="00E965A9">
        <w:t>Vu le code des juridictions financières ;</w:t>
      </w:r>
    </w:p>
    <w:p w:rsidR="00081248" w:rsidRPr="00E965A9" w:rsidRDefault="00081248" w:rsidP="009734F5">
      <w:pPr>
        <w:pStyle w:val="PS"/>
      </w:pPr>
      <w:r w:rsidRPr="00E965A9">
        <w:t>Vu les lois et règlements relatifs à la comptabilité du parc national de la Guadeloupe, et le décret du 29 décembre 1962 portant règlement général sur la comptabilité publique ;</w:t>
      </w:r>
    </w:p>
    <w:p w:rsidR="00081248" w:rsidRPr="00E965A9" w:rsidRDefault="00081248" w:rsidP="009734F5">
      <w:pPr>
        <w:pStyle w:val="PS"/>
      </w:pPr>
      <w:r w:rsidRPr="00E965A9">
        <w:t>Vu l’article 60 de la loi de finances n° 63-156 du 23 février 1963 ;</w:t>
      </w:r>
    </w:p>
    <w:p w:rsidR="00081248" w:rsidRPr="00E965A9" w:rsidRDefault="00081248" w:rsidP="00B032A2">
      <w:pPr>
        <w:pStyle w:val="IN"/>
      </w:pPr>
      <w:r w:rsidRPr="00E965A9">
        <w:t>RB</w:t>
      </w:r>
    </w:p>
    <w:p w:rsidR="00081248" w:rsidRPr="00E965A9" w:rsidRDefault="00081248">
      <w:pPr>
        <w:pStyle w:val="P0"/>
        <w:sectPr w:rsidR="00081248" w:rsidRPr="00E965A9">
          <w:pgSz w:w="11907" w:h="16840"/>
          <w:pgMar w:top="1134" w:right="1134" w:bottom="1134" w:left="567" w:header="720" w:footer="720" w:gutter="0"/>
          <w:cols w:space="720"/>
        </w:sectPr>
      </w:pPr>
    </w:p>
    <w:p w:rsidR="00081248" w:rsidRPr="00E965A9" w:rsidRDefault="00081248" w:rsidP="00B032A2">
      <w:pPr>
        <w:pStyle w:val="PS"/>
      </w:pPr>
      <w:r w:rsidRPr="00E965A9">
        <w:t>Vu la loi du 25 janvier 1985 relative au redressement et à la liquidation judiciaire des entreprises, et le décret modifié n° 85-1388 du 27 décembre 1985 ;</w:t>
      </w:r>
    </w:p>
    <w:p w:rsidR="00081248" w:rsidRPr="00E965A9" w:rsidRDefault="00081248" w:rsidP="00B032A2">
      <w:pPr>
        <w:pStyle w:val="PS"/>
      </w:pPr>
      <w:r w:rsidRPr="00E965A9">
        <w:t>Vu l’instruction codificatrice n° 96-011 M. 91 du 1</w:t>
      </w:r>
      <w:r w:rsidRPr="00E965A9">
        <w:rPr>
          <w:vertAlign w:val="superscript"/>
        </w:rPr>
        <w:t>er</w:t>
      </w:r>
      <w:r w:rsidRPr="00E965A9">
        <w:t xml:space="preserve"> février 1996 ;</w:t>
      </w:r>
    </w:p>
    <w:p w:rsidR="00081248" w:rsidRPr="00E965A9" w:rsidRDefault="00081248" w:rsidP="00B032A2">
      <w:pPr>
        <w:pStyle w:val="PS"/>
      </w:pPr>
      <w:r w:rsidRPr="00E965A9">
        <w:t xml:space="preserve">Vu les lettres en date du 8 septembre 2006 informant les comptables de la tenue d’une audience publique et de la possibilité pour eux d’y présenter leurs observations ; </w:t>
      </w:r>
    </w:p>
    <w:p w:rsidR="00081248" w:rsidRPr="00E965A9" w:rsidRDefault="00081248" w:rsidP="00B032A2">
      <w:pPr>
        <w:pStyle w:val="PS"/>
      </w:pPr>
      <w:r w:rsidRPr="00E965A9">
        <w:t xml:space="preserve">Sur le rapport de Mme </w:t>
      </w:r>
      <w:smartTag w:uri="urn:schemas-microsoft-com:office:smarttags" w:element="PersonName">
        <w:r w:rsidRPr="00E965A9">
          <w:t>Sylvie Lemmet</w:t>
        </w:r>
      </w:smartTag>
      <w:r w:rsidRPr="00E965A9">
        <w:t xml:space="preserve">, conseillère référendaire ; </w:t>
      </w:r>
    </w:p>
    <w:p w:rsidR="00081248" w:rsidRPr="00E965A9" w:rsidRDefault="00081248" w:rsidP="00B032A2">
      <w:pPr>
        <w:pStyle w:val="PS"/>
      </w:pPr>
      <w:r w:rsidRPr="00E965A9">
        <w:t xml:space="preserve">Vu les conclusions du procureur général de la République ; </w:t>
      </w:r>
    </w:p>
    <w:p w:rsidR="00081248" w:rsidRPr="00E965A9" w:rsidRDefault="00081248" w:rsidP="00B032A2">
      <w:pPr>
        <w:pStyle w:val="PS"/>
      </w:pPr>
      <w:r w:rsidRPr="00E965A9">
        <w:t xml:space="preserve">Après avoir entendu, lors de l’audience publique de ce jour, le rapporteur, dans son exposé et M. Rémi Frentz, avocat général, en ses conclusions orales ; </w:t>
      </w:r>
    </w:p>
    <w:p w:rsidR="00081248" w:rsidRPr="00E965A9" w:rsidRDefault="00081248" w:rsidP="00B032A2">
      <w:pPr>
        <w:pStyle w:val="PS"/>
      </w:pPr>
      <w:r w:rsidRPr="00E965A9">
        <w:t xml:space="preserve">Ayant constaté l’absence de M. X et de Mme Y à l’audience publique ; </w:t>
      </w:r>
    </w:p>
    <w:p w:rsidR="00081248" w:rsidRPr="00E965A9" w:rsidRDefault="00081248" w:rsidP="00B032A2">
      <w:pPr>
        <w:pStyle w:val="PS"/>
      </w:pPr>
      <w:r w:rsidRPr="00E965A9">
        <w:t xml:space="preserve">Après avoir entendu M. Patrick Devaux, conseiller maître en ses observations, le ministère public et le rapporteur s’étant retirés ; </w:t>
      </w:r>
    </w:p>
    <w:p w:rsidR="00081248" w:rsidRPr="00E965A9" w:rsidRDefault="00081248" w:rsidP="00B032A2">
      <w:pPr>
        <w:pStyle w:val="P0"/>
        <w:jc w:val="center"/>
      </w:pPr>
      <w:r w:rsidRPr="00E965A9">
        <w:t>STATUANT DEFINITIVEMENT,</w:t>
      </w:r>
    </w:p>
    <w:p w:rsidR="00081248" w:rsidRPr="00E965A9" w:rsidRDefault="00081248" w:rsidP="00B032A2">
      <w:pPr>
        <w:pStyle w:val="P0"/>
        <w:jc w:val="center"/>
      </w:pPr>
    </w:p>
    <w:p w:rsidR="00081248" w:rsidRPr="00E965A9" w:rsidRDefault="00081248" w:rsidP="00B032A2">
      <w:pPr>
        <w:pStyle w:val="P0"/>
        <w:jc w:val="center"/>
      </w:pPr>
    </w:p>
    <w:p w:rsidR="00081248" w:rsidRPr="00E965A9" w:rsidRDefault="00081248" w:rsidP="00B032A2">
      <w:pPr>
        <w:pStyle w:val="P0"/>
        <w:jc w:val="center"/>
      </w:pPr>
      <w:r w:rsidRPr="00E965A9">
        <w:t>ORDONNE :</w:t>
      </w:r>
    </w:p>
    <w:p w:rsidR="00081248" w:rsidRPr="00E965A9" w:rsidRDefault="00081248" w:rsidP="00B032A2">
      <w:pPr>
        <w:pStyle w:val="P0"/>
        <w:jc w:val="center"/>
      </w:pPr>
    </w:p>
    <w:p w:rsidR="00081248" w:rsidRPr="00E965A9" w:rsidRDefault="00081248" w:rsidP="00B032A2">
      <w:pPr>
        <w:pStyle w:val="P0"/>
        <w:jc w:val="center"/>
      </w:pPr>
    </w:p>
    <w:p w:rsidR="00081248" w:rsidRPr="00E965A9" w:rsidRDefault="00081248" w:rsidP="00B032A2">
      <w:pPr>
        <w:pStyle w:val="PS"/>
        <w:rPr>
          <w:b/>
        </w:rPr>
      </w:pPr>
      <w:r w:rsidRPr="00E965A9">
        <w:rPr>
          <w:b/>
        </w:rPr>
        <w:t>I – GESTION DE M. X</w:t>
      </w:r>
    </w:p>
    <w:p w:rsidR="00081248" w:rsidRPr="00E965A9" w:rsidRDefault="00081248" w:rsidP="00B032A2">
      <w:pPr>
        <w:pStyle w:val="PS"/>
        <w:rPr>
          <w:u w:val="single"/>
        </w:rPr>
      </w:pPr>
      <w:r w:rsidRPr="00E965A9">
        <w:t xml:space="preserve">1 – </w:t>
      </w:r>
      <w:r w:rsidRPr="00E965A9">
        <w:rPr>
          <w:u w:val="single"/>
        </w:rPr>
        <w:t xml:space="preserve">Injonction n° 1 : Absence de recouvrement de titres émis à l’encontre de </w:t>
      </w:r>
      <w:smartTag w:uri="urn:schemas-microsoft-com:office:smarttags" w:element="PersonName">
        <w:smartTagPr>
          <w:attr w:name="ProductID" w:val="la soci￩t￩ KPC Accueil"/>
        </w:smartTagPr>
        <w:r w:rsidRPr="00E965A9">
          <w:rPr>
            <w:u w:val="single"/>
          </w:rPr>
          <w:t>la société KPC Accueil</w:t>
        </w:r>
      </w:smartTag>
      <w:r w:rsidRPr="00E965A9">
        <w:rPr>
          <w:u w:val="single"/>
        </w:rPr>
        <w:t>, Petreluzzi (exercice 1998)</w:t>
      </w:r>
    </w:p>
    <w:p w:rsidR="00081248" w:rsidRDefault="00081248" w:rsidP="00B032A2">
      <w:pPr>
        <w:pStyle w:val="PS"/>
      </w:pPr>
      <w:r w:rsidRPr="00E965A9">
        <w:t>Attendu que, par l’arrêt susvisé du 19 mai 2005, la Cour avait formulé une injonction de reversement à défaut d’autres justifications à décharge, d’un montant de 1 223,78  €, pour absence de déclaration de créances auprès des administrations, syndics ou liquidateurs, dans le délai de deux mois à compter de l’ouverture des procédures judiciaires, comme retracé dans le tableau suivant ;</w:t>
      </w:r>
    </w:p>
    <w:p w:rsidR="00081248" w:rsidRDefault="00081248" w:rsidP="00B032A2">
      <w:pPr>
        <w:pStyle w:val="PS"/>
      </w:pPr>
      <w:r>
        <w:br w:type="page"/>
      </w:r>
    </w:p>
    <w:tbl>
      <w:tblPr>
        <w:tblW w:w="0" w:type="auto"/>
        <w:tblInd w:w="1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69"/>
        <w:gridCol w:w="1283"/>
        <w:gridCol w:w="1559"/>
        <w:gridCol w:w="2126"/>
      </w:tblGrid>
      <w:tr w:rsidR="00081248" w:rsidRPr="00E965A9">
        <w:tc>
          <w:tcPr>
            <w:tcW w:w="1269" w:type="dxa"/>
          </w:tcPr>
          <w:p w:rsidR="00081248" w:rsidRPr="00E965A9" w:rsidRDefault="00081248" w:rsidP="00B032A2">
            <w:pPr>
              <w:pStyle w:val="BodyText"/>
              <w:ind w:firstLine="0"/>
              <w:jc w:val="center"/>
              <w:rPr>
                <w:sz w:val="20"/>
              </w:rPr>
            </w:pPr>
            <w:r>
              <w:br w:type="page"/>
            </w:r>
            <w:r w:rsidRPr="00E965A9">
              <w:rPr>
                <w:sz w:val="20"/>
              </w:rPr>
              <w:t>Année</w:t>
            </w:r>
          </w:p>
        </w:tc>
        <w:tc>
          <w:tcPr>
            <w:tcW w:w="1283" w:type="dxa"/>
          </w:tcPr>
          <w:p w:rsidR="00081248" w:rsidRPr="00E965A9" w:rsidRDefault="00081248" w:rsidP="00B032A2">
            <w:pPr>
              <w:pStyle w:val="BodyText"/>
              <w:ind w:firstLine="0"/>
              <w:jc w:val="center"/>
              <w:rPr>
                <w:sz w:val="20"/>
              </w:rPr>
            </w:pPr>
            <w:r w:rsidRPr="00E965A9">
              <w:rPr>
                <w:sz w:val="20"/>
              </w:rPr>
              <w:t>Facture du</w:t>
            </w:r>
          </w:p>
        </w:tc>
        <w:tc>
          <w:tcPr>
            <w:tcW w:w="1559" w:type="dxa"/>
          </w:tcPr>
          <w:p w:rsidR="00081248" w:rsidRPr="00E965A9" w:rsidRDefault="00081248" w:rsidP="00B032A2">
            <w:pPr>
              <w:pStyle w:val="BodyText"/>
              <w:ind w:firstLine="0"/>
              <w:jc w:val="center"/>
              <w:rPr>
                <w:sz w:val="20"/>
              </w:rPr>
            </w:pPr>
            <w:r w:rsidRPr="00E965A9">
              <w:rPr>
                <w:sz w:val="20"/>
              </w:rPr>
              <w:t>Titre de recette</w:t>
            </w:r>
          </w:p>
        </w:tc>
        <w:tc>
          <w:tcPr>
            <w:tcW w:w="2126" w:type="dxa"/>
          </w:tcPr>
          <w:p w:rsidR="00081248" w:rsidRPr="00E965A9" w:rsidRDefault="00081248" w:rsidP="00B032A2">
            <w:pPr>
              <w:pStyle w:val="BodyText"/>
              <w:ind w:firstLine="0"/>
              <w:jc w:val="center"/>
              <w:rPr>
                <w:sz w:val="20"/>
              </w:rPr>
            </w:pPr>
            <w:r w:rsidRPr="00E965A9">
              <w:rPr>
                <w:sz w:val="20"/>
              </w:rPr>
              <w:t>Montant en €</w:t>
            </w:r>
          </w:p>
        </w:tc>
      </w:tr>
      <w:tr w:rsidR="00081248" w:rsidRPr="00E965A9">
        <w:tc>
          <w:tcPr>
            <w:tcW w:w="1269" w:type="dxa"/>
          </w:tcPr>
          <w:p w:rsidR="00081248" w:rsidRPr="00E965A9" w:rsidRDefault="00081248" w:rsidP="00B032A2">
            <w:pPr>
              <w:pStyle w:val="BodyText"/>
              <w:ind w:firstLine="0"/>
              <w:jc w:val="center"/>
              <w:rPr>
                <w:sz w:val="20"/>
              </w:rPr>
            </w:pPr>
            <w:r w:rsidRPr="00E965A9">
              <w:rPr>
                <w:sz w:val="20"/>
              </w:rPr>
              <w:t>1995</w:t>
            </w:r>
          </w:p>
        </w:tc>
        <w:tc>
          <w:tcPr>
            <w:tcW w:w="1283" w:type="dxa"/>
          </w:tcPr>
          <w:p w:rsidR="00081248" w:rsidRPr="00E965A9" w:rsidRDefault="00081248" w:rsidP="00B032A2">
            <w:pPr>
              <w:pStyle w:val="BodyText"/>
              <w:ind w:firstLine="0"/>
              <w:jc w:val="center"/>
              <w:rPr>
                <w:sz w:val="20"/>
              </w:rPr>
            </w:pPr>
            <w:r w:rsidRPr="00E965A9">
              <w:rPr>
                <w:sz w:val="20"/>
              </w:rPr>
              <w:t>04.08.1992</w:t>
            </w:r>
          </w:p>
        </w:tc>
        <w:tc>
          <w:tcPr>
            <w:tcW w:w="1559" w:type="dxa"/>
          </w:tcPr>
          <w:p w:rsidR="00081248" w:rsidRPr="00E965A9" w:rsidRDefault="00081248" w:rsidP="00B032A2">
            <w:pPr>
              <w:pStyle w:val="BodyText"/>
              <w:ind w:firstLine="0"/>
              <w:jc w:val="center"/>
              <w:rPr>
                <w:sz w:val="20"/>
              </w:rPr>
            </w:pPr>
            <w:r w:rsidRPr="00E965A9">
              <w:rPr>
                <w:sz w:val="20"/>
              </w:rPr>
              <w:t>176</w:t>
            </w:r>
          </w:p>
        </w:tc>
        <w:tc>
          <w:tcPr>
            <w:tcW w:w="2126" w:type="dxa"/>
          </w:tcPr>
          <w:p w:rsidR="00081248" w:rsidRPr="00E965A9" w:rsidRDefault="00081248" w:rsidP="00B032A2">
            <w:pPr>
              <w:pStyle w:val="BodyText"/>
              <w:ind w:firstLine="0"/>
              <w:jc w:val="center"/>
              <w:rPr>
                <w:sz w:val="20"/>
              </w:rPr>
            </w:pPr>
            <w:r w:rsidRPr="00E965A9">
              <w:rPr>
                <w:sz w:val="20"/>
              </w:rPr>
              <w:t>10,67</w:t>
            </w:r>
          </w:p>
        </w:tc>
      </w:tr>
      <w:tr w:rsidR="00081248" w:rsidRPr="00E965A9">
        <w:tc>
          <w:tcPr>
            <w:tcW w:w="1269" w:type="dxa"/>
          </w:tcPr>
          <w:p w:rsidR="00081248" w:rsidRPr="00E965A9" w:rsidRDefault="00081248" w:rsidP="00B032A2">
            <w:pPr>
              <w:pStyle w:val="BodyText"/>
              <w:ind w:firstLine="0"/>
              <w:rPr>
                <w:sz w:val="20"/>
              </w:rPr>
            </w:pPr>
          </w:p>
        </w:tc>
        <w:tc>
          <w:tcPr>
            <w:tcW w:w="1283" w:type="dxa"/>
          </w:tcPr>
          <w:p w:rsidR="00081248" w:rsidRPr="00E965A9" w:rsidRDefault="00081248" w:rsidP="00B032A2">
            <w:pPr>
              <w:pStyle w:val="BodyText"/>
              <w:ind w:firstLine="0"/>
              <w:jc w:val="center"/>
              <w:rPr>
                <w:sz w:val="20"/>
              </w:rPr>
            </w:pPr>
            <w:r w:rsidRPr="00E965A9">
              <w:rPr>
                <w:sz w:val="20"/>
              </w:rPr>
              <w:t>04.08.1992</w:t>
            </w:r>
          </w:p>
        </w:tc>
        <w:tc>
          <w:tcPr>
            <w:tcW w:w="1559" w:type="dxa"/>
          </w:tcPr>
          <w:p w:rsidR="00081248" w:rsidRPr="00E965A9" w:rsidRDefault="00081248" w:rsidP="00B032A2">
            <w:pPr>
              <w:pStyle w:val="BodyText"/>
              <w:ind w:firstLine="0"/>
              <w:jc w:val="center"/>
              <w:rPr>
                <w:sz w:val="20"/>
              </w:rPr>
            </w:pPr>
            <w:r w:rsidRPr="00E965A9">
              <w:rPr>
                <w:sz w:val="20"/>
              </w:rPr>
              <w:t>177</w:t>
            </w:r>
          </w:p>
        </w:tc>
        <w:tc>
          <w:tcPr>
            <w:tcW w:w="2126" w:type="dxa"/>
          </w:tcPr>
          <w:p w:rsidR="00081248" w:rsidRPr="00E965A9" w:rsidRDefault="00081248" w:rsidP="00B032A2">
            <w:pPr>
              <w:pStyle w:val="BodyText"/>
              <w:ind w:firstLine="0"/>
              <w:jc w:val="center"/>
              <w:rPr>
                <w:sz w:val="20"/>
              </w:rPr>
            </w:pPr>
            <w:r w:rsidRPr="00E965A9">
              <w:rPr>
                <w:sz w:val="20"/>
              </w:rPr>
              <w:t>105,19</w:t>
            </w:r>
          </w:p>
        </w:tc>
      </w:tr>
      <w:tr w:rsidR="00081248" w:rsidRPr="00E965A9">
        <w:tc>
          <w:tcPr>
            <w:tcW w:w="1269" w:type="dxa"/>
          </w:tcPr>
          <w:p w:rsidR="00081248" w:rsidRPr="00E965A9" w:rsidRDefault="00081248" w:rsidP="00B032A2">
            <w:pPr>
              <w:pStyle w:val="BodyText"/>
              <w:ind w:firstLine="0"/>
              <w:rPr>
                <w:sz w:val="20"/>
              </w:rPr>
            </w:pPr>
          </w:p>
        </w:tc>
        <w:tc>
          <w:tcPr>
            <w:tcW w:w="1283" w:type="dxa"/>
          </w:tcPr>
          <w:p w:rsidR="00081248" w:rsidRPr="00E965A9" w:rsidRDefault="00081248" w:rsidP="00B032A2">
            <w:pPr>
              <w:pStyle w:val="BodyText"/>
              <w:ind w:firstLine="0"/>
              <w:jc w:val="center"/>
              <w:rPr>
                <w:sz w:val="20"/>
              </w:rPr>
            </w:pPr>
            <w:r w:rsidRPr="00E965A9">
              <w:rPr>
                <w:sz w:val="20"/>
              </w:rPr>
              <w:t>04.08.1992</w:t>
            </w:r>
          </w:p>
        </w:tc>
        <w:tc>
          <w:tcPr>
            <w:tcW w:w="1559" w:type="dxa"/>
          </w:tcPr>
          <w:p w:rsidR="00081248" w:rsidRPr="00E965A9" w:rsidRDefault="00081248" w:rsidP="00B032A2">
            <w:pPr>
              <w:pStyle w:val="BodyText"/>
              <w:ind w:firstLine="0"/>
              <w:jc w:val="center"/>
              <w:rPr>
                <w:sz w:val="20"/>
              </w:rPr>
            </w:pPr>
            <w:r w:rsidRPr="00E965A9">
              <w:rPr>
                <w:sz w:val="20"/>
              </w:rPr>
              <w:t>178</w:t>
            </w:r>
          </w:p>
        </w:tc>
        <w:tc>
          <w:tcPr>
            <w:tcW w:w="2126" w:type="dxa"/>
          </w:tcPr>
          <w:p w:rsidR="00081248" w:rsidRPr="00E965A9" w:rsidRDefault="00081248" w:rsidP="00B032A2">
            <w:pPr>
              <w:pStyle w:val="BodyText"/>
              <w:ind w:firstLine="0"/>
              <w:jc w:val="center"/>
              <w:rPr>
                <w:sz w:val="20"/>
              </w:rPr>
            </w:pPr>
            <w:r w:rsidRPr="00E965A9">
              <w:rPr>
                <w:sz w:val="20"/>
              </w:rPr>
              <w:t>131,87</w:t>
            </w:r>
          </w:p>
        </w:tc>
      </w:tr>
      <w:tr w:rsidR="00081248" w:rsidRPr="00E965A9">
        <w:tc>
          <w:tcPr>
            <w:tcW w:w="1269" w:type="dxa"/>
          </w:tcPr>
          <w:p w:rsidR="00081248" w:rsidRPr="00E965A9" w:rsidRDefault="00081248" w:rsidP="00B032A2">
            <w:pPr>
              <w:pStyle w:val="BodyText"/>
              <w:ind w:firstLine="0"/>
              <w:rPr>
                <w:sz w:val="20"/>
              </w:rPr>
            </w:pPr>
          </w:p>
        </w:tc>
        <w:tc>
          <w:tcPr>
            <w:tcW w:w="1283" w:type="dxa"/>
          </w:tcPr>
          <w:p w:rsidR="00081248" w:rsidRPr="00E965A9" w:rsidRDefault="00081248" w:rsidP="00B032A2">
            <w:pPr>
              <w:pStyle w:val="BodyText"/>
              <w:ind w:firstLine="0"/>
              <w:jc w:val="center"/>
              <w:rPr>
                <w:sz w:val="20"/>
              </w:rPr>
            </w:pPr>
            <w:r w:rsidRPr="00E965A9">
              <w:rPr>
                <w:sz w:val="20"/>
              </w:rPr>
              <w:t>20.01.1993</w:t>
            </w:r>
          </w:p>
        </w:tc>
        <w:tc>
          <w:tcPr>
            <w:tcW w:w="1559" w:type="dxa"/>
          </w:tcPr>
          <w:p w:rsidR="00081248" w:rsidRPr="00E965A9" w:rsidRDefault="00081248" w:rsidP="00B032A2">
            <w:pPr>
              <w:pStyle w:val="BodyText"/>
              <w:ind w:firstLine="0"/>
              <w:jc w:val="center"/>
              <w:rPr>
                <w:sz w:val="20"/>
              </w:rPr>
            </w:pPr>
            <w:r w:rsidRPr="00E965A9">
              <w:rPr>
                <w:sz w:val="20"/>
              </w:rPr>
              <w:t>179</w:t>
            </w:r>
          </w:p>
        </w:tc>
        <w:tc>
          <w:tcPr>
            <w:tcW w:w="2126" w:type="dxa"/>
          </w:tcPr>
          <w:p w:rsidR="00081248" w:rsidRPr="00E965A9" w:rsidRDefault="00081248" w:rsidP="00B032A2">
            <w:pPr>
              <w:pStyle w:val="BodyText"/>
              <w:ind w:firstLine="0"/>
              <w:jc w:val="center"/>
              <w:rPr>
                <w:sz w:val="20"/>
              </w:rPr>
            </w:pPr>
            <w:r w:rsidRPr="00E965A9">
              <w:rPr>
                <w:sz w:val="20"/>
              </w:rPr>
              <w:t>112,81</w:t>
            </w:r>
          </w:p>
        </w:tc>
      </w:tr>
      <w:tr w:rsidR="00081248" w:rsidRPr="00E965A9">
        <w:tc>
          <w:tcPr>
            <w:tcW w:w="1269" w:type="dxa"/>
          </w:tcPr>
          <w:p w:rsidR="00081248" w:rsidRPr="00E965A9" w:rsidRDefault="00081248" w:rsidP="00B032A2">
            <w:pPr>
              <w:pStyle w:val="BodyText"/>
              <w:ind w:firstLine="0"/>
              <w:rPr>
                <w:sz w:val="20"/>
              </w:rPr>
            </w:pPr>
          </w:p>
        </w:tc>
        <w:tc>
          <w:tcPr>
            <w:tcW w:w="1283" w:type="dxa"/>
          </w:tcPr>
          <w:p w:rsidR="00081248" w:rsidRPr="00E965A9" w:rsidRDefault="00081248" w:rsidP="00B032A2">
            <w:pPr>
              <w:pStyle w:val="BodyText"/>
              <w:ind w:firstLine="0"/>
              <w:jc w:val="center"/>
              <w:rPr>
                <w:sz w:val="20"/>
              </w:rPr>
            </w:pPr>
            <w:r w:rsidRPr="00E965A9">
              <w:rPr>
                <w:sz w:val="20"/>
              </w:rPr>
              <w:t>19.11.1993</w:t>
            </w:r>
          </w:p>
        </w:tc>
        <w:tc>
          <w:tcPr>
            <w:tcW w:w="1559" w:type="dxa"/>
          </w:tcPr>
          <w:p w:rsidR="00081248" w:rsidRPr="00E965A9" w:rsidRDefault="00081248" w:rsidP="00B032A2">
            <w:pPr>
              <w:pStyle w:val="BodyText"/>
              <w:ind w:firstLine="0"/>
              <w:jc w:val="center"/>
              <w:rPr>
                <w:sz w:val="20"/>
              </w:rPr>
            </w:pPr>
            <w:r w:rsidRPr="00E965A9">
              <w:rPr>
                <w:sz w:val="20"/>
              </w:rPr>
              <w:t>180</w:t>
            </w:r>
          </w:p>
        </w:tc>
        <w:tc>
          <w:tcPr>
            <w:tcW w:w="2126" w:type="dxa"/>
          </w:tcPr>
          <w:p w:rsidR="00081248" w:rsidRPr="00E965A9" w:rsidRDefault="00081248" w:rsidP="00B032A2">
            <w:pPr>
              <w:pStyle w:val="BodyText"/>
              <w:ind w:firstLine="0"/>
              <w:jc w:val="center"/>
              <w:rPr>
                <w:sz w:val="20"/>
              </w:rPr>
            </w:pPr>
            <w:r w:rsidRPr="00E965A9">
              <w:rPr>
                <w:sz w:val="20"/>
              </w:rPr>
              <w:t>147,49</w:t>
            </w:r>
          </w:p>
        </w:tc>
      </w:tr>
      <w:tr w:rsidR="00081248" w:rsidRPr="00E965A9">
        <w:tc>
          <w:tcPr>
            <w:tcW w:w="1269" w:type="dxa"/>
          </w:tcPr>
          <w:p w:rsidR="00081248" w:rsidRPr="00E965A9" w:rsidRDefault="00081248" w:rsidP="00B032A2">
            <w:pPr>
              <w:pStyle w:val="BodyText"/>
              <w:ind w:firstLine="0"/>
              <w:rPr>
                <w:sz w:val="20"/>
              </w:rPr>
            </w:pPr>
          </w:p>
        </w:tc>
        <w:tc>
          <w:tcPr>
            <w:tcW w:w="1283" w:type="dxa"/>
          </w:tcPr>
          <w:p w:rsidR="00081248" w:rsidRPr="00E965A9" w:rsidRDefault="00081248" w:rsidP="00B032A2">
            <w:pPr>
              <w:pStyle w:val="BodyText"/>
              <w:ind w:firstLine="0"/>
              <w:jc w:val="center"/>
              <w:rPr>
                <w:sz w:val="20"/>
              </w:rPr>
            </w:pPr>
            <w:r w:rsidRPr="00E965A9">
              <w:rPr>
                <w:sz w:val="20"/>
              </w:rPr>
              <w:t>28.11.1995</w:t>
            </w:r>
          </w:p>
        </w:tc>
        <w:tc>
          <w:tcPr>
            <w:tcW w:w="1559" w:type="dxa"/>
          </w:tcPr>
          <w:p w:rsidR="00081248" w:rsidRPr="00E965A9" w:rsidRDefault="00081248" w:rsidP="00B032A2">
            <w:pPr>
              <w:pStyle w:val="BodyText"/>
              <w:ind w:firstLine="0"/>
              <w:jc w:val="center"/>
              <w:rPr>
                <w:sz w:val="20"/>
              </w:rPr>
            </w:pPr>
            <w:r w:rsidRPr="00E965A9">
              <w:rPr>
                <w:sz w:val="20"/>
              </w:rPr>
              <w:t>181</w:t>
            </w:r>
          </w:p>
        </w:tc>
        <w:tc>
          <w:tcPr>
            <w:tcW w:w="2126" w:type="dxa"/>
          </w:tcPr>
          <w:p w:rsidR="00081248" w:rsidRPr="00E965A9" w:rsidRDefault="00081248" w:rsidP="00B032A2">
            <w:pPr>
              <w:pStyle w:val="BodyText"/>
              <w:ind w:firstLine="0"/>
              <w:jc w:val="center"/>
              <w:rPr>
                <w:sz w:val="20"/>
              </w:rPr>
            </w:pPr>
            <w:r w:rsidRPr="00E965A9">
              <w:rPr>
                <w:sz w:val="20"/>
              </w:rPr>
              <w:t>173,41</w:t>
            </w:r>
          </w:p>
        </w:tc>
      </w:tr>
      <w:tr w:rsidR="00081248" w:rsidRPr="00E965A9">
        <w:tc>
          <w:tcPr>
            <w:tcW w:w="1269" w:type="dxa"/>
          </w:tcPr>
          <w:p w:rsidR="00081248" w:rsidRPr="00E965A9" w:rsidRDefault="00081248" w:rsidP="00B032A2">
            <w:pPr>
              <w:pStyle w:val="BodyText"/>
              <w:ind w:firstLine="0"/>
              <w:rPr>
                <w:sz w:val="20"/>
              </w:rPr>
            </w:pPr>
          </w:p>
        </w:tc>
        <w:tc>
          <w:tcPr>
            <w:tcW w:w="1283" w:type="dxa"/>
          </w:tcPr>
          <w:p w:rsidR="00081248" w:rsidRPr="00E965A9" w:rsidRDefault="00081248" w:rsidP="00B032A2">
            <w:pPr>
              <w:pStyle w:val="BodyText"/>
              <w:ind w:firstLine="0"/>
              <w:jc w:val="center"/>
              <w:rPr>
                <w:sz w:val="20"/>
              </w:rPr>
            </w:pPr>
            <w:r w:rsidRPr="00E965A9">
              <w:rPr>
                <w:sz w:val="20"/>
              </w:rPr>
              <w:t>28.11.1995</w:t>
            </w:r>
          </w:p>
        </w:tc>
        <w:tc>
          <w:tcPr>
            <w:tcW w:w="1559" w:type="dxa"/>
          </w:tcPr>
          <w:p w:rsidR="00081248" w:rsidRPr="00E965A9" w:rsidRDefault="00081248" w:rsidP="00B032A2">
            <w:pPr>
              <w:pStyle w:val="BodyText"/>
              <w:ind w:firstLine="0"/>
              <w:jc w:val="center"/>
              <w:rPr>
                <w:sz w:val="20"/>
              </w:rPr>
            </w:pPr>
            <w:r w:rsidRPr="00E965A9">
              <w:rPr>
                <w:sz w:val="20"/>
              </w:rPr>
              <w:t>182</w:t>
            </w:r>
          </w:p>
        </w:tc>
        <w:tc>
          <w:tcPr>
            <w:tcW w:w="2126" w:type="dxa"/>
          </w:tcPr>
          <w:p w:rsidR="00081248" w:rsidRPr="00E965A9" w:rsidRDefault="00081248" w:rsidP="00B032A2">
            <w:pPr>
              <w:pStyle w:val="BodyText"/>
              <w:ind w:firstLine="0"/>
              <w:jc w:val="center"/>
              <w:rPr>
                <w:sz w:val="20"/>
              </w:rPr>
            </w:pPr>
            <w:r w:rsidRPr="00E965A9">
              <w:rPr>
                <w:sz w:val="20"/>
              </w:rPr>
              <w:t>72,41</w:t>
            </w:r>
          </w:p>
        </w:tc>
      </w:tr>
      <w:tr w:rsidR="00081248" w:rsidRPr="00E965A9">
        <w:tc>
          <w:tcPr>
            <w:tcW w:w="1269" w:type="dxa"/>
          </w:tcPr>
          <w:p w:rsidR="00081248" w:rsidRPr="00E965A9" w:rsidRDefault="00081248" w:rsidP="00B032A2">
            <w:pPr>
              <w:pStyle w:val="BodyText"/>
              <w:ind w:firstLine="0"/>
              <w:rPr>
                <w:sz w:val="20"/>
              </w:rPr>
            </w:pPr>
          </w:p>
        </w:tc>
        <w:tc>
          <w:tcPr>
            <w:tcW w:w="1283" w:type="dxa"/>
          </w:tcPr>
          <w:p w:rsidR="00081248" w:rsidRPr="00E965A9" w:rsidRDefault="00081248" w:rsidP="00B032A2">
            <w:pPr>
              <w:pStyle w:val="BodyText"/>
              <w:ind w:firstLine="0"/>
              <w:jc w:val="center"/>
              <w:rPr>
                <w:sz w:val="20"/>
              </w:rPr>
            </w:pPr>
            <w:r w:rsidRPr="00E965A9">
              <w:rPr>
                <w:sz w:val="20"/>
              </w:rPr>
              <w:t>28.11.1995</w:t>
            </w:r>
          </w:p>
        </w:tc>
        <w:tc>
          <w:tcPr>
            <w:tcW w:w="1559" w:type="dxa"/>
          </w:tcPr>
          <w:p w:rsidR="00081248" w:rsidRPr="00E965A9" w:rsidRDefault="00081248" w:rsidP="00B032A2">
            <w:pPr>
              <w:pStyle w:val="BodyText"/>
              <w:ind w:firstLine="0"/>
              <w:jc w:val="center"/>
              <w:rPr>
                <w:sz w:val="20"/>
              </w:rPr>
            </w:pPr>
            <w:r w:rsidRPr="00E965A9">
              <w:rPr>
                <w:sz w:val="20"/>
              </w:rPr>
              <w:t>183</w:t>
            </w:r>
          </w:p>
        </w:tc>
        <w:tc>
          <w:tcPr>
            <w:tcW w:w="2126" w:type="dxa"/>
          </w:tcPr>
          <w:p w:rsidR="00081248" w:rsidRPr="00E965A9" w:rsidRDefault="00081248" w:rsidP="00B032A2">
            <w:pPr>
              <w:pStyle w:val="BodyText"/>
              <w:ind w:firstLine="0"/>
              <w:jc w:val="center"/>
              <w:rPr>
                <w:sz w:val="20"/>
              </w:rPr>
            </w:pPr>
            <w:r w:rsidRPr="00E965A9">
              <w:rPr>
                <w:sz w:val="20"/>
              </w:rPr>
              <w:t>106,33</w:t>
            </w:r>
          </w:p>
        </w:tc>
      </w:tr>
      <w:tr w:rsidR="00081248" w:rsidRPr="00E965A9">
        <w:tc>
          <w:tcPr>
            <w:tcW w:w="1269" w:type="dxa"/>
          </w:tcPr>
          <w:p w:rsidR="00081248" w:rsidRPr="00E965A9" w:rsidRDefault="00081248" w:rsidP="00B032A2">
            <w:pPr>
              <w:pStyle w:val="BodyText"/>
              <w:ind w:firstLine="0"/>
              <w:rPr>
                <w:sz w:val="20"/>
              </w:rPr>
            </w:pPr>
          </w:p>
        </w:tc>
        <w:tc>
          <w:tcPr>
            <w:tcW w:w="1283" w:type="dxa"/>
          </w:tcPr>
          <w:p w:rsidR="00081248" w:rsidRPr="00E965A9" w:rsidRDefault="00081248" w:rsidP="00B032A2">
            <w:pPr>
              <w:pStyle w:val="BodyText"/>
              <w:ind w:firstLine="0"/>
              <w:jc w:val="center"/>
              <w:rPr>
                <w:sz w:val="20"/>
              </w:rPr>
            </w:pPr>
            <w:r w:rsidRPr="00E965A9">
              <w:rPr>
                <w:sz w:val="20"/>
              </w:rPr>
              <w:t>12.12.1995</w:t>
            </w:r>
          </w:p>
        </w:tc>
        <w:tc>
          <w:tcPr>
            <w:tcW w:w="1559" w:type="dxa"/>
          </w:tcPr>
          <w:p w:rsidR="00081248" w:rsidRPr="00E965A9" w:rsidRDefault="00081248" w:rsidP="00B032A2">
            <w:pPr>
              <w:pStyle w:val="BodyText"/>
              <w:ind w:firstLine="0"/>
              <w:jc w:val="center"/>
              <w:rPr>
                <w:sz w:val="20"/>
              </w:rPr>
            </w:pPr>
            <w:r w:rsidRPr="00E965A9">
              <w:rPr>
                <w:sz w:val="20"/>
              </w:rPr>
              <w:t>184</w:t>
            </w:r>
          </w:p>
        </w:tc>
        <w:tc>
          <w:tcPr>
            <w:tcW w:w="2126" w:type="dxa"/>
          </w:tcPr>
          <w:p w:rsidR="00081248" w:rsidRPr="00E965A9" w:rsidRDefault="00081248" w:rsidP="00B032A2">
            <w:pPr>
              <w:pStyle w:val="BodyText"/>
              <w:ind w:firstLine="0"/>
              <w:jc w:val="center"/>
              <w:rPr>
                <w:sz w:val="20"/>
              </w:rPr>
            </w:pPr>
            <w:r w:rsidRPr="00E965A9">
              <w:rPr>
                <w:sz w:val="20"/>
              </w:rPr>
              <w:t>134,16</w:t>
            </w:r>
          </w:p>
        </w:tc>
      </w:tr>
      <w:tr w:rsidR="00081248" w:rsidRPr="00E965A9">
        <w:tc>
          <w:tcPr>
            <w:tcW w:w="1269" w:type="dxa"/>
          </w:tcPr>
          <w:p w:rsidR="00081248" w:rsidRPr="00E965A9" w:rsidRDefault="00081248" w:rsidP="00B032A2">
            <w:pPr>
              <w:pStyle w:val="BodyText"/>
              <w:ind w:firstLine="0"/>
              <w:rPr>
                <w:sz w:val="20"/>
              </w:rPr>
            </w:pPr>
          </w:p>
        </w:tc>
        <w:tc>
          <w:tcPr>
            <w:tcW w:w="1283" w:type="dxa"/>
          </w:tcPr>
          <w:p w:rsidR="00081248" w:rsidRPr="00E965A9" w:rsidRDefault="00081248" w:rsidP="00B032A2">
            <w:pPr>
              <w:pStyle w:val="BodyText"/>
              <w:ind w:firstLine="0"/>
              <w:jc w:val="center"/>
              <w:rPr>
                <w:sz w:val="20"/>
              </w:rPr>
            </w:pPr>
            <w:r w:rsidRPr="00E965A9">
              <w:rPr>
                <w:sz w:val="20"/>
              </w:rPr>
              <w:t>12.12.1995</w:t>
            </w:r>
          </w:p>
        </w:tc>
        <w:tc>
          <w:tcPr>
            <w:tcW w:w="1559" w:type="dxa"/>
          </w:tcPr>
          <w:p w:rsidR="00081248" w:rsidRPr="00E965A9" w:rsidRDefault="00081248" w:rsidP="00B032A2">
            <w:pPr>
              <w:pStyle w:val="BodyText"/>
              <w:ind w:firstLine="0"/>
              <w:jc w:val="center"/>
              <w:rPr>
                <w:sz w:val="20"/>
              </w:rPr>
            </w:pPr>
            <w:r w:rsidRPr="00E965A9">
              <w:rPr>
                <w:sz w:val="20"/>
              </w:rPr>
              <w:t>185</w:t>
            </w:r>
          </w:p>
        </w:tc>
        <w:tc>
          <w:tcPr>
            <w:tcW w:w="2126" w:type="dxa"/>
          </w:tcPr>
          <w:p w:rsidR="00081248" w:rsidRPr="00E965A9" w:rsidRDefault="00081248" w:rsidP="00B032A2">
            <w:pPr>
              <w:pStyle w:val="BodyText"/>
              <w:ind w:firstLine="0"/>
              <w:jc w:val="center"/>
              <w:rPr>
                <w:sz w:val="20"/>
              </w:rPr>
            </w:pPr>
            <w:r w:rsidRPr="00E965A9">
              <w:rPr>
                <w:sz w:val="20"/>
              </w:rPr>
              <w:t>146,73</w:t>
            </w:r>
          </w:p>
        </w:tc>
      </w:tr>
      <w:tr w:rsidR="00081248" w:rsidRPr="00E965A9">
        <w:tc>
          <w:tcPr>
            <w:tcW w:w="1269" w:type="dxa"/>
          </w:tcPr>
          <w:p w:rsidR="00081248" w:rsidRPr="00E965A9" w:rsidRDefault="00081248" w:rsidP="00B032A2">
            <w:pPr>
              <w:pStyle w:val="BodyText"/>
              <w:ind w:firstLine="0"/>
              <w:rPr>
                <w:sz w:val="20"/>
              </w:rPr>
            </w:pPr>
          </w:p>
        </w:tc>
        <w:tc>
          <w:tcPr>
            <w:tcW w:w="1283" w:type="dxa"/>
          </w:tcPr>
          <w:p w:rsidR="00081248" w:rsidRPr="00E965A9" w:rsidRDefault="00081248" w:rsidP="00B032A2">
            <w:pPr>
              <w:pStyle w:val="BodyText"/>
              <w:ind w:firstLine="0"/>
              <w:jc w:val="center"/>
              <w:rPr>
                <w:sz w:val="20"/>
              </w:rPr>
            </w:pPr>
            <w:r w:rsidRPr="00E965A9">
              <w:rPr>
                <w:sz w:val="20"/>
              </w:rPr>
              <w:t>12.12.1995</w:t>
            </w:r>
          </w:p>
        </w:tc>
        <w:tc>
          <w:tcPr>
            <w:tcW w:w="1559" w:type="dxa"/>
          </w:tcPr>
          <w:p w:rsidR="00081248" w:rsidRPr="00E965A9" w:rsidRDefault="00081248" w:rsidP="00B032A2">
            <w:pPr>
              <w:pStyle w:val="BodyText"/>
              <w:ind w:firstLine="0"/>
              <w:jc w:val="center"/>
              <w:rPr>
                <w:sz w:val="20"/>
              </w:rPr>
            </w:pPr>
            <w:r w:rsidRPr="00E965A9">
              <w:rPr>
                <w:sz w:val="20"/>
              </w:rPr>
              <w:t>186</w:t>
            </w:r>
          </w:p>
        </w:tc>
        <w:tc>
          <w:tcPr>
            <w:tcW w:w="2126" w:type="dxa"/>
          </w:tcPr>
          <w:p w:rsidR="00081248" w:rsidRPr="00E965A9" w:rsidRDefault="00081248" w:rsidP="00B032A2">
            <w:pPr>
              <w:pStyle w:val="BodyText"/>
              <w:ind w:firstLine="0"/>
              <w:jc w:val="center"/>
              <w:rPr>
                <w:sz w:val="20"/>
              </w:rPr>
            </w:pPr>
            <w:r w:rsidRPr="00E965A9">
              <w:rPr>
                <w:sz w:val="20"/>
              </w:rPr>
              <w:t>67,46</w:t>
            </w:r>
          </w:p>
        </w:tc>
      </w:tr>
      <w:tr w:rsidR="00081248" w:rsidRPr="00E965A9">
        <w:tc>
          <w:tcPr>
            <w:tcW w:w="1269" w:type="dxa"/>
          </w:tcPr>
          <w:p w:rsidR="00081248" w:rsidRPr="00E965A9" w:rsidRDefault="00081248" w:rsidP="00B032A2">
            <w:pPr>
              <w:pStyle w:val="BodyText"/>
              <w:ind w:firstLine="0"/>
              <w:jc w:val="left"/>
              <w:rPr>
                <w:sz w:val="20"/>
              </w:rPr>
            </w:pPr>
            <w:r w:rsidRPr="00E965A9">
              <w:rPr>
                <w:sz w:val="20"/>
              </w:rPr>
              <w:t>1996</w:t>
            </w:r>
          </w:p>
        </w:tc>
        <w:tc>
          <w:tcPr>
            <w:tcW w:w="1283" w:type="dxa"/>
          </w:tcPr>
          <w:p w:rsidR="00081248" w:rsidRPr="00E965A9" w:rsidRDefault="00081248" w:rsidP="00B032A2">
            <w:pPr>
              <w:pStyle w:val="BodyText"/>
              <w:ind w:firstLine="0"/>
              <w:jc w:val="center"/>
              <w:rPr>
                <w:sz w:val="20"/>
              </w:rPr>
            </w:pPr>
            <w:r w:rsidRPr="00E965A9">
              <w:rPr>
                <w:sz w:val="20"/>
              </w:rPr>
              <w:t>31.12.1996</w:t>
            </w:r>
          </w:p>
        </w:tc>
        <w:tc>
          <w:tcPr>
            <w:tcW w:w="1559" w:type="dxa"/>
          </w:tcPr>
          <w:p w:rsidR="00081248" w:rsidRPr="00E965A9" w:rsidRDefault="00081248" w:rsidP="00B032A2">
            <w:pPr>
              <w:pStyle w:val="BodyText"/>
              <w:ind w:firstLine="0"/>
              <w:jc w:val="center"/>
              <w:rPr>
                <w:sz w:val="20"/>
              </w:rPr>
            </w:pPr>
            <w:r w:rsidRPr="00E965A9">
              <w:rPr>
                <w:sz w:val="20"/>
              </w:rPr>
              <w:t>142</w:t>
            </w:r>
          </w:p>
        </w:tc>
        <w:tc>
          <w:tcPr>
            <w:tcW w:w="2126" w:type="dxa"/>
          </w:tcPr>
          <w:p w:rsidR="00081248" w:rsidRPr="00E965A9" w:rsidRDefault="00081248" w:rsidP="00B032A2">
            <w:pPr>
              <w:pStyle w:val="BodyText"/>
              <w:ind w:firstLine="0"/>
              <w:jc w:val="center"/>
              <w:rPr>
                <w:sz w:val="20"/>
              </w:rPr>
            </w:pPr>
            <w:r w:rsidRPr="00E965A9">
              <w:rPr>
                <w:sz w:val="20"/>
              </w:rPr>
              <w:t>15,24</w:t>
            </w:r>
          </w:p>
        </w:tc>
      </w:tr>
      <w:tr w:rsidR="00081248" w:rsidRPr="00E965A9">
        <w:tc>
          <w:tcPr>
            <w:tcW w:w="1269" w:type="dxa"/>
          </w:tcPr>
          <w:p w:rsidR="00081248" w:rsidRPr="00E965A9" w:rsidRDefault="00081248" w:rsidP="00B032A2">
            <w:pPr>
              <w:pStyle w:val="BodyText"/>
              <w:ind w:firstLine="0"/>
              <w:rPr>
                <w:b/>
                <w:sz w:val="20"/>
              </w:rPr>
            </w:pPr>
            <w:r w:rsidRPr="00E965A9">
              <w:rPr>
                <w:b/>
                <w:sz w:val="20"/>
              </w:rPr>
              <w:t>TOTAL</w:t>
            </w:r>
          </w:p>
        </w:tc>
        <w:tc>
          <w:tcPr>
            <w:tcW w:w="1283" w:type="dxa"/>
          </w:tcPr>
          <w:p w:rsidR="00081248" w:rsidRPr="00E965A9" w:rsidRDefault="00081248" w:rsidP="00B032A2">
            <w:pPr>
              <w:pStyle w:val="BodyText"/>
              <w:ind w:firstLine="0"/>
              <w:jc w:val="center"/>
              <w:rPr>
                <w:b/>
                <w:sz w:val="20"/>
              </w:rPr>
            </w:pPr>
          </w:p>
        </w:tc>
        <w:tc>
          <w:tcPr>
            <w:tcW w:w="1559" w:type="dxa"/>
          </w:tcPr>
          <w:p w:rsidR="00081248" w:rsidRPr="00E965A9" w:rsidRDefault="00081248" w:rsidP="00B032A2">
            <w:pPr>
              <w:pStyle w:val="BodyText"/>
              <w:ind w:firstLine="0"/>
              <w:jc w:val="center"/>
              <w:rPr>
                <w:b/>
                <w:sz w:val="20"/>
              </w:rPr>
            </w:pPr>
          </w:p>
        </w:tc>
        <w:tc>
          <w:tcPr>
            <w:tcW w:w="2126" w:type="dxa"/>
          </w:tcPr>
          <w:p w:rsidR="00081248" w:rsidRPr="00E965A9" w:rsidRDefault="00081248" w:rsidP="00B032A2">
            <w:pPr>
              <w:pStyle w:val="BodyText"/>
              <w:ind w:firstLine="0"/>
              <w:jc w:val="center"/>
              <w:rPr>
                <w:b/>
                <w:sz w:val="20"/>
              </w:rPr>
            </w:pPr>
            <w:r w:rsidRPr="00E965A9">
              <w:rPr>
                <w:b/>
                <w:sz w:val="20"/>
              </w:rPr>
              <w:t>1.223,78 €</w:t>
            </w:r>
          </w:p>
        </w:tc>
      </w:tr>
    </w:tbl>
    <w:p w:rsidR="00081248" w:rsidRPr="00E965A9" w:rsidRDefault="00081248" w:rsidP="00B032A2">
      <w:pPr>
        <w:pStyle w:val="PS"/>
        <w:spacing w:after="360"/>
      </w:pPr>
    </w:p>
    <w:p w:rsidR="00081248" w:rsidRPr="00E965A9" w:rsidRDefault="00081248" w:rsidP="00B032A2">
      <w:pPr>
        <w:pStyle w:val="PS"/>
      </w:pPr>
      <w:r w:rsidRPr="00E965A9">
        <w:t>Attendu que les créances concernées ont été émises sur l’exercice 1995 pour un montant de 1 208,54 € (titres 176 à 186) et sur l’exercice 1996 pour un montant de 15,24 € (titre 142) soit le total de 1 223,78 € ; que la société KPC Accueil, Petreluzzi a été déclarée en redressement judiciaire le 13 mars 1998, par une annonce publiée le 10 mai 1998 ;</w:t>
      </w:r>
    </w:p>
    <w:p w:rsidR="00081248" w:rsidRPr="00E965A9" w:rsidRDefault="00081248" w:rsidP="00B032A2">
      <w:pPr>
        <w:pStyle w:val="PS"/>
      </w:pPr>
      <w:r w:rsidRPr="00E965A9">
        <w:t>Attendu que selon les dispositions de l’article 50 de la loi du 25 janvier 1985 susvisée relative au redressement et à la liquidation judiciaire des entreprises et de l’article 21 du décret modifié n° 85-1388 du 27 décembre 1985, les créances nées avant le jugement d’ouverture doivent être déclarées au représentant des créanciers dans un délai de deux mois qui suit la publication dudit jugement ; que ce délai est augmenté de deux mois pour les créanciers domiciliés hors de la France métropolitaine ;</w:t>
      </w:r>
    </w:p>
    <w:p w:rsidR="00081248" w:rsidRPr="00E965A9" w:rsidRDefault="00081248" w:rsidP="00B032A2">
      <w:pPr>
        <w:pStyle w:val="PS"/>
      </w:pPr>
      <w:r w:rsidRPr="00E965A9">
        <w:t>Attendu que le comptable dans sa réponse reconnaît ne pas avoir produit les créances auprès des administrateurs, syndics ou liquidateurs dans le délai légal ; qu’il fait valoir que leur production n’aurait pas conduit au recouvrement des sommes dues, celles-ci étant chirographaires ;</w:t>
      </w:r>
    </w:p>
    <w:p w:rsidR="00081248" w:rsidRPr="00E965A9" w:rsidRDefault="00081248" w:rsidP="00B032A2">
      <w:pPr>
        <w:pStyle w:val="PS"/>
      </w:pPr>
      <w:r w:rsidRPr="00E965A9">
        <w:br w:type="page"/>
        <w:t>Considérant que selon les articles 60-I et 60-IV de la loi du 23 février 1963 susvisée, la responsabilité d’un comptable se trouve engagée dès lors qu’une recette n’a pas été recouvrée ; que le comptable ne doit pas préjuger de l’irrécouvrabilité d’une créance avant que toutes les diligences réglementaires n’aient été épuisées ; qu’il appartient au comptable de faire la preuve de diligences rapides, complètes et adéquates pour recouvrer les titres qu’il prend en charge ; que M. X n’a pas apporté cette preuve ; qu’en application du paragraphe VII de l’article 60 de la loi précitée du 23 février 1963, il y a lieu de le constituer débiteur du parc national de la Guadeloupe pour la somme de 1 223,78 € ;</w:t>
      </w:r>
    </w:p>
    <w:p w:rsidR="00081248" w:rsidRPr="00E965A9" w:rsidRDefault="00081248" w:rsidP="00B032A2">
      <w:pPr>
        <w:pStyle w:val="PS"/>
      </w:pPr>
      <w:r w:rsidRPr="00E965A9">
        <w:t xml:space="preserve">Considérant que, aux termes du paragraphe VIII de l’article 60 de la loi précitée du 23 février 1963, les débets portent intérêt </w:t>
      </w:r>
      <w:r w:rsidRPr="00E965A9">
        <w:rPr>
          <w:i/>
        </w:rPr>
        <w:t>« au taux légal à compter de la date du fait générateur ou, si cette date ne peut être fixée avec précision, à compter de celle de leur découverte » ;</w:t>
      </w:r>
      <w:r w:rsidRPr="00E965A9">
        <w:t xml:space="preserve"> qu’en l’espèce cette date est celle de l’expiration du délai de quatre mois suivant la publication du jugement d’ouverture de la procédure collective, soit le 10 septembre 1998 ; </w:t>
      </w:r>
    </w:p>
    <w:p w:rsidR="00081248" w:rsidRPr="00E965A9" w:rsidRDefault="00081248" w:rsidP="00B032A2">
      <w:pPr>
        <w:pStyle w:val="PS"/>
      </w:pPr>
      <w:r w:rsidRPr="00E965A9">
        <w:t>L’injonction n° 1 prononcée par l’arrêt du 19 mai 2005 est levée.</w:t>
      </w:r>
    </w:p>
    <w:p w:rsidR="00081248" w:rsidRPr="00E965A9" w:rsidRDefault="00081248" w:rsidP="00B032A2">
      <w:pPr>
        <w:pStyle w:val="PS"/>
      </w:pPr>
      <w:r w:rsidRPr="00E965A9">
        <w:t xml:space="preserve">M. X est constitué débiteur du parc national de la Guadeloupe pour la somme de 1 223,78 €, augmentée des intérêts de droit calculés à compter du 10 septembre 1998. </w:t>
      </w:r>
    </w:p>
    <w:p w:rsidR="00081248" w:rsidRPr="00E965A9" w:rsidRDefault="00081248" w:rsidP="00B032A2">
      <w:pPr>
        <w:pStyle w:val="PS"/>
        <w:rPr>
          <w:u w:val="single"/>
        </w:rPr>
      </w:pPr>
      <w:r w:rsidRPr="00E965A9">
        <w:rPr>
          <w:u w:val="single"/>
        </w:rPr>
        <w:t>Injonction n° 2 – Différences sur régies non justifiées (exercice 1998)</w:t>
      </w:r>
    </w:p>
    <w:p w:rsidR="00081248" w:rsidRPr="00E965A9" w:rsidRDefault="00081248" w:rsidP="00B032A2">
      <w:pPr>
        <w:pStyle w:val="PS"/>
      </w:pPr>
      <w:r w:rsidRPr="00E965A9">
        <w:t>Attendu que, par l’arrêt susvisé du 19 mai 2005, la Cour avait formulé une injonction de reversement à défaut d’autres justifications à décharge, d’un montant de 216,82 € correspondant à des différences sur régies non justifiées portant sur les années 1996 et 1997 au motif que ces restes à recouvrer figurent depuis 1997 sur l’état de développement de soldes du compte 4111 et que l’examen des pièces fait apparaître que le comptable n’a pas procédé aux diligences utiles en vue du recouvrement des sommes manquantes dans la caisse ;</w:t>
      </w:r>
    </w:p>
    <w:p w:rsidR="00081248" w:rsidRPr="00E965A9" w:rsidRDefault="00081248" w:rsidP="00B032A2">
      <w:pPr>
        <w:pStyle w:val="PS"/>
      </w:pPr>
      <w:r w:rsidRPr="00E965A9">
        <w:t xml:space="preserve">Attendu que la réponse du comptable n’apporte aucun élément susceptible de dégager sa responsabilité ; qu’il ne justifie d’aucune diligence rapide, complète et adéquate en vue du recouvrement de ces sommes ; </w:t>
      </w:r>
    </w:p>
    <w:p w:rsidR="00081248" w:rsidRPr="00E965A9" w:rsidRDefault="00081248" w:rsidP="00B032A2">
      <w:pPr>
        <w:pStyle w:val="PS"/>
      </w:pPr>
      <w:r w:rsidRPr="00E965A9">
        <w:t xml:space="preserve">Attendu que selon l’article 12 du décret du 29 décembre 1962 susvisé le comptable est chargé de la mise en recouvrement des créances et qu’en application de l’article 60-IV de la loi du 23 février 1963 susvisée, sa responsabilité se trouve engagée dès lors qu’une recette n’a pas été recouvrée ; qu’ainsi en application du paragraphe VII de l’article 60 de la loi précitée du 23 février 1963, il y a donc lieu de constituer M. X débiteur du parc national de la Guadeloupe pour la somme de 216,82 € ; </w:t>
      </w:r>
    </w:p>
    <w:p w:rsidR="00081248" w:rsidRPr="00E965A9" w:rsidRDefault="00081248" w:rsidP="00B032A2">
      <w:pPr>
        <w:pStyle w:val="PS"/>
      </w:pPr>
      <w:r w:rsidRPr="00E965A9">
        <w:t xml:space="preserve">Attendu que, aux termes du paragraphe VIII de l’article 60 de la loi précitée du 23 février 1963, les débets portent intérêt </w:t>
      </w:r>
      <w:r w:rsidRPr="00E965A9">
        <w:rPr>
          <w:i/>
        </w:rPr>
        <w:t>« au taux légal à compter de la date du fait générateur ou, si cette date ne peut être fixée avec précision, à compter de celle de leur découverte » ;</w:t>
      </w:r>
      <w:r w:rsidRPr="00E965A9">
        <w:t xml:space="preserve"> qu’en l’espèce cette date est celle des réserves portées par le comptable successeur, soit le 30 juin 2000 ;</w:t>
      </w:r>
    </w:p>
    <w:p w:rsidR="00081248" w:rsidRPr="00E965A9" w:rsidRDefault="00081248" w:rsidP="00B032A2">
      <w:pPr>
        <w:pStyle w:val="PS"/>
      </w:pPr>
      <w:r w:rsidRPr="00E965A9">
        <w:t>L’injonction n° 2 prononcée par l’arrêt du 19 mai 2005 susvisé est levée.</w:t>
      </w:r>
    </w:p>
    <w:p w:rsidR="00081248" w:rsidRPr="00E965A9" w:rsidRDefault="00081248" w:rsidP="00B032A2">
      <w:pPr>
        <w:pStyle w:val="PS"/>
      </w:pPr>
      <w:r w:rsidRPr="00E965A9">
        <w:t xml:space="preserve">M. X est constitué débiteur du parc national de la Guadeloupe pour la somme de 216,82 €, augmentée des intérêts de droit calculés à compter du 30 juin 2000. </w:t>
      </w:r>
    </w:p>
    <w:p w:rsidR="00081248" w:rsidRPr="00E965A9" w:rsidRDefault="00081248" w:rsidP="00B032A2">
      <w:pPr>
        <w:pStyle w:val="PS"/>
        <w:spacing w:after="240"/>
        <w:rPr>
          <w:u w:val="single"/>
        </w:rPr>
      </w:pPr>
      <w:r w:rsidRPr="00E965A9">
        <w:rPr>
          <w:u w:val="single"/>
        </w:rPr>
        <w:t>Injonction n° 3 – Absence de visa du contrôleur financier – exercice 1998 et 1999</w:t>
      </w:r>
    </w:p>
    <w:p w:rsidR="00081248" w:rsidRPr="00E965A9" w:rsidRDefault="00081248" w:rsidP="00B032A2">
      <w:pPr>
        <w:pStyle w:val="PS"/>
      </w:pPr>
      <w:r w:rsidRPr="00E965A9">
        <w:t>Attendu que, par l’arrêt du 19 mai 2005 susvisé, la Cour, au motif que les salaires de six agents de l’ONF avaient été payés sur la base d’un protocole d’accord signé le 27 juin 1997 entre le parc national de la Guadeloupe et l’office national des forêts, non visé par le contrôleur financier, a formulé une injonction de reversement à défaut d’autres justifications à décharge, d’un montant de 257 700,76 €, correspondant aux mandats figurant dans le tableau suivant ;</w:t>
      </w:r>
    </w:p>
    <w:tbl>
      <w:tblPr>
        <w:tblW w:w="0" w:type="auto"/>
        <w:tblInd w:w="1023" w:type="dxa"/>
        <w:tblLayout w:type="fixed"/>
        <w:tblCellMar>
          <w:left w:w="30" w:type="dxa"/>
          <w:right w:w="30" w:type="dxa"/>
        </w:tblCellMar>
        <w:tblLook w:val="0000"/>
      </w:tblPr>
      <w:tblGrid>
        <w:gridCol w:w="708"/>
        <w:gridCol w:w="718"/>
        <w:gridCol w:w="1041"/>
        <w:gridCol w:w="1246"/>
        <w:gridCol w:w="1087"/>
        <w:gridCol w:w="1025"/>
        <w:gridCol w:w="994"/>
        <w:gridCol w:w="1041"/>
        <w:gridCol w:w="1263"/>
      </w:tblGrid>
      <w:tr w:rsidR="00081248" w:rsidRPr="00E965A9">
        <w:trPr>
          <w:trHeight w:val="247"/>
        </w:trPr>
        <w:tc>
          <w:tcPr>
            <w:tcW w:w="708" w:type="dxa"/>
            <w:tcBorders>
              <w:top w:val="single" w:sz="6" w:space="0" w:color="auto"/>
              <w:left w:val="single" w:sz="6" w:space="0" w:color="auto"/>
              <w:bottom w:val="nil"/>
              <w:right w:val="nil"/>
            </w:tcBorders>
          </w:tcPr>
          <w:p w:rsidR="00081248" w:rsidRPr="00E965A9" w:rsidRDefault="00081248" w:rsidP="00B032A2">
            <w:pPr>
              <w:autoSpaceDE w:val="0"/>
              <w:autoSpaceDN w:val="0"/>
              <w:adjustRightInd w:val="0"/>
              <w:jc w:val="center"/>
              <w:rPr>
                <w:rFonts w:ascii="Arial" w:hAnsi="Arial" w:cs="Arial"/>
                <w:sz w:val="16"/>
                <w:szCs w:val="16"/>
              </w:rPr>
            </w:pPr>
            <w:r w:rsidRPr="00E965A9">
              <w:br w:type="page"/>
            </w:r>
          </w:p>
        </w:tc>
        <w:tc>
          <w:tcPr>
            <w:tcW w:w="718" w:type="dxa"/>
            <w:tcBorders>
              <w:top w:val="single" w:sz="6" w:space="0" w:color="auto"/>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Mandat</w:t>
            </w:r>
          </w:p>
        </w:tc>
        <w:tc>
          <w:tcPr>
            <w:tcW w:w="1041" w:type="dxa"/>
            <w:tcBorders>
              <w:top w:val="single" w:sz="6" w:space="0" w:color="auto"/>
              <w:left w:val="nil"/>
              <w:bottom w:val="nil"/>
              <w:right w:val="nil"/>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Du</w:t>
            </w:r>
          </w:p>
        </w:tc>
        <w:tc>
          <w:tcPr>
            <w:tcW w:w="1246" w:type="dxa"/>
            <w:tcBorders>
              <w:top w:val="single" w:sz="6" w:space="0" w:color="auto"/>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Pr>
                <w:rFonts w:ascii="Arial" w:hAnsi="Arial" w:cs="Arial"/>
                <w:sz w:val="16"/>
                <w:szCs w:val="16"/>
              </w:rPr>
              <w:t>A</w:t>
            </w:r>
          </w:p>
        </w:tc>
        <w:tc>
          <w:tcPr>
            <w:tcW w:w="1087" w:type="dxa"/>
            <w:tcBorders>
              <w:top w:val="single" w:sz="6" w:space="0" w:color="auto"/>
              <w:left w:val="nil"/>
              <w:bottom w:val="nil"/>
              <w:right w:val="nil"/>
            </w:tcBorders>
          </w:tcPr>
          <w:p w:rsidR="00081248" w:rsidRPr="00E965A9" w:rsidRDefault="00081248" w:rsidP="00B032A2">
            <w:pPr>
              <w:autoSpaceDE w:val="0"/>
              <w:autoSpaceDN w:val="0"/>
              <w:adjustRightInd w:val="0"/>
              <w:jc w:val="center"/>
              <w:rPr>
                <w:rFonts w:ascii="Arial" w:hAnsi="Arial" w:cs="Arial"/>
                <w:sz w:val="16"/>
                <w:szCs w:val="16"/>
              </w:rPr>
            </w:pPr>
            <w:r>
              <w:rPr>
                <w:rFonts w:ascii="Arial" w:hAnsi="Arial" w:cs="Arial"/>
                <w:sz w:val="16"/>
                <w:szCs w:val="16"/>
              </w:rPr>
              <w:t>B</w:t>
            </w:r>
          </w:p>
        </w:tc>
        <w:tc>
          <w:tcPr>
            <w:tcW w:w="1025" w:type="dxa"/>
            <w:tcBorders>
              <w:top w:val="single" w:sz="6" w:space="0" w:color="auto"/>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Pr>
                <w:rFonts w:ascii="Arial" w:hAnsi="Arial" w:cs="Arial"/>
                <w:sz w:val="16"/>
                <w:szCs w:val="16"/>
              </w:rPr>
              <w:t>C</w:t>
            </w:r>
          </w:p>
        </w:tc>
        <w:tc>
          <w:tcPr>
            <w:tcW w:w="994" w:type="dxa"/>
            <w:tcBorders>
              <w:top w:val="single" w:sz="6" w:space="0" w:color="auto"/>
              <w:left w:val="nil"/>
              <w:bottom w:val="nil"/>
              <w:right w:val="nil"/>
            </w:tcBorders>
          </w:tcPr>
          <w:p w:rsidR="00081248" w:rsidRPr="00E965A9" w:rsidRDefault="00081248" w:rsidP="00B032A2">
            <w:pPr>
              <w:autoSpaceDE w:val="0"/>
              <w:autoSpaceDN w:val="0"/>
              <w:adjustRightInd w:val="0"/>
              <w:jc w:val="center"/>
              <w:rPr>
                <w:rFonts w:ascii="Arial" w:hAnsi="Arial" w:cs="Arial"/>
                <w:sz w:val="16"/>
                <w:szCs w:val="16"/>
              </w:rPr>
            </w:pPr>
            <w:r>
              <w:rPr>
                <w:rFonts w:ascii="Arial" w:hAnsi="Arial" w:cs="Arial"/>
                <w:sz w:val="16"/>
                <w:szCs w:val="16"/>
              </w:rPr>
              <w:t>D</w:t>
            </w:r>
          </w:p>
        </w:tc>
        <w:tc>
          <w:tcPr>
            <w:tcW w:w="1041" w:type="dxa"/>
            <w:tcBorders>
              <w:top w:val="single" w:sz="6" w:space="0" w:color="auto"/>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Pr>
                <w:rFonts w:ascii="Arial" w:hAnsi="Arial" w:cs="Arial"/>
                <w:sz w:val="16"/>
                <w:szCs w:val="16"/>
              </w:rPr>
              <w:t>E</w:t>
            </w:r>
          </w:p>
        </w:tc>
        <w:tc>
          <w:tcPr>
            <w:tcW w:w="1263" w:type="dxa"/>
            <w:tcBorders>
              <w:top w:val="single" w:sz="6" w:space="0" w:color="auto"/>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Pr>
                <w:rFonts w:ascii="Arial" w:hAnsi="Arial" w:cs="Arial"/>
                <w:sz w:val="16"/>
                <w:szCs w:val="16"/>
              </w:rPr>
              <w:t>F</w:t>
            </w:r>
          </w:p>
        </w:tc>
      </w:tr>
      <w:tr w:rsidR="00081248" w:rsidRPr="00E965A9">
        <w:trPr>
          <w:trHeight w:val="262"/>
        </w:trPr>
        <w:tc>
          <w:tcPr>
            <w:tcW w:w="708" w:type="dxa"/>
            <w:tcBorders>
              <w:top w:val="nil"/>
              <w:left w:val="single" w:sz="6" w:space="0" w:color="auto"/>
              <w:bottom w:val="double" w:sz="6" w:space="0" w:color="auto"/>
              <w:right w:val="nil"/>
            </w:tcBorders>
          </w:tcPr>
          <w:p w:rsidR="00081248" w:rsidRPr="00E965A9" w:rsidRDefault="00081248" w:rsidP="00B032A2">
            <w:pPr>
              <w:autoSpaceDE w:val="0"/>
              <w:autoSpaceDN w:val="0"/>
              <w:adjustRightInd w:val="0"/>
              <w:jc w:val="center"/>
              <w:rPr>
                <w:rFonts w:ascii="Arial" w:hAnsi="Arial" w:cs="Arial"/>
                <w:sz w:val="16"/>
                <w:szCs w:val="16"/>
              </w:rPr>
            </w:pPr>
          </w:p>
        </w:tc>
        <w:tc>
          <w:tcPr>
            <w:tcW w:w="718" w:type="dxa"/>
            <w:tcBorders>
              <w:top w:val="nil"/>
              <w:left w:val="single" w:sz="6" w:space="0" w:color="auto"/>
              <w:bottom w:val="doub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Partie 6411</w:t>
            </w:r>
          </w:p>
        </w:tc>
        <w:tc>
          <w:tcPr>
            <w:tcW w:w="1041" w:type="dxa"/>
            <w:tcBorders>
              <w:top w:val="nil"/>
              <w:left w:val="nil"/>
              <w:bottom w:val="double" w:sz="6" w:space="0" w:color="auto"/>
              <w:right w:val="nil"/>
            </w:tcBorders>
          </w:tcPr>
          <w:p w:rsidR="00081248" w:rsidRPr="00E965A9" w:rsidRDefault="00081248" w:rsidP="00B032A2">
            <w:pPr>
              <w:autoSpaceDE w:val="0"/>
              <w:autoSpaceDN w:val="0"/>
              <w:adjustRightInd w:val="0"/>
              <w:jc w:val="center"/>
              <w:rPr>
                <w:rFonts w:ascii="Arial" w:hAnsi="Arial" w:cs="Arial"/>
                <w:sz w:val="16"/>
                <w:szCs w:val="16"/>
              </w:rPr>
            </w:pPr>
          </w:p>
        </w:tc>
        <w:tc>
          <w:tcPr>
            <w:tcW w:w="1246" w:type="dxa"/>
            <w:tcBorders>
              <w:top w:val="nil"/>
              <w:left w:val="single" w:sz="6" w:space="0" w:color="auto"/>
              <w:bottom w:val="doub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Alex</w:t>
            </w:r>
          </w:p>
        </w:tc>
        <w:tc>
          <w:tcPr>
            <w:tcW w:w="1087" w:type="dxa"/>
            <w:tcBorders>
              <w:top w:val="nil"/>
              <w:left w:val="nil"/>
              <w:bottom w:val="double" w:sz="6" w:space="0" w:color="auto"/>
              <w:right w:val="nil"/>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Xavier</w:t>
            </w:r>
          </w:p>
        </w:tc>
        <w:tc>
          <w:tcPr>
            <w:tcW w:w="1025" w:type="dxa"/>
            <w:tcBorders>
              <w:top w:val="nil"/>
              <w:left w:val="single" w:sz="6" w:space="0" w:color="auto"/>
              <w:bottom w:val="doub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Maryline</w:t>
            </w:r>
          </w:p>
        </w:tc>
        <w:tc>
          <w:tcPr>
            <w:tcW w:w="994" w:type="dxa"/>
            <w:tcBorders>
              <w:top w:val="nil"/>
              <w:left w:val="nil"/>
              <w:bottom w:val="double" w:sz="6" w:space="0" w:color="auto"/>
              <w:right w:val="nil"/>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Jacques</w:t>
            </w:r>
          </w:p>
        </w:tc>
        <w:tc>
          <w:tcPr>
            <w:tcW w:w="1041" w:type="dxa"/>
            <w:tcBorders>
              <w:top w:val="nil"/>
              <w:left w:val="single" w:sz="6" w:space="0" w:color="auto"/>
              <w:bottom w:val="doub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Jacqueline</w:t>
            </w:r>
          </w:p>
        </w:tc>
        <w:tc>
          <w:tcPr>
            <w:tcW w:w="1263" w:type="dxa"/>
            <w:tcBorders>
              <w:top w:val="nil"/>
              <w:left w:val="nil"/>
              <w:bottom w:val="doub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Jean-Luc</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janv-98</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762</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11/08/1998</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1 689,59</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2 302,54</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1 271,50</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1 609,67</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1 307,56</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1 712,80</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févr-98</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796</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30/07/1998</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1 689,59</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2 302,54</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1 271,50</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1 609,67</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1 307,56</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1 667,05</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mars-98</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844</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31/07/1998</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1 689,59</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2 302,54</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1 271,50</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1 609,67</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1 307,56</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1 667,05</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avr-98</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888</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17/08/1998</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1 703,63</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2 320,94</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1 306,60</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1 622,33</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1 332,91</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1 680,71</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mai-98</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1501</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30/10/1998</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1 595,86</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2 059,12</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1 306,60</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1 514,56</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1 224,19</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1 572,94</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juin-98</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972</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25/08/1998</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1 703,63</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2 320,94</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1 197,88</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1 622,33</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1 332,91</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1 680,71</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juil-98</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1537</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30/10/1998</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1 708,65</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2 320,94</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1 325,30</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1 627,23</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1 342,94</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1 685,72</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aout-98</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1574</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30/10/1998</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1 641,32</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2 158,89</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1 273,76</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1 559,89</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1 287,54</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1 618,38</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sept-98</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1613</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30/10/1998</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1 708,65</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2 320,94</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1 341,68</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1 627,23</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1 368,00</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1 685,72</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oct-98</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2213</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31/12/1998</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1 708,65</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2 320,94</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1 341,68</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1 627,23</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1 368,00</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1 685,72</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nov-98</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2288</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31/12/1998</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1 617,80</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2 097,88</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1 247,81</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1 535,53</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1 274,24</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1 594,65</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déc-98</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2316</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31/12/1998</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1 764,38</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2 394,23</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1 379,59</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1 682,11</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1 391,76</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1 731,04</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janv-99</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627</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29/05/1999</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1 717,95</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2 332,79</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1 348,64</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1 635,12</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1 373,96</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1 694,80</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févr-99</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800</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21/06/1999</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1 717,95</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2 332,79</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1 348,64</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1 635,12</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1 373,96</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1 694,80</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mars-99</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870</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29/06/1999</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1 676,72</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2 234,42</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1 307,07</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1 593,90</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1 332,38</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1 144,05</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avr-99</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1053</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20/07/1999</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1 731,88</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2 349,50</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1 360,35</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1 648,06</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1 385,80</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1 177,25</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mai-99</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1229</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23/07/1999</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1 663,21</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2 185,60</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1 291,17</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1 579,38</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1 316,62</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1 533,60</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juin-99</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1311</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27/07/1999</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1 731,88</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2 349,50</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1 360,35</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1 648,06</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1 385,80</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1 708,53</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juil-99</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1650</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14/09/1999</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1 736,95</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23 844,81</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1 370,47</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1 141,76</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1 395,93</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1 713,58</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aout-99</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1846</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28/09/1999</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1 668,32</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2 185,56</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1 301,17</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1 073,13</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1 326,62</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1 644,94</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sept-99</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2090</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18/10/1999</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1 736,95</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2 349,50</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1 370,47</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1 601,89</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1 395,93</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1 713,58</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oct-99</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2438</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22/11/1999</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1 736,95</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2 349,50</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1 370,47</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1 653,02</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1 395,93</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1 713,58</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nov-99</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2726</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31/12/1999</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1 638,58</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2 114,14</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1 271,12</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1 554,65</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1 296,57</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1 615,21</w:t>
            </w:r>
          </w:p>
        </w:tc>
      </w:tr>
      <w:tr w:rsidR="00081248" w:rsidRPr="00E965A9">
        <w:trPr>
          <w:trHeight w:val="247"/>
        </w:trPr>
        <w:tc>
          <w:tcPr>
            <w:tcW w:w="708"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déc-99</w:t>
            </w:r>
          </w:p>
        </w:tc>
        <w:tc>
          <w:tcPr>
            <w:tcW w:w="718"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2968</w:t>
            </w:r>
          </w:p>
        </w:tc>
        <w:tc>
          <w:tcPr>
            <w:tcW w:w="1041"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31/12/1999</w:t>
            </w:r>
          </w:p>
        </w:tc>
        <w:tc>
          <w:tcPr>
            <w:tcW w:w="1246"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1 799,93</w:t>
            </w:r>
          </w:p>
        </w:tc>
        <w:tc>
          <w:tcPr>
            <w:tcW w:w="1087"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2 433,99</w:t>
            </w:r>
          </w:p>
        </w:tc>
        <w:tc>
          <w:tcPr>
            <w:tcW w:w="1025"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1 416,45</w:t>
            </w:r>
          </w:p>
        </w:tc>
        <w:tc>
          <w:tcPr>
            <w:tcW w:w="994"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1 666,03</w:t>
            </w:r>
          </w:p>
        </w:tc>
        <w:tc>
          <w:tcPr>
            <w:tcW w:w="104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1 442,29</w:t>
            </w:r>
          </w:p>
        </w:tc>
        <w:tc>
          <w:tcPr>
            <w:tcW w:w="1263"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1 704,90</w:t>
            </w:r>
          </w:p>
        </w:tc>
      </w:tr>
      <w:tr w:rsidR="00081248" w:rsidRPr="00E965A9">
        <w:trPr>
          <w:trHeight w:val="247"/>
        </w:trPr>
        <w:tc>
          <w:tcPr>
            <w:tcW w:w="708" w:type="dxa"/>
            <w:tcBorders>
              <w:top w:val="nil"/>
              <w:left w:val="single" w:sz="6" w:space="0" w:color="auto"/>
              <w:bottom w:val="single" w:sz="4" w:space="0" w:color="auto"/>
              <w:right w:val="nil"/>
            </w:tcBorders>
          </w:tcPr>
          <w:p w:rsidR="00081248" w:rsidRPr="00E965A9" w:rsidRDefault="00081248" w:rsidP="00B032A2">
            <w:pPr>
              <w:autoSpaceDE w:val="0"/>
              <w:autoSpaceDN w:val="0"/>
              <w:adjustRightInd w:val="0"/>
              <w:rPr>
                <w:rFonts w:ascii="Arial" w:hAnsi="Arial" w:cs="Arial"/>
                <w:b/>
                <w:bCs/>
                <w:sz w:val="16"/>
                <w:szCs w:val="16"/>
              </w:rPr>
            </w:pPr>
            <w:r w:rsidRPr="00E965A9">
              <w:rPr>
                <w:rFonts w:ascii="Arial" w:hAnsi="Arial" w:cs="Arial"/>
                <w:b/>
                <w:bCs/>
                <w:sz w:val="16"/>
                <w:szCs w:val="16"/>
              </w:rPr>
              <w:t>TOTAL, en €</w:t>
            </w:r>
          </w:p>
        </w:tc>
        <w:tc>
          <w:tcPr>
            <w:tcW w:w="718" w:type="dxa"/>
            <w:tcBorders>
              <w:top w:val="nil"/>
              <w:left w:val="single" w:sz="6" w:space="0" w:color="auto"/>
              <w:bottom w:val="single" w:sz="4" w:space="0" w:color="auto"/>
              <w:right w:val="single" w:sz="6" w:space="0" w:color="auto"/>
            </w:tcBorders>
          </w:tcPr>
          <w:p w:rsidR="00081248" w:rsidRPr="00E965A9" w:rsidRDefault="00081248" w:rsidP="00B032A2">
            <w:pPr>
              <w:autoSpaceDE w:val="0"/>
              <w:autoSpaceDN w:val="0"/>
              <w:adjustRightInd w:val="0"/>
              <w:jc w:val="right"/>
              <w:rPr>
                <w:rFonts w:ascii="Arial" w:hAnsi="Arial" w:cs="Arial"/>
                <w:b/>
                <w:bCs/>
                <w:sz w:val="16"/>
                <w:szCs w:val="16"/>
              </w:rPr>
            </w:pPr>
          </w:p>
        </w:tc>
        <w:tc>
          <w:tcPr>
            <w:tcW w:w="1041" w:type="dxa"/>
            <w:tcBorders>
              <w:top w:val="nil"/>
              <w:left w:val="nil"/>
              <w:bottom w:val="single" w:sz="4" w:space="0" w:color="auto"/>
              <w:right w:val="nil"/>
            </w:tcBorders>
          </w:tcPr>
          <w:p w:rsidR="00081248" w:rsidRPr="00E965A9" w:rsidRDefault="00081248" w:rsidP="00B032A2">
            <w:pPr>
              <w:autoSpaceDE w:val="0"/>
              <w:autoSpaceDN w:val="0"/>
              <w:adjustRightInd w:val="0"/>
              <w:jc w:val="right"/>
              <w:rPr>
                <w:rFonts w:ascii="Arial" w:hAnsi="Arial" w:cs="Arial"/>
                <w:b/>
                <w:bCs/>
                <w:sz w:val="16"/>
                <w:szCs w:val="16"/>
              </w:rPr>
            </w:pPr>
          </w:p>
        </w:tc>
        <w:tc>
          <w:tcPr>
            <w:tcW w:w="1246" w:type="dxa"/>
            <w:tcBorders>
              <w:top w:val="nil"/>
              <w:left w:val="single" w:sz="6" w:space="0" w:color="auto"/>
              <w:bottom w:val="single" w:sz="4" w:space="0" w:color="auto"/>
              <w:right w:val="single" w:sz="6" w:space="0" w:color="auto"/>
            </w:tcBorders>
            <w:vAlign w:val="bottom"/>
          </w:tcPr>
          <w:p w:rsidR="00081248" w:rsidRPr="00E965A9" w:rsidRDefault="00081248" w:rsidP="00B032A2">
            <w:pPr>
              <w:jc w:val="center"/>
              <w:rPr>
                <w:rFonts w:ascii="Arial" w:hAnsi="Arial" w:cs="Arial"/>
                <w:b/>
                <w:bCs/>
                <w:sz w:val="16"/>
                <w:szCs w:val="16"/>
              </w:rPr>
            </w:pPr>
            <w:r w:rsidRPr="00E965A9">
              <w:rPr>
                <w:rFonts w:ascii="Arial" w:hAnsi="Arial" w:cs="Arial"/>
                <w:b/>
                <w:bCs/>
                <w:sz w:val="16"/>
                <w:szCs w:val="16"/>
              </w:rPr>
              <w:t>40 778,61</w:t>
            </w:r>
          </w:p>
        </w:tc>
        <w:tc>
          <w:tcPr>
            <w:tcW w:w="1087" w:type="dxa"/>
            <w:tcBorders>
              <w:top w:val="nil"/>
              <w:left w:val="single" w:sz="6" w:space="0" w:color="auto"/>
              <w:bottom w:val="single" w:sz="4" w:space="0" w:color="auto"/>
              <w:right w:val="single" w:sz="6" w:space="0" w:color="auto"/>
            </w:tcBorders>
            <w:vAlign w:val="bottom"/>
          </w:tcPr>
          <w:p w:rsidR="00081248" w:rsidRPr="00E965A9" w:rsidRDefault="00081248" w:rsidP="00B032A2">
            <w:pPr>
              <w:jc w:val="center"/>
              <w:rPr>
                <w:rFonts w:ascii="Arial" w:hAnsi="Arial" w:cs="Arial"/>
                <w:b/>
                <w:bCs/>
                <w:sz w:val="16"/>
                <w:szCs w:val="16"/>
              </w:rPr>
            </w:pPr>
            <w:r w:rsidRPr="00E965A9">
              <w:rPr>
                <w:rFonts w:ascii="Arial" w:hAnsi="Arial" w:cs="Arial"/>
                <w:b/>
                <w:bCs/>
                <w:sz w:val="16"/>
                <w:szCs w:val="16"/>
              </w:rPr>
              <w:t>76 284,54</w:t>
            </w:r>
          </w:p>
        </w:tc>
        <w:tc>
          <w:tcPr>
            <w:tcW w:w="1025" w:type="dxa"/>
            <w:tcBorders>
              <w:top w:val="nil"/>
              <w:left w:val="single" w:sz="6" w:space="0" w:color="auto"/>
              <w:bottom w:val="single" w:sz="4" w:space="0" w:color="auto"/>
              <w:right w:val="single" w:sz="6" w:space="0" w:color="auto"/>
            </w:tcBorders>
            <w:vAlign w:val="bottom"/>
          </w:tcPr>
          <w:p w:rsidR="00081248" w:rsidRPr="00E965A9" w:rsidRDefault="00081248" w:rsidP="00B032A2">
            <w:pPr>
              <w:jc w:val="center"/>
              <w:rPr>
                <w:rFonts w:ascii="Arial" w:hAnsi="Arial" w:cs="Arial"/>
                <w:b/>
                <w:bCs/>
                <w:sz w:val="16"/>
                <w:szCs w:val="16"/>
              </w:rPr>
            </w:pPr>
            <w:r w:rsidRPr="00E965A9">
              <w:rPr>
                <w:rFonts w:ascii="Arial" w:hAnsi="Arial" w:cs="Arial"/>
                <w:b/>
                <w:bCs/>
                <w:sz w:val="16"/>
                <w:szCs w:val="16"/>
              </w:rPr>
              <w:t>31 651,77</w:t>
            </w:r>
          </w:p>
        </w:tc>
        <w:tc>
          <w:tcPr>
            <w:tcW w:w="994" w:type="dxa"/>
            <w:tcBorders>
              <w:top w:val="nil"/>
              <w:left w:val="single" w:sz="6" w:space="0" w:color="auto"/>
              <w:bottom w:val="single" w:sz="4" w:space="0" w:color="auto"/>
              <w:right w:val="single" w:sz="6" w:space="0" w:color="auto"/>
            </w:tcBorders>
            <w:vAlign w:val="bottom"/>
          </w:tcPr>
          <w:p w:rsidR="00081248" w:rsidRPr="00E965A9" w:rsidRDefault="00081248" w:rsidP="00B032A2">
            <w:pPr>
              <w:jc w:val="center"/>
              <w:rPr>
                <w:rFonts w:ascii="Arial" w:hAnsi="Arial" w:cs="Arial"/>
                <w:b/>
                <w:bCs/>
                <w:sz w:val="16"/>
                <w:szCs w:val="16"/>
              </w:rPr>
            </w:pPr>
            <w:r w:rsidRPr="00E965A9">
              <w:rPr>
                <w:rFonts w:ascii="Arial" w:hAnsi="Arial" w:cs="Arial"/>
                <w:b/>
                <w:bCs/>
                <w:sz w:val="16"/>
                <w:szCs w:val="16"/>
              </w:rPr>
              <w:t>37 677,57</w:t>
            </w:r>
          </w:p>
        </w:tc>
        <w:tc>
          <w:tcPr>
            <w:tcW w:w="1041" w:type="dxa"/>
            <w:tcBorders>
              <w:top w:val="nil"/>
              <w:left w:val="single" w:sz="6" w:space="0" w:color="auto"/>
              <w:bottom w:val="single" w:sz="4" w:space="0" w:color="auto"/>
              <w:right w:val="single" w:sz="6" w:space="0" w:color="auto"/>
            </w:tcBorders>
            <w:vAlign w:val="bottom"/>
          </w:tcPr>
          <w:p w:rsidR="00081248" w:rsidRPr="00E965A9" w:rsidRDefault="00081248" w:rsidP="00B032A2">
            <w:pPr>
              <w:jc w:val="center"/>
              <w:rPr>
                <w:rFonts w:ascii="Arial" w:hAnsi="Arial" w:cs="Arial"/>
                <w:b/>
                <w:bCs/>
                <w:sz w:val="16"/>
                <w:szCs w:val="16"/>
              </w:rPr>
            </w:pPr>
            <w:r w:rsidRPr="00E965A9">
              <w:rPr>
                <w:rFonts w:ascii="Arial" w:hAnsi="Arial" w:cs="Arial"/>
                <w:b/>
                <w:bCs/>
                <w:sz w:val="16"/>
                <w:szCs w:val="16"/>
              </w:rPr>
              <w:t>32 266,96</w:t>
            </w:r>
          </w:p>
        </w:tc>
        <w:tc>
          <w:tcPr>
            <w:tcW w:w="1263" w:type="dxa"/>
            <w:tcBorders>
              <w:top w:val="nil"/>
              <w:left w:val="single" w:sz="6" w:space="0" w:color="auto"/>
              <w:bottom w:val="single" w:sz="4" w:space="0" w:color="auto"/>
              <w:right w:val="single" w:sz="6" w:space="0" w:color="auto"/>
            </w:tcBorders>
            <w:vAlign w:val="bottom"/>
          </w:tcPr>
          <w:p w:rsidR="00081248" w:rsidRPr="00E965A9" w:rsidRDefault="00081248" w:rsidP="00B032A2">
            <w:pPr>
              <w:jc w:val="center"/>
              <w:rPr>
                <w:rFonts w:ascii="Arial" w:hAnsi="Arial" w:cs="Arial"/>
                <w:b/>
                <w:bCs/>
                <w:sz w:val="16"/>
                <w:szCs w:val="16"/>
              </w:rPr>
            </w:pPr>
            <w:r w:rsidRPr="00E965A9">
              <w:rPr>
                <w:rFonts w:ascii="Arial" w:hAnsi="Arial" w:cs="Arial"/>
                <w:b/>
                <w:bCs/>
                <w:sz w:val="16"/>
                <w:szCs w:val="16"/>
              </w:rPr>
              <w:t>39 041,31</w:t>
            </w:r>
          </w:p>
        </w:tc>
      </w:tr>
      <w:tr w:rsidR="00081248" w:rsidRPr="00E965A9">
        <w:trPr>
          <w:trHeight w:val="247"/>
        </w:trPr>
        <w:tc>
          <w:tcPr>
            <w:tcW w:w="7860" w:type="dxa"/>
            <w:gridSpan w:val="8"/>
            <w:tcBorders>
              <w:top w:val="single" w:sz="4" w:space="0" w:color="auto"/>
              <w:left w:val="single" w:sz="4" w:space="0" w:color="auto"/>
              <w:bottom w:val="single" w:sz="4" w:space="0" w:color="auto"/>
              <w:right w:val="single" w:sz="6" w:space="0" w:color="auto"/>
            </w:tcBorders>
          </w:tcPr>
          <w:p w:rsidR="00081248" w:rsidRPr="00E965A9" w:rsidRDefault="00081248" w:rsidP="00B032A2">
            <w:pPr>
              <w:rPr>
                <w:rFonts w:ascii="Arial" w:hAnsi="Arial" w:cs="Arial"/>
                <w:b/>
                <w:bCs/>
                <w:sz w:val="16"/>
                <w:szCs w:val="16"/>
              </w:rPr>
            </w:pPr>
            <w:r w:rsidRPr="00E965A9">
              <w:rPr>
                <w:rFonts w:ascii="Arial" w:hAnsi="Arial" w:cs="Arial"/>
                <w:b/>
                <w:bCs/>
                <w:sz w:val="16"/>
                <w:szCs w:val="16"/>
              </w:rPr>
              <w:t>TOTAL GENERAL</w:t>
            </w:r>
          </w:p>
        </w:tc>
        <w:tc>
          <w:tcPr>
            <w:tcW w:w="1263" w:type="dxa"/>
            <w:tcBorders>
              <w:top w:val="single" w:sz="4" w:space="0" w:color="auto"/>
              <w:left w:val="single" w:sz="6" w:space="0" w:color="auto"/>
              <w:bottom w:val="single" w:sz="4" w:space="0" w:color="auto"/>
              <w:right w:val="single" w:sz="4" w:space="0" w:color="auto"/>
            </w:tcBorders>
            <w:vAlign w:val="bottom"/>
          </w:tcPr>
          <w:p w:rsidR="00081248" w:rsidRPr="00E965A9" w:rsidRDefault="00081248" w:rsidP="00B032A2">
            <w:pPr>
              <w:jc w:val="center"/>
              <w:rPr>
                <w:rFonts w:ascii="Arial" w:hAnsi="Arial" w:cs="Arial"/>
                <w:b/>
                <w:bCs/>
                <w:sz w:val="16"/>
                <w:szCs w:val="16"/>
              </w:rPr>
            </w:pPr>
            <w:r w:rsidRPr="00E965A9">
              <w:rPr>
                <w:rFonts w:ascii="Arial" w:hAnsi="Arial" w:cs="Arial"/>
                <w:b/>
                <w:bCs/>
                <w:sz w:val="16"/>
                <w:szCs w:val="16"/>
              </w:rPr>
              <w:t>257 700,76</w:t>
            </w:r>
          </w:p>
        </w:tc>
      </w:tr>
    </w:tbl>
    <w:p w:rsidR="00081248" w:rsidRPr="00E965A9" w:rsidRDefault="00081248" w:rsidP="00B032A2">
      <w:pPr>
        <w:pStyle w:val="PS"/>
      </w:pPr>
      <w:r w:rsidRPr="00E965A9">
        <w:t>Attendu que le comptable, dans sa réponse à la Cour, fait valoir que le protocole susvisé n’est que la mise en œuvre d’une convention signée le 30 décembre 1989 entre le parc et l’ONF, elle-même visée par le contrôleur financier le 29 décembre 1989 ;</w:t>
      </w:r>
    </w:p>
    <w:p w:rsidR="00081248" w:rsidRPr="00E965A9" w:rsidRDefault="00081248" w:rsidP="00B032A2">
      <w:pPr>
        <w:pStyle w:val="PS"/>
      </w:pPr>
      <w:r w:rsidRPr="00E965A9">
        <w:t>Attendu que le décret n° 62-1587 du 29 décembre 1962 stipule en son article 12 qu’en matière de dépenses le contrôle du comptable porte notamment sur la validité de la créance ; que ledit décret dispose dans son article 13 que, dans la mesure où les règles propres à chaque organisme public le prévoient, les comptables publics vérifient l’existence du visa des contrôleurs financiers sur les engagements et les ordonnancements émis par les ordonnateurs principaux ; que l’article 6 de l’arrêté du 5 octobre 1973 du ministère de la protection de la nature et de l’environnement portant modalités du contrôle financier sur les parcs nationaux impose le visa préalable du contrôleur financier sur toutes les conventions d’un montant supérieur à une somme fixée par celui-ci, à savoir 30 000 F (4 573,47 €) ;</w:t>
      </w:r>
    </w:p>
    <w:p w:rsidR="00081248" w:rsidRPr="00E965A9" w:rsidRDefault="00081248" w:rsidP="00B032A2">
      <w:pPr>
        <w:pStyle w:val="PS"/>
      </w:pPr>
      <w:r w:rsidRPr="00E965A9">
        <w:t xml:space="preserve">Attendu que si la convention du 30 décembre 1989 prévoyait la mise à disposition d’agents de l’ONF au bénéfice du parc, ses modalités étaient différentes de celles du protocole du 27 juin 1997, puisqu’elles prévoyaient le remboursement des salaires des agents par le parc à l’ONF, alors que le nouveau protocole institue un versement direct de leur rémunération par le parc ; qu’en ce qui concerne cette mise à disposition, le protocole d’accord du 27 juin 1997 se substitue à la convention du 30 décembre 1989 et aurait dû, à ce titre, être visé par le contrôleur financier ; </w:t>
      </w:r>
    </w:p>
    <w:p w:rsidR="00081248" w:rsidRPr="00E965A9" w:rsidRDefault="00081248" w:rsidP="00B032A2">
      <w:pPr>
        <w:pStyle w:val="PS"/>
      </w:pPr>
      <w:r w:rsidRPr="00E965A9">
        <w:t xml:space="preserve">Considérant qu’aux termes de l’article 60-I de la loi du 23 février 1963 susvisée, les comptables publics sont personnellement et pécuniairement responsables du paiement des dépenses et qu’aux termes de l’article 60-IV de cette même loi, cette responsabilité se trouve engagée dès lors qu’une dépense a été irrégulièrement payée ; qu’en application du paragraphe VII de l’article 60 de la loi précitée du 23 février 1963, il y a lieu de constituer M. X débiteur du parc national de la Guadeloupe pour la somme de 118 054,29 € au titre de l’exercice 1998 et pour la somme de 139 646,47 € au titre de l’exercice 1999 ; </w:t>
      </w:r>
    </w:p>
    <w:p w:rsidR="00081248" w:rsidRPr="00E965A9" w:rsidRDefault="00081248" w:rsidP="00B032A2">
      <w:pPr>
        <w:pStyle w:val="PS"/>
      </w:pPr>
      <w:r w:rsidRPr="00E965A9">
        <w:t xml:space="preserve">Considérant que, aux termes du paragraphe VIII de l’article 60 de la loi précitée du 23 février 1963, les débets portent intérêt </w:t>
      </w:r>
      <w:r w:rsidRPr="00E965A9">
        <w:rPr>
          <w:i/>
        </w:rPr>
        <w:t>« au taux légal à compter de la date du fait générateur ou, si cette date ne peut être fixée avec précision, à compter de celle de leur découverte » ;</w:t>
      </w:r>
      <w:r w:rsidRPr="00E965A9">
        <w:t xml:space="preserve"> qu’en l’espèce, cette date est celle du paiement du dernier mandat de la dépense irrégulière, soit le 31 décembre pour les exercices 1998 et 1999 ; </w:t>
      </w:r>
    </w:p>
    <w:p w:rsidR="00081248" w:rsidRPr="00E965A9" w:rsidRDefault="00081248" w:rsidP="00B032A2">
      <w:pPr>
        <w:pStyle w:val="PS"/>
      </w:pPr>
      <w:r w:rsidRPr="00E965A9">
        <w:t>L’injonction n° 3 prononcée par l’arrêt du 19 mai susvisé est levée.</w:t>
      </w:r>
    </w:p>
    <w:p w:rsidR="00081248" w:rsidRPr="00E965A9" w:rsidRDefault="00081248" w:rsidP="00B032A2">
      <w:pPr>
        <w:pStyle w:val="PS"/>
      </w:pPr>
      <w:r w:rsidRPr="00E965A9">
        <w:br w:type="page"/>
        <w:t>M. X est constitué débiteur du parc national de la Guadeloupe pour la somme de :</w:t>
      </w:r>
    </w:p>
    <w:p w:rsidR="00081248" w:rsidRPr="00E965A9" w:rsidRDefault="00081248" w:rsidP="00B032A2">
      <w:pPr>
        <w:pStyle w:val="PS"/>
      </w:pPr>
      <w:r w:rsidRPr="00E965A9">
        <w:t>- 118 054,29 € au titre de l’exercice 1998, augmentée des intérêts de droit calculés à compter du 31 décembre 1998 ;</w:t>
      </w:r>
    </w:p>
    <w:p w:rsidR="00081248" w:rsidRPr="00E965A9" w:rsidRDefault="00081248" w:rsidP="00B032A2">
      <w:pPr>
        <w:pStyle w:val="PS"/>
      </w:pPr>
      <w:r w:rsidRPr="00E965A9">
        <w:t xml:space="preserve">- 139 646,47 € au titre de l’exercice 1999, augmentée des intérêts de droit calculés à compter du 31 décembre 1999. </w:t>
      </w:r>
    </w:p>
    <w:p w:rsidR="00081248" w:rsidRPr="00E965A9" w:rsidRDefault="00081248" w:rsidP="00B032A2">
      <w:pPr>
        <w:pStyle w:val="PS"/>
        <w:rPr>
          <w:u w:val="single"/>
        </w:rPr>
      </w:pPr>
      <w:r w:rsidRPr="00E965A9">
        <w:rPr>
          <w:u w:val="single"/>
        </w:rPr>
        <w:t xml:space="preserve">Injonction n° 4 – Défaut de paiement de pénalités de retard – exercice 1999 </w:t>
      </w:r>
    </w:p>
    <w:p w:rsidR="00081248" w:rsidRPr="00E965A9" w:rsidRDefault="00081248" w:rsidP="00B032A2">
      <w:pPr>
        <w:pStyle w:val="PS"/>
      </w:pPr>
      <w:r w:rsidRPr="00E965A9">
        <w:t>Attendu que au motif que le comptable a payé le 27 septembre 1999 à la société ECS attributaire d’un marché de réhabilitation de la « maison de la forêt » signé le 16 avril 1998, le solde de ce marché sans décompter des pénalités de retard dans l’exécution des travaux, la Cour a formulé par l’arrêt susvisé du 19 mai 2005 une injonction de décompte de pénalités de retard et de reversement de ces dernières, ou à défaut toute justification à décharge ;</w:t>
      </w:r>
    </w:p>
    <w:p w:rsidR="00081248" w:rsidRPr="00E965A9" w:rsidRDefault="00081248" w:rsidP="00B032A2">
      <w:pPr>
        <w:pStyle w:val="PS"/>
      </w:pPr>
      <w:r w:rsidRPr="00E965A9">
        <w:t xml:space="preserve">Attendu que dans sa réponse le comptable reconnaît que ladite société a exécuté les travaux avec retard ; qu’il aurait dû liquider des pénalités ; qu’il invoque les conditions difficiles de respect des marchés pour ce qui concerne les délais en Guadeloupe ; </w:t>
      </w:r>
    </w:p>
    <w:p w:rsidR="00081248" w:rsidRPr="00E965A9" w:rsidRDefault="00081248" w:rsidP="00B032A2">
      <w:pPr>
        <w:pStyle w:val="PS"/>
      </w:pPr>
      <w:r w:rsidRPr="00E965A9">
        <w:t xml:space="preserve">Attendu que les arguments de fait évoqués par le comptable ne sont pas opposables à la Cour et ne justifient en rien la régularité du paiement ; </w:t>
      </w:r>
    </w:p>
    <w:p w:rsidR="00081248" w:rsidRPr="00E965A9" w:rsidRDefault="00081248" w:rsidP="00B032A2">
      <w:pPr>
        <w:pStyle w:val="PS"/>
      </w:pPr>
      <w:r w:rsidRPr="00E965A9">
        <w:t xml:space="preserve">Attendu que, dans son courrier complémentaire du 4 octobre 2006 susvisé, le comptable fait valoir que le calcul des pénalités de retard aurait dû tenir compte d’un avenant au marché prolongeant le marché de deux mois ; que cet avenant a bien été pris en compte dans ledit calcul ; </w:t>
      </w:r>
    </w:p>
    <w:p w:rsidR="00081248" w:rsidRPr="00E965A9" w:rsidRDefault="00081248" w:rsidP="00B032A2">
      <w:pPr>
        <w:pStyle w:val="PS"/>
      </w:pPr>
      <w:r w:rsidRPr="00E965A9">
        <w:t>Attendu qu’un ordre de service a été notifié à l’entreprise le 30 avril 1998, prescrivant de commencer les travaux le 18 mai 1998 ; que les délais d’exécution de ces travaux ont été fixés à trois mois, soit le 18 août 1998 ; qu’un avenant du 26 août 1998 a prolongé le délai d’exécution des travaux de deux mois, soit le 18 octobre 1998 ; que le procès-verbal de réception des travaux fixe la date d’achèvement de ceux-ci au 24 février 1999 ; que la réalisation de ce marché est ainsi intervenue avec un retard de 128 jours ;</w:t>
      </w:r>
    </w:p>
    <w:p w:rsidR="00081248" w:rsidRPr="00E965A9" w:rsidRDefault="00081248" w:rsidP="00B032A2">
      <w:pPr>
        <w:pStyle w:val="PS"/>
      </w:pPr>
      <w:r w:rsidRPr="00E965A9">
        <w:t>Attendu que les pénalités de retard correspondent à 1/100e du montant des travaux pour chaque lot par jour calendaire, conformément à l’article 4 du cahier des clauses administratives particulières, soit un montant de 108 197,12 € ;</w:t>
      </w:r>
    </w:p>
    <w:p w:rsidR="00081248" w:rsidRPr="00E965A9" w:rsidRDefault="00081248" w:rsidP="00B032A2">
      <w:pPr>
        <w:pStyle w:val="PS"/>
      </w:pPr>
      <w:r w:rsidRPr="00E965A9">
        <w:t xml:space="preserve">Considérant qu’en l’absence de décompte de pénalités, de nouvel avenant de prolongation, de décision de poursuivre, ou de décision de l’autorité compétente pour prononcer l’exonération, le comptable n’a pas procédé au contrôle de la validité de la créance qu’il est tenu d’exercer conformément aux termes des articles 12 et 13 du décret portant règlement général de la comptabilité publique, contrôle qui porte notamment sur l’exactitude des calculs de liquidation ; </w:t>
      </w:r>
    </w:p>
    <w:p w:rsidR="00081248" w:rsidRPr="00E965A9" w:rsidRDefault="00081248" w:rsidP="00B032A2">
      <w:pPr>
        <w:pStyle w:val="PS"/>
      </w:pPr>
      <w:r w:rsidRPr="00E965A9">
        <w:t xml:space="preserve">Considérant qu’aux termes de l’article 60-I de la loi du 23 février 1963 susvisée, les comptables publics sont personnellement et pécuniairement responsables du paiement des dépenses et qu’aux termes de l’article 60-IV de cette même loi, cette responsabilité se trouve engagée dès lors qu’une dépense a été irrégulièrement payée ; qu’en application du paragraphe VII de l’article 60 de la loi précitée du 23 février 1963 ; il y a lieu de constituer M. X débiteur du parc national de la Guadeloupe pour la somme de 108 197,12 € ; </w:t>
      </w:r>
    </w:p>
    <w:p w:rsidR="00081248" w:rsidRPr="00E965A9" w:rsidRDefault="00081248" w:rsidP="00B032A2">
      <w:pPr>
        <w:pStyle w:val="PS"/>
      </w:pPr>
      <w:r w:rsidRPr="00E965A9">
        <w:t xml:space="preserve">Considérant que, comme le relève le comptable dans son courrier du 4 octobre 2006 susvisé, s’il appartient au comptable de veiller au recouvrement des pénalités de retard, sa responsabilité ne peut être engagée au-delà du montant du paiement pour solde du marché (mandat n° 1714), à savoir 10 300,50 € ; qu’il y a lieu de constituer M. X débiteur du parc national de la Guadeloupe pour la somme de 10 300,50 € ; </w:t>
      </w:r>
    </w:p>
    <w:p w:rsidR="00081248" w:rsidRPr="00E965A9" w:rsidRDefault="00081248" w:rsidP="00B032A2">
      <w:pPr>
        <w:pStyle w:val="PS"/>
      </w:pPr>
      <w:r w:rsidRPr="00E965A9">
        <w:t xml:space="preserve">Considérant qu’aux termes du paragraphe VIII de l’article 60 de la loi précitée du 23 février 1963, les débets portent intérêt </w:t>
      </w:r>
      <w:r w:rsidRPr="00E965A9">
        <w:rPr>
          <w:i/>
        </w:rPr>
        <w:t>« au taux légal à compter de la date du fait générateur ou, si cette date ne peut être fixée avec précision, à compter de celle de leur découverte » ;</w:t>
      </w:r>
      <w:r w:rsidRPr="00E965A9">
        <w:t xml:space="preserve"> qu’en l’espèce cette date est celle du paiement du solde du marché à la société ECS, soit le 27 septembre 1999 ;</w:t>
      </w:r>
    </w:p>
    <w:p w:rsidR="00081248" w:rsidRPr="00E965A9" w:rsidRDefault="00081248" w:rsidP="00B032A2">
      <w:pPr>
        <w:pStyle w:val="PS"/>
      </w:pPr>
      <w:r w:rsidRPr="00E965A9">
        <w:t>L’injonction n° 4 prononcée par l’arrêt du 19 mai 2005 est levée.</w:t>
      </w:r>
    </w:p>
    <w:p w:rsidR="00081248" w:rsidRPr="00E965A9" w:rsidRDefault="00081248" w:rsidP="00B032A2">
      <w:pPr>
        <w:pStyle w:val="PS"/>
      </w:pPr>
      <w:r w:rsidRPr="00E965A9">
        <w:t xml:space="preserve">M. X est constitué débiteur du parc national de la Guadeloupe pour la somme de 10 300,50 €, augmentée des intérêts de droit calculés à compter du 27 septembre 1999. </w:t>
      </w:r>
    </w:p>
    <w:p w:rsidR="00081248" w:rsidRPr="00E965A9" w:rsidRDefault="00081248" w:rsidP="00B032A2">
      <w:pPr>
        <w:pStyle w:val="PS"/>
        <w:rPr>
          <w:b/>
        </w:rPr>
      </w:pPr>
      <w:r w:rsidRPr="00E965A9">
        <w:rPr>
          <w:b/>
        </w:rPr>
        <w:t>II – GESTION DE Mme Y</w:t>
      </w:r>
    </w:p>
    <w:p w:rsidR="00081248" w:rsidRPr="00E965A9" w:rsidRDefault="00081248" w:rsidP="00B032A2">
      <w:pPr>
        <w:pStyle w:val="PS"/>
        <w:spacing w:after="240"/>
        <w:rPr>
          <w:u w:val="single"/>
        </w:rPr>
      </w:pPr>
      <w:r w:rsidRPr="00E965A9">
        <w:rPr>
          <w:u w:val="single"/>
        </w:rPr>
        <w:t>Injonction n° 5 – absence de visa du contrôleur financier – exercices 2000 et 2001</w:t>
      </w:r>
    </w:p>
    <w:p w:rsidR="00081248" w:rsidRPr="00E965A9" w:rsidRDefault="00081248" w:rsidP="00B032A2">
      <w:pPr>
        <w:pStyle w:val="PS"/>
      </w:pPr>
      <w:r w:rsidRPr="00E965A9">
        <w:t>Attendu que, par l’arrêt du 19 mai 2005 susvisé, la Cour, au motif que les salaires de six agents de l’ONF avaient été payés sur la base d’un protocole d’accord signé le 27 juin 1997 entre le parc national de la Guadeloupe et l’office national des forêts, non visé par le contrôleur financier, a formulé une injonction de reversement à défaut d’autres justifications à décharge, d’un montant de 252 650,16 €, correspondant aux mandats figurant dans le tableau suivant ;</w:t>
      </w:r>
    </w:p>
    <w:tbl>
      <w:tblPr>
        <w:tblW w:w="0" w:type="auto"/>
        <w:tblInd w:w="881" w:type="dxa"/>
        <w:tblLayout w:type="fixed"/>
        <w:tblCellMar>
          <w:left w:w="30" w:type="dxa"/>
          <w:right w:w="30" w:type="dxa"/>
        </w:tblCellMar>
        <w:tblLook w:val="0000"/>
      </w:tblPr>
      <w:tblGrid>
        <w:gridCol w:w="850"/>
        <w:gridCol w:w="851"/>
        <w:gridCol w:w="908"/>
        <w:gridCol w:w="1502"/>
        <w:gridCol w:w="992"/>
        <w:gridCol w:w="992"/>
        <w:gridCol w:w="992"/>
        <w:gridCol w:w="1134"/>
        <w:gridCol w:w="1044"/>
      </w:tblGrid>
      <w:tr w:rsidR="00081248" w:rsidRPr="00E965A9">
        <w:trPr>
          <w:trHeight w:val="247"/>
        </w:trPr>
        <w:tc>
          <w:tcPr>
            <w:tcW w:w="850" w:type="dxa"/>
            <w:tcBorders>
              <w:top w:val="single" w:sz="6" w:space="0" w:color="auto"/>
              <w:left w:val="single" w:sz="6" w:space="0" w:color="auto"/>
              <w:bottom w:val="nil"/>
              <w:right w:val="nil"/>
            </w:tcBorders>
          </w:tcPr>
          <w:p w:rsidR="00081248" w:rsidRPr="00E965A9" w:rsidRDefault="00081248" w:rsidP="00B032A2">
            <w:pPr>
              <w:autoSpaceDE w:val="0"/>
              <w:autoSpaceDN w:val="0"/>
              <w:adjustRightInd w:val="0"/>
              <w:jc w:val="center"/>
              <w:rPr>
                <w:rFonts w:ascii="Arial" w:hAnsi="Arial" w:cs="Arial"/>
                <w:sz w:val="16"/>
                <w:szCs w:val="16"/>
              </w:rPr>
            </w:pPr>
          </w:p>
        </w:tc>
        <w:tc>
          <w:tcPr>
            <w:tcW w:w="851" w:type="dxa"/>
            <w:tcBorders>
              <w:top w:val="single" w:sz="6" w:space="0" w:color="auto"/>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Mandat</w:t>
            </w:r>
          </w:p>
        </w:tc>
        <w:tc>
          <w:tcPr>
            <w:tcW w:w="908" w:type="dxa"/>
            <w:tcBorders>
              <w:top w:val="single" w:sz="6" w:space="0" w:color="auto"/>
              <w:left w:val="nil"/>
              <w:bottom w:val="nil"/>
              <w:right w:val="nil"/>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Du</w:t>
            </w:r>
          </w:p>
        </w:tc>
        <w:tc>
          <w:tcPr>
            <w:tcW w:w="1502" w:type="dxa"/>
            <w:tcBorders>
              <w:top w:val="single" w:sz="6" w:space="0" w:color="auto"/>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Pr>
                <w:rFonts w:ascii="Arial" w:hAnsi="Arial" w:cs="Arial"/>
                <w:sz w:val="16"/>
                <w:szCs w:val="16"/>
              </w:rPr>
              <w:t>A</w:t>
            </w:r>
          </w:p>
        </w:tc>
        <w:tc>
          <w:tcPr>
            <w:tcW w:w="992" w:type="dxa"/>
            <w:tcBorders>
              <w:top w:val="single" w:sz="6" w:space="0" w:color="auto"/>
              <w:left w:val="nil"/>
              <w:bottom w:val="nil"/>
              <w:right w:val="nil"/>
            </w:tcBorders>
          </w:tcPr>
          <w:p w:rsidR="00081248" w:rsidRPr="00E965A9" w:rsidRDefault="00081248" w:rsidP="00B032A2">
            <w:pPr>
              <w:autoSpaceDE w:val="0"/>
              <w:autoSpaceDN w:val="0"/>
              <w:adjustRightInd w:val="0"/>
              <w:jc w:val="center"/>
              <w:rPr>
                <w:rFonts w:ascii="Arial" w:hAnsi="Arial" w:cs="Arial"/>
                <w:sz w:val="16"/>
                <w:szCs w:val="16"/>
              </w:rPr>
            </w:pPr>
            <w:r>
              <w:rPr>
                <w:rFonts w:ascii="Arial" w:hAnsi="Arial" w:cs="Arial"/>
                <w:sz w:val="16"/>
                <w:szCs w:val="16"/>
              </w:rPr>
              <w:t>B</w:t>
            </w:r>
          </w:p>
        </w:tc>
        <w:tc>
          <w:tcPr>
            <w:tcW w:w="992" w:type="dxa"/>
            <w:tcBorders>
              <w:top w:val="single" w:sz="6" w:space="0" w:color="auto"/>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Pr>
                <w:rFonts w:ascii="Arial" w:hAnsi="Arial" w:cs="Arial"/>
                <w:sz w:val="16"/>
                <w:szCs w:val="16"/>
              </w:rPr>
              <w:t>C</w:t>
            </w:r>
          </w:p>
        </w:tc>
        <w:tc>
          <w:tcPr>
            <w:tcW w:w="992" w:type="dxa"/>
            <w:tcBorders>
              <w:top w:val="single" w:sz="6" w:space="0" w:color="auto"/>
              <w:left w:val="nil"/>
              <w:bottom w:val="nil"/>
              <w:right w:val="nil"/>
            </w:tcBorders>
          </w:tcPr>
          <w:p w:rsidR="00081248" w:rsidRPr="00E965A9" w:rsidRDefault="00081248" w:rsidP="00B032A2">
            <w:pPr>
              <w:autoSpaceDE w:val="0"/>
              <w:autoSpaceDN w:val="0"/>
              <w:adjustRightInd w:val="0"/>
              <w:jc w:val="center"/>
              <w:rPr>
                <w:rFonts w:ascii="Arial" w:hAnsi="Arial" w:cs="Arial"/>
                <w:sz w:val="16"/>
                <w:szCs w:val="16"/>
              </w:rPr>
            </w:pPr>
            <w:r>
              <w:rPr>
                <w:rFonts w:ascii="Arial" w:hAnsi="Arial" w:cs="Arial"/>
                <w:sz w:val="16"/>
                <w:szCs w:val="16"/>
              </w:rPr>
              <w:t>D</w:t>
            </w:r>
          </w:p>
        </w:tc>
        <w:tc>
          <w:tcPr>
            <w:tcW w:w="1134" w:type="dxa"/>
            <w:tcBorders>
              <w:top w:val="single" w:sz="6" w:space="0" w:color="auto"/>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Pr>
                <w:rFonts w:ascii="Arial" w:hAnsi="Arial" w:cs="Arial"/>
                <w:sz w:val="16"/>
                <w:szCs w:val="16"/>
              </w:rPr>
              <w:t>E</w:t>
            </w:r>
          </w:p>
        </w:tc>
        <w:tc>
          <w:tcPr>
            <w:tcW w:w="1044" w:type="dxa"/>
            <w:tcBorders>
              <w:top w:val="single" w:sz="6" w:space="0" w:color="auto"/>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Pr>
                <w:rFonts w:ascii="Arial" w:hAnsi="Arial" w:cs="Arial"/>
                <w:sz w:val="16"/>
                <w:szCs w:val="16"/>
              </w:rPr>
              <w:t>F</w:t>
            </w:r>
          </w:p>
        </w:tc>
      </w:tr>
      <w:tr w:rsidR="00081248" w:rsidRPr="00E965A9">
        <w:trPr>
          <w:trHeight w:val="262"/>
        </w:trPr>
        <w:tc>
          <w:tcPr>
            <w:tcW w:w="850" w:type="dxa"/>
            <w:tcBorders>
              <w:top w:val="nil"/>
              <w:left w:val="single" w:sz="6" w:space="0" w:color="auto"/>
              <w:bottom w:val="double" w:sz="6" w:space="0" w:color="auto"/>
              <w:right w:val="nil"/>
            </w:tcBorders>
          </w:tcPr>
          <w:p w:rsidR="00081248" w:rsidRPr="00E965A9" w:rsidRDefault="00081248" w:rsidP="00B032A2">
            <w:pPr>
              <w:autoSpaceDE w:val="0"/>
              <w:autoSpaceDN w:val="0"/>
              <w:adjustRightInd w:val="0"/>
              <w:jc w:val="center"/>
              <w:rPr>
                <w:rFonts w:ascii="Arial" w:hAnsi="Arial" w:cs="Arial"/>
                <w:sz w:val="16"/>
                <w:szCs w:val="16"/>
              </w:rPr>
            </w:pPr>
          </w:p>
        </w:tc>
        <w:tc>
          <w:tcPr>
            <w:tcW w:w="851" w:type="dxa"/>
            <w:tcBorders>
              <w:top w:val="nil"/>
              <w:left w:val="single" w:sz="6" w:space="0" w:color="auto"/>
              <w:bottom w:val="doub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Partie 6411</w:t>
            </w:r>
          </w:p>
        </w:tc>
        <w:tc>
          <w:tcPr>
            <w:tcW w:w="908" w:type="dxa"/>
            <w:tcBorders>
              <w:top w:val="nil"/>
              <w:left w:val="nil"/>
              <w:bottom w:val="double" w:sz="6" w:space="0" w:color="auto"/>
              <w:right w:val="nil"/>
            </w:tcBorders>
          </w:tcPr>
          <w:p w:rsidR="00081248" w:rsidRPr="00E965A9" w:rsidRDefault="00081248" w:rsidP="00B032A2">
            <w:pPr>
              <w:autoSpaceDE w:val="0"/>
              <w:autoSpaceDN w:val="0"/>
              <w:adjustRightInd w:val="0"/>
              <w:jc w:val="center"/>
              <w:rPr>
                <w:rFonts w:ascii="Arial" w:hAnsi="Arial" w:cs="Arial"/>
                <w:sz w:val="16"/>
                <w:szCs w:val="16"/>
              </w:rPr>
            </w:pPr>
          </w:p>
        </w:tc>
        <w:tc>
          <w:tcPr>
            <w:tcW w:w="1502" w:type="dxa"/>
            <w:tcBorders>
              <w:top w:val="nil"/>
              <w:left w:val="single" w:sz="6" w:space="0" w:color="auto"/>
              <w:bottom w:val="doub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Alex</w:t>
            </w:r>
          </w:p>
        </w:tc>
        <w:tc>
          <w:tcPr>
            <w:tcW w:w="992" w:type="dxa"/>
            <w:tcBorders>
              <w:top w:val="nil"/>
              <w:left w:val="nil"/>
              <w:bottom w:val="double" w:sz="6" w:space="0" w:color="auto"/>
              <w:right w:val="nil"/>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Xavier</w:t>
            </w:r>
          </w:p>
        </w:tc>
        <w:tc>
          <w:tcPr>
            <w:tcW w:w="992" w:type="dxa"/>
            <w:tcBorders>
              <w:top w:val="nil"/>
              <w:left w:val="single" w:sz="6" w:space="0" w:color="auto"/>
              <w:bottom w:val="doub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Maryline</w:t>
            </w:r>
          </w:p>
        </w:tc>
        <w:tc>
          <w:tcPr>
            <w:tcW w:w="992" w:type="dxa"/>
            <w:tcBorders>
              <w:top w:val="nil"/>
              <w:left w:val="nil"/>
              <w:bottom w:val="double" w:sz="6" w:space="0" w:color="auto"/>
              <w:right w:val="nil"/>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Jacques</w:t>
            </w:r>
          </w:p>
        </w:tc>
        <w:tc>
          <w:tcPr>
            <w:tcW w:w="1134" w:type="dxa"/>
            <w:tcBorders>
              <w:top w:val="nil"/>
              <w:left w:val="single" w:sz="6" w:space="0" w:color="auto"/>
              <w:bottom w:val="doub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Jacqueline</w:t>
            </w:r>
          </w:p>
        </w:tc>
        <w:tc>
          <w:tcPr>
            <w:tcW w:w="1044" w:type="dxa"/>
            <w:tcBorders>
              <w:top w:val="nil"/>
              <w:left w:val="nil"/>
              <w:bottom w:val="doub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Jean-Luc</w:t>
            </w:r>
          </w:p>
        </w:tc>
      </w:tr>
      <w:tr w:rsidR="00081248" w:rsidRPr="00E965A9">
        <w:trPr>
          <w:trHeight w:val="262"/>
        </w:trPr>
        <w:tc>
          <w:tcPr>
            <w:tcW w:w="850" w:type="dxa"/>
            <w:tcBorders>
              <w:top w:val="single" w:sz="6" w:space="0" w:color="auto"/>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janv-00</w:t>
            </w:r>
          </w:p>
        </w:tc>
        <w:tc>
          <w:tcPr>
            <w:tcW w:w="851" w:type="dxa"/>
            <w:tcBorders>
              <w:top w:val="single" w:sz="6" w:space="0" w:color="auto"/>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261</w:t>
            </w:r>
          </w:p>
        </w:tc>
        <w:tc>
          <w:tcPr>
            <w:tcW w:w="908" w:type="dxa"/>
            <w:tcBorders>
              <w:top w:val="single" w:sz="6" w:space="0" w:color="auto"/>
              <w:left w:val="nil"/>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05/04/2000</w:t>
            </w:r>
          </w:p>
        </w:tc>
        <w:tc>
          <w:tcPr>
            <w:tcW w:w="1502" w:type="dxa"/>
            <w:tcBorders>
              <w:top w:val="single" w:sz="6" w:space="0" w:color="auto"/>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1 756,63</w:t>
            </w:r>
          </w:p>
        </w:tc>
        <w:tc>
          <w:tcPr>
            <w:tcW w:w="992" w:type="dxa"/>
            <w:tcBorders>
              <w:top w:val="single" w:sz="6" w:space="0" w:color="auto"/>
              <w:left w:val="nil"/>
              <w:bottom w:val="nil"/>
              <w:right w:val="nil"/>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2 373,54</w:t>
            </w:r>
          </w:p>
        </w:tc>
        <w:tc>
          <w:tcPr>
            <w:tcW w:w="992" w:type="dxa"/>
            <w:tcBorders>
              <w:top w:val="single" w:sz="6" w:space="0" w:color="auto"/>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1 386,61</w:t>
            </w:r>
          </w:p>
        </w:tc>
        <w:tc>
          <w:tcPr>
            <w:tcW w:w="992" w:type="dxa"/>
            <w:tcBorders>
              <w:top w:val="single" w:sz="6" w:space="0" w:color="auto"/>
              <w:left w:val="nil"/>
              <w:bottom w:val="nil"/>
              <w:right w:val="nil"/>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1 667,12</w:t>
            </w:r>
          </w:p>
        </w:tc>
        <w:tc>
          <w:tcPr>
            <w:tcW w:w="1134" w:type="dxa"/>
            <w:tcBorders>
              <w:top w:val="single" w:sz="6" w:space="0" w:color="auto"/>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1 412,27</w:t>
            </w:r>
          </w:p>
        </w:tc>
        <w:tc>
          <w:tcPr>
            <w:tcW w:w="1044" w:type="dxa"/>
            <w:tcBorders>
              <w:top w:val="single" w:sz="6" w:space="0" w:color="auto"/>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1 728,32</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févr-00</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314</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05/04/2000</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1 713,42</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2 277,20</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1 344,69</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1 625,59</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1 370,34</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1 684,04</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mars-00</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629</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19/04/2000</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1 754,95</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2 376,43</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1 386,61</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1 667,12</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1 412,27</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1 725,57</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avr-00</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1105</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18/07/2000</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1 754,95</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2 588,71</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1 386,61</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1 667,12</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1 619,73</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1 725,57</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mai-00</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1160</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20/07/2000</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1 685,73</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2 333,51</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1 316,76</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1 597,89</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1 352,62</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1 656,35</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juin-00</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1345</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31/07/2000</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1 754,95</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2 498,90</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1 386,61</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1 667,12</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1 422,47</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1 725,57</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juil-00</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1764</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03/10/2000</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1 754,95</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2 498,90</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1 386,61</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1 685,77</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1 422,47</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1 725,57</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aout-2000</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1806</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06/10/2000</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1 685,65</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2 333,43</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1 316,68</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1 667,77</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1 352,54</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1 656,27</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sept-00</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2459</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31/12/2000</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1 754,95</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2 581,23</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1 386,61</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1 737,07</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1 422,47</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1 725,57</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oct-00</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2473</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31/12/2000</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1 754,95</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2 581,23</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1 386,61</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1 737,07</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1 422,47</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1 725,57</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nov-00</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2528</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31/12/2000</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1 624,92</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2 232,04</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1 256,20</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1 737,07</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1 291,89</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1 595,54</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déc-00</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2550</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31/12/2000</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1 825,80</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2 597,93</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1 478,96</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1 794,06</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1 478,44</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1 839,79</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janv-01</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252</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26/03/2001</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1 734,09</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2 469,13</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1 482,30</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1 585,49</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1 482,30</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1 861,00</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févr-01</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367</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30/04/2001</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1 728,16</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2 460,76</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1 508,89</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1 709,75</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1 508,89</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1 712,09</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mars-01</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508</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10/05/2001</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1 731,13</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2 464,95</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1 510,86</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1 712,63</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1 510,86</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1 714,33</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avr-01</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638</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05/06/2001</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1 684,60</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2 360,40</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1 463,97</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1 665,80</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1 463,97</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1 667,80</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mai-01</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799</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12/07/2001</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2 227,91</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2 477,47</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1 528,72</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1 726,29</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1 528,72</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1 728,40</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juin-01</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905</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23/07/2001</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1 760,66</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2 303,22</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1 450,61</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1 648,77</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1 450,61</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1 728,40</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juil-01</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1341</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17/09/2001</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1 838,19</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2 477,47</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1 528,72</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1 726,29</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1 528,72</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1 650,89</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aout-2001</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1481</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09/10/2001</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1 760,58</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2 303,15</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1 450,65</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1 648,69</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1 471,27</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1 650,80</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sept-01</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1567</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11/10/2001</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1 838,19</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2 477,47</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1 528,72</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1 726,29</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1 569,96</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1 728,40</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oct-01</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1991</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07/12/2001</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1 838,19</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2 477,47</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1 528,72</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1 726,29</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1 569,96</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1 728,40</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nov-01</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2187</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20/12/2001</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1 851,71</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2 495,04</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1 422,34</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1 738,40</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1 463,87</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1 740,93</w:t>
            </w:r>
          </w:p>
        </w:tc>
      </w:tr>
      <w:tr w:rsidR="00081248" w:rsidRPr="00E965A9">
        <w:trPr>
          <w:trHeight w:val="247"/>
        </w:trPr>
        <w:tc>
          <w:tcPr>
            <w:tcW w:w="850" w:type="dxa"/>
            <w:tcBorders>
              <w:top w:val="nil"/>
              <w:left w:val="single" w:sz="6" w:space="0" w:color="auto"/>
              <w:bottom w:val="nil"/>
              <w:right w:val="nil"/>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déc-01</w:t>
            </w:r>
          </w:p>
        </w:tc>
        <w:tc>
          <w:tcPr>
            <w:tcW w:w="851"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2245</w:t>
            </w:r>
          </w:p>
        </w:tc>
        <w:tc>
          <w:tcPr>
            <w:tcW w:w="908" w:type="dxa"/>
          </w:tcPr>
          <w:p w:rsidR="00081248" w:rsidRPr="00E965A9" w:rsidRDefault="00081248" w:rsidP="00B032A2">
            <w:pPr>
              <w:autoSpaceDE w:val="0"/>
              <w:autoSpaceDN w:val="0"/>
              <w:adjustRightInd w:val="0"/>
              <w:jc w:val="right"/>
              <w:rPr>
                <w:rFonts w:ascii="Arial" w:hAnsi="Arial" w:cs="Arial"/>
                <w:sz w:val="16"/>
                <w:szCs w:val="16"/>
              </w:rPr>
            </w:pPr>
            <w:r w:rsidRPr="00E965A9">
              <w:rPr>
                <w:rFonts w:ascii="Arial" w:hAnsi="Arial" w:cs="Arial"/>
                <w:sz w:val="16"/>
                <w:szCs w:val="16"/>
              </w:rPr>
              <w:t>31/12/2001</w:t>
            </w:r>
          </w:p>
        </w:tc>
        <w:tc>
          <w:tcPr>
            <w:tcW w:w="150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1 852,52</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2 502,02</w:t>
            </w:r>
          </w:p>
        </w:tc>
        <w:tc>
          <w:tcPr>
            <w:tcW w:w="992"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1 535,37</w:t>
            </w:r>
          </w:p>
        </w:tc>
        <w:tc>
          <w:tcPr>
            <w:tcW w:w="992" w:type="dxa"/>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1 725,89</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1 576,79</w:t>
            </w:r>
          </w:p>
        </w:tc>
        <w:tc>
          <w:tcPr>
            <w:tcW w:w="1044"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sz w:val="16"/>
                <w:szCs w:val="16"/>
              </w:rPr>
            </w:pPr>
            <w:r w:rsidRPr="00E965A9">
              <w:rPr>
                <w:rFonts w:ascii="Arial" w:hAnsi="Arial" w:cs="Arial"/>
                <w:sz w:val="16"/>
                <w:szCs w:val="16"/>
              </w:rPr>
              <w:t>1 958,93</w:t>
            </w:r>
          </w:p>
        </w:tc>
      </w:tr>
      <w:tr w:rsidR="00081248" w:rsidRPr="00E965A9">
        <w:trPr>
          <w:trHeight w:val="247"/>
        </w:trPr>
        <w:tc>
          <w:tcPr>
            <w:tcW w:w="850" w:type="dxa"/>
            <w:tcBorders>
              <w:top w:val="nil"/>
              <w:left w:val="single" w:sz="6" w:space="0" w:color="auto"/>
              <w:bottom w:val="single" w:sz="4" w:space="0" w:color="auto"/>
              <w:right w:val="nil"/>
            </w:tcBorders>
          </w:tcPr>
          <w:p w:rsidR="00081248" w:rsidRPr="00E965A9" w:rsidRDefault="00081248" w:rsidP="00B032A2">
            <w:pPr>
              <w:autoSpaceDE w:val="0"/>
              <w:autoSpaceDN w:val="0"/>
              <w:adjustRightInd w:val="0"/>
              <w:jc w:val="center"/>
              <w:rPr>
                <w:rFonts w:ascii="Arial" w:hAnsi="Arial" w:cs="Arial"/>
                <w:b/>
                <w:bCs/>
                <w:sz w:val="16"/>
                <w:szCs w:val="16"/>
              </w:rPr>
            </w:pPr>
            <w:r w:rsidRPr="00E965A9">
              <w:rPr>
                <w:rFonts w:ascii="Arial" w:hAnsi="Arial" w:cs="Arial"/>
                <w:b/>
                <w:bCs/>
                <w:sz w:val="16"/>
                <w:szCs w:val="16"/>
              </w:rPr>
              <w:t>TOTAL, €</w:t>
            </w:r>
          </w:p>
        </w:tc>
        <w:tc>
          <w:tcPr>
            <w:tcW w:w="851" w:type="dxa"/>
            <w:tcBorders>
              <w:top w:val="nil"/>
              <w:left w:val="single" w:sz="6" w:space="0" w:color="auto"/>
              <w:bottom w:val="single" w:sz="4" w:space="0" w:color="auto"/>
              <w:right w:val="single" w:sz="6" w:space="0" w:color="auto"/>
            </w:tcBorders>
          </w:tcPr>
          <w:p w:rsidR="00081248" w:rsidRPr="00E965A9" w:rsidRDefault="00081248" w:rsidP="00B032A2">
            <w:pPr>
              <w:autoSpaceDE w:val="0"/>
              <w:autoSpaceDN w:val="0"/>
              <w:adjustRightInd w:val="0"/>
              <w:jc w:val="right"/>
              <w:rPr>
                <w:rFonts w:ascii="Arial" w:hAnsi="Arial" w:cs="Arial"/>
                <w:b/>
                <w:bCs/>
                <w:sz w:val="16"/>
                <w:szCs w:val="16"/>
              </w:rPr>
            </w:pPr>
          </w:p>
        </w:tc>
        <w:tc>
          <w:tcPr>
            <w:tcW w:w="908" w:type="dxa"/>
            <w:tcBorders>
              <w:top w:val="nil"/>
              <w:left w:val="nil"/>
              <w:bottom w:val="single" w:sz="4" w:space="0" w:color="auto"/>
              <w:right w:val="nil"/>
            </w:tcBorders>
          </w:tcPr>
          <w:p w:rsidR="00081248" w:rsidRPr="00E965A9" w:rsidRDefault="00081248" w:rsidP="00B032A2">
            <w:pPr>
              <w:autoSpaceDE w:val="0"/>
              <w:autoSpaceDN w:val="0"/>
              <w:adjustRightInd w:val="0"/>
              <w:jc w:val="right"/>
              <w:rPr>
                <w:rFonts w:ascii="Arial" w:hAnsi="Arial" w:cs="Arial"/>
                <w:b/>
                <w:bCs/>
                <w:sz w:val="16"/>
                <w:szCs w:val="16"/>
              </w:rPr>
            </w:pPr>
          </w:p>
        </w:tc>
        <w:tc>
          <w:tcPr>
            <w:tcW w:w="1502" w:type="dxa"/>
            <w:tcBorders>
              <w:top w:val="nil"/>
              <w:left w:val="single" w:sz="6" w:space="0" w:color="auto"/>
              <w:bottom w:val="single" w:sz="4" w:space="0" w:color="auto"/>
              <w:right w:val="single" w:sz="6" w:space="0" w:color="auto"/>
            </w:tcBorders>
          </w:tcPr>
          <w:p w:rsidR="00081248" w:rsidRPr="00E965A9" w:rsidRDefault="00081248" w:rsidP="00B032A2">
            <w:pPr>
              <w:autoSpaceDE w:val="0"/>
              <w:autoSpaceDN w:val="0"/>
              <w:adjustRightInd w:val="0"/>
              <w:jc w:val="center"/>
              <w:rPr>
                <w:rFonts w:ascii="Arial" w:hAnsi="Arial" w:cs="Arial"/>
                <w:b/>
                <w:bCs/>
                <w:sz w:val="16"/>
                <w:szCs w:val="16"/>
              </w:rPr>
            </w:pPr>
            <w:r w:rsidRPr="00E965A9">
              <w:rPr>
                <w:rFonts w:ascii="Arial" w:hAnsi="Arial" w:cs="Arial"/>
                <w:b/>
                <w:bCs/>
                <w:sz w:val="16"/>
                <w:szCs w:val="16"/>
              </w:rPr>
              <w:t>42 667,78</w:t>
            </w:r>
          </w:p>
        </w:tc>
        <w:tc>
          <w:tcPr>
            <w:tcW w:w="992" w:type="dxa"/>
            <w:tcBorders>
              <w:top w:val="nil"/>
              <w:left w:val="single" w:sz="6" w:space="0" w:color="auto"/>
              <w:bottom w:val="single" w:sz="4" w:space="0" w:color="auto"/>
              <w:right w:val="single" w:sz="6" w:space="0" w:color="auto"/>
            </w:tcBorders>
          </w:tcPr>
          <w:p w:rsidR="00081248" w:rsidRPr="00E965A9" w:rsidRDefault="00081248" w:rsidP="00B032A2">
            <w:pPr>
              <w:autoSpaceDE w:val="0"/>
              <w:autoSpaceDN w:val="0"/>
              <w:adjustRightInd w:val="0"/>
              <w:jc w:val="center"/>
              <w:rPr>
                <w:rFonts w:ascii="Arial" w:hAnsi="Arial" w:cs="Arial"/>
                <w:b/>
                <w:bCs/>
                <w:sz w:val="16"/>
                <w:szCs w:val="16"/>
              </w:rPr>
            </w:pPr>
            <w:r w:rsidRPr="00E965A9">
              <w:rPr>
                <w:rFonts w:ascii="Arial" w:hAnsi="Arial" w:cs="Arial"/>
                <w:b/>
                <w:bCs/>
                <w:sz w:val="16"/>
                <w:szCs w:val="16"/>
              </w:rPr>
              <w:t>58 541,60</w:t>
            </w:r>
          </w:p>
        </w:tc>
        <w:tc>
          <w:tcPr>
            <w:tcW w:w="992" w:type="dxa"/>
            <w:tcBorders>
              <w:top w:val="nil"/>
              <w:left w:val="single" w:sz="6" w:space="0" w:color="auto"/>
              <w:bottom w:val="single" w:sz="4" w:space="0" w:color="auto"/>
              <w:right w:val="single" w:sz="6" w:space="0" w:color="auto"/>
            </w:tcBorders>
          </w:tcPr>
          <w:p w:rsidR="00081248" w:rsidRPr="00E965A9" w:rsidRDefault="00081248" w:rsidP="00B032A2">
            <w:pPr>
              <w:autoSpaceDE w:val="0"/>
              <w:autoSpaceDN w:val="0"/>
              <w:adjustRightInd w:val="0"/>
              <w:jc w:val="center"/>
              <w:rPr>
                <w:rFonts w:ascii="Arial" w:hAnsi="Arial" w:cs="Arial"/>
                <w:b/>
                <w:bCs/>
                <w:sz w:val="16"/>
                <w:szCs w:val="16"/>
              </w:rPr>
            </w:pPr>
            <w:r w:rsidRPr="00E965A9">
              <w:rPr>
                <w:rFonts w:ascii="Arial" w:hAnsi="Arial" w:cs="Arial"/>
                <w:b/>
                <w:bCs/>
                <w:sz w:val="16"/>
                <w:szCs w:val="16"/>
              </w:rPr>
              <w:t>34 359,43</w:t>
            </w:r>
          </w:p>
        </w:tc>
        <w:tc>
          <w:tcPr>
            <w:tcW w:w="992" w:type="dxa"/>
            <w:tcBorders>
              <w:top w:val="nil"/>
              <w:left w:val="single" w:sz="6" w:space="0" w:color="auto"/>
              <w:bottom w:val="single" w:sz="4" w:space="0" w:color="auto"/>
              <w:right w:val="single" w:sz="6" w:space="0" w:color="auto"/>
            </w:tcBorders>
          </w:tcPr>
          <w:p w:rsidR="00081248" w:rsidRPr="00E965A9" w:rsidRDefault="00081248" w:rsidP="00B032A2">
            <w:pPr>
              <w:autoSpaceDE w:val="0"/>
              <w:autoSpaceDN w:val="0"/>
              <w:adjustRightInd w:val="0"/>
              <w:jc w:val="center"/>
              <w:rPr>
                <w:rFonts w:ascii="Arial" w:hAnsi="Arial" w:cs="Arial"/>
                <w:b/>
                <w:bCs/>
                <w:sz w:val="16"/>
                <w:szCs w:val="16"/>
              </w:rPr>
            </w:pPr>
            <w:r w:rsidRPr="00E965A9">
              <w:rPr>
                <w:rFonts w:ascii="Arial" w:hAnsi="Arial" w:cs="Arial"/>
                <w:b/>
                <w:bCs/>
                <w:sz w:val="16"/>
                <w:szCs w:val="16"/>
              </w:rPr>
              <w:t>40 591,35</w:t>
            </w:r>
          </w:p>
        </w:tc>
        <w:tc>
          <w:tcPr>
            <w:tcW w:w="1134" w:type="dxa"/>
            <w:tcBorders>
              <w:top w:val="nil"/>
              <w:left w:val="single" w:sz="6" w:space="0" w:color="auto"/>
              <w:bottom w:val="single" w:sz="4" w:space="0" w:color="auto"/>
              <w:right w:val="single" w:sz="6" w:space="0" w:color="auto"/>
            </w:tcBorders>
          </w:tcPr>
          <w:p w:rsidR="00081248" w:rsidRPr="00E965A9" w:rsidRDefault="00081248" w:rsidP="00B032A2">
            <w:pPr>
              <w:autoSpaceDE w:val="0"/>
              <w:autoSpaceDN w:val="0"/>
              <w:adjustRightInd w:val="0"/>
              <w:jc w:val="center"/>
              <w:rPr>
                <w:rFonts w:ascii="Arial" w:hAnsi="Arial" w:cs="Arial"/>
                <w:b/>
                <w:bCs/>
                <w:sz w:val="16"/>
                <w:szCs w:val="16"/>
              </w:rPr>
            </w:pPr>
            <w:r w:rsidRPr="00E965A9">
              <w:rPr>
                <w:rFonts w:ascii="Arial" w:hAnsi="Arial" w:cs="Arial"/>
                <w:b/>
                <w:bCs/>
                <w:sz w:val="16"/>
                <w:szCs w:val="16"/>
              </w:rPr>
              <w:t>35 105,90</w:t>
            </w:r>
          </w:p>
        </w:tc>
        <w:tc>
          <w:tcPr>
            <w:tcW w:w="1044" w:type="dxa"/>
            <w:tcBorders>
              <w:top w:val="nil"/>
              <w:left w:val="single" w:sz="6" w:space="0" w:color="auto"/>
              <w:bottom w:val="single" w:sz="4" w:space="0" w:color="auto"/>
              <w:right w:val="single" w:sz="6" w:space="0" w:color="auto"/>
            </w:tcBorders>
          </w:tcPr>
          <w:p w:rsidR="00081248" w:rsidRPr="00E965A9" w:rsidRDefault="00081248" w:rsidP="00B032A2">
            <w:pPr>
              <w:autoSpaceDE w:val="0"/>
              <w:autoSpaceDN w:val="0"/>
              <w:adjustRightInd w:val="0"/>
              <w:jc w:val="center"/>
              <w:rPr>
                <w:rFonts w:ascii="Arial" w:hAnsi="Arial" w:cs="Arial"/>
                <w:b/>
                <w:bCs/>
                <w:sz w:val="16"/>
                <w:szCs w:val="16"/>
              </w:rPr>
            </w:pPr>
            <w:r w:rsidRPr="00E965A9">
              <w:rPr>
                <w:rFonts w:ascii="Arial" w:hAnsi="Arial" w:cs="Arial"/>
                <w:b/>
                <w:bCs/>
                <w:sz w:val="16"/>
                <w:szCs w:val="16"/>
              </w:rPr>
              <w:t>41 384,10</w:t>
            </w:r>
          </w:p>
        </w:tc>
      </w:tr>
      <w:tr w:rsidR="00081248" w:rsidRPr="00E965A9">
        <w:trPr>
          <w:trHeight w:val="247"/>
        </w:trPr>
        <w:tc>
          <w:tcPr>
            <w:tcW w:w="9265" w:type="dxa"/>
            <w:gridSpan w:val="9"/>
            <w:tcBorders>
              <w:top w:val="single" w:sz="4" w:space="0" w:color="auto"/>
              <w:left w:val="single" w:sz="4" w:space="0" w:color="auto"/>
              <w:bottom w:val="single" w:sz="4" w:space="0" w:color="auto"/>
              <w:right w:val="single" w:sz="4" w:space="0" w:color="auto"/>
            </w:tcBorders>
          </w:tcPr>
          <w:p w:rsidR="00081248" w:rsidRPr="00E965A9" w:rsidRDefault="00081248" w:rsidP="00B032A2">
            <w:pPr>
              <w:autoSpaceDE w:val="0"/>
              <w:autoSpaceDN w:val="0"/>
              <w:adjustRightInd w:val="0"/>
              <w:rPr>
                <w:rFonts w:ascii="Arial" w:hAnsi="Arial" w:cs="Arial"/>
                <w:b/>
                <w:bCs/>
                <w:sz w:val="16"/>
                <w:szCs w:val="16"/>
              </w:rPr>
            </w:pPr>
            <w:r w:rsidRPr="00E965A9">
              <w:rPr>
                <w:rFonts w:ascii="Arial" w:hAnsi="Arial" w:cs="Arial"/>
                <w:b/>
                <w:bCs/>
                <w:sz w:val="16"/>
                <w:szCs w:val="16"/>
              </w:rPr>
              <w:t>TOTAL GENERAL €</w:t>
            </w:r>
          </w:p>
          <w:p w:rsidR="00081248" w:rsidRPr="00E965A9" w:rsidRDefault="00081248" w:rsidP="00B032A2">
            <w:pPr>
              <w:autoSpaceDE w:val="0"/>
              <w:autoSpaceDN w:val="0"/>
              <w:adjustRightInd w:val="0"/>
              <w:jc w:val="right"/>
              <w:rPr>
                <w:rFonts w:ascii="Arial" w:hAnsi="Arial" w:cs="Arial"/>
                <w:b/>
                <w:bCs/>
                <w:sz w:val="16"/>
                <w:szCs w:val="16"/>
              </w:rPr>
            </w:pPr>
            <w:r w:rsidRPr="00E965A9">
              <w:rPr>
                <w:b/>
                <w:bCs/>
              </w:rPr>
              <w:t xml:space="preserve">252 650,16  </w:t>
            </w:r>
          </w:p>
        </w:tc>
      </w:tr>
    </w:tbl>
    <w:p w:rsidR="00081248" w:rsidRPr="00E965A9" w:rsidRDefault="00081248" w:rsidP="00B032A2">
      <w:pPr>
        <w:pStyle w:val="PS"/>
        <w:spacing w:after="360"/>
      </w:pPr>
    </w:p>
    <w:p w:rsidR="00081248" w:rsidRPr="00E965A9" w:rsidRDefault="00081248" w:rsidP="00B032A2">
      <w:pPr>
        <w:pStyle w:val="PS"/>
      </w:pPr>
      <w:r w:rsidRPr="00E965A9">
        <w:t>Attendu que le comptable, dans sa réponse à la Cour, fait valoir que le protocole susvisé n’est que la mise en œuvre d’une convention signée le 30 décembre 1989 entre le parc et l’ONF, elle-même visée par le contrôleur financier le 29 décembre 1989 ;</w:t>
      </w:r>
    </w:p>
    <w:p w:rsidR="00081248" w:rsidRPr="00E965A9" w:rsidRDefault="00081248" w:rsidP="00B032A2">
      <w:pPr>
        <w:pStyle w:val="PS"/>
      </w:pPr>
      <w:r w:rsidRPr="00E965A9">
        <w:t>Attendu que le décret n° 62-1587 du 29 décembre 1962 stipule en son article 12 qu’en matière de dépenses le contrôle du comptable porte notamment sur la validité de la créance ; que ledit décret dispose dans son article 13 que, dans la mesure où les règles propres à chaque organisme public le prévoient, les comptables publics vérifient l’existence du visa des contrôleurs financiers sur les engagements et les ordonnancements émis par les ordonnateurs principaux ; que l’article 6 de l’arrêté du 5 octobre 1973 du ministère de la protection de la nature et de l’environnement portant modalités du contrôle financier sur les parcs nationaux impose le visa préalable du contrôleur financier sur toutes les conventions d’un montant supérieur à une somme fixée par celui-ci, à savoir 30 000 F (4 573,47 €) ;</w:t>
      </w:r>
    </w:p>
    <w:p w:rsidR="00081248" w:rsidRPr="00E965A9" w:rsidRDefault="00081248" w:rsidP="00B032A2">
      <w:pPr>
        <w:pStyle w:val="PS"/>
        <w:spacing w:after="360"/>
      </w:pPr>
      <w:r w:rsidRPr="00E965A9">
        <w:br w:type="page"/>
        <w:t xml:space="preserve">Attendu que si la convention du 30 décembre 1989 prévoyait la mise à disposition d’agents de l’ONF au bénéfice du parc, ses modalités étaient différentes de celles du protocole du 27 juin 1997, puisqu’elles prévoyaient le remboursement des salaires des agents par le parc à l’ONF, alors que le nouveau protocole institue un versement direct de leur rémunération par le parc ; qu’en ce qui concerne cette mise à disposition, le protocole d’accord du 27 juin 1997 se substitue à la convention du 30 décembre 1989 et aurait dû, à ce titre, être visé par le contrôleur financier ; </w:t>
      </w:r>
    </w:p>
    <w:p w:rsidR="00081248" w:rsidRPr="00E965A9" w:rsidRDefault="00081248" w:rsidP="00B032A2">
      <w:pPr>
        <w:pStyle w:val="PS"/>
        <w:spacing w:after="360"/>
      </w:pPr>
      <w:r w:rsidRPr="00E965A9">
        <w:t xml:space="preserve">Considérant qu’aux termes de l’article 60-I de la loi du 23 février 1963 susvisée, les comptables publics sont personnellement et pécuniairement responsables du paiement des dépenses et qu’aux termes de l’article 60-IV de cette même loi, cette responsabilité se trouve engagée dès lors qu’une dépense a été irrégulièrement payée ; qu’en application du paragraphe VII de l’article 60 de la loi précitée du 23 février 1963, il y a lieu de constituer Mme Y débiteur du parc national de la Guadeloupe pour la somme de 124 258,94 € au titre de l’exercice 2000 et de 128 391,22 € au titre de l’exercice 2001 ; </w:t>
      </w:r>
    </w:p>
    <w:p w:rsidR="00081248" w:rsidRPr="00E965A9" w:rsidRDefault="00081248" w:rsidP="00B032A2">
      <w:pPr>
        <w:pStyle w:val="PS"/>
        <w:spacing w:after="360"/>
      </w:pPr>
      <w:r w:rsidRPr="00E965A9">
        <w:t xml:space="preserve">Considérant qu’aux termes du paragraphe VIII de l’article 60 de la loi précitée du 23 février 1963, les débets portent intérêt </w:t>
      </w:r>
      <w:r w:rsidRPr="00E965A9">
        <w:rPr>
          <w:i/>
        </w:rPr>
        <w:t>« au taux légal à compter de la date du fait générateur ou, si cette date ne peut être fixée avec précision, à compter de celle de leur découverte » ;</w:t>
      </w:r>
      <w:r w:rsidRPr="00E965A9">
        <w:t xml:space="preserve"> qu’en l’espèce, cette date est celle du paiement du dernier mandat de la dépense irrégulière, soit le 31 décembre pour les exercices 2000 et 2001 ;</w:t>
      </w:r>
    </w:p>
    <w:p w:rsidR="00081248" w:rsidRPr="00E965A9" w:rsidRDefault="00081248" w:rsidP="00B032A2">
      <w:pPr>
        <w:pStyle w:val="PS"/>
        <w:spacing w:after="360"/>
      </w:pPr>
      <w:r w:rsidRPr="00E965A9">
        <w:t>L’injonction n° 5 prononcée par l’arrêt du 19 mai 2005 est levée.</w:t>
      </w:r>
    </w:p>
    <w:p w:rsidR="00081248" w:rsidRPr="00E965A9" w:rsidRDefault="00081248" w:rsidP="00B032A2">
      <w:pPr>
        <w:pStyle w:val="PS"/>
        <w:spacing w:after="240"/>
      </w:pPr>
      <w:r w:rsidRPr="00E965A9">
        <w:t>Mme Michèle Y est constitué débiteur du parc national de la Guadeloupe pour la somme de :</w:t>
      </w:r>
    </w:p>
    <w:p w:rsidR="00081248" w:rsidRPr="00E965A9" w:rsidRDefault="00081248" w:rsidP="00B032A2">
      <w:pPr>
        <w:pStyle w:val="PS"/>
        <w:spacing w:after="240"/>
      </w:pPr>
      <w:r w:rsidRPr="00E965A9">
        <w:t>- 124 258,94 € au titre de l’exercice 2000, augmentée des intérêts de droit calculés à compter du 31 décembre 2000 ;</w:t>
      </w:r>
    </w:p>
    <w:p w:rsidR="00081248" w:rsidRPr="00E965A9" w:rsidRDefault="00081248" w:rsidP="00B032A2">
      <w:pPr>
        <w:pStyle w:val="PS"/>
        <w:spacing w:after="360"/>
      </w:pPr>
      <w:r w:rsidRPr="00E965A9">
        <w:t xml:space="preserve">- 128 391,22 € au titre de l’exercice 2001, augmentée des intérêts de droit calculés à compter du 31 décembre 2001. </w:t>
      </w:r>
    </w:p>
    <w:p w:rsidR="00081248" w:rsidRPr="00E965A9" w:rsidRDefault="00081248" w:rsidP="00B032A2">
      <w:pPr>
        <w:pStyle w:val="PS"/>
        <w:spacing w:after="360"/>
        <w:rPr>
          <w:u w:val="single"/>
        </w:rPr>
      </w:pPr>
      <w:r w:rsidRPr="00E965A9">
        <w:rPr>
          <w:u w:val="single"/>
        </w:rPr>
        <w:t>Injonction n° 6 – Paiement sur ressources affectées au-delà des 30 % - année 2001</w:t>
      </w:r>
    </w:p>
    <w:p w:rsidR="00081248" w:rsidRPr="00E965A9" w:rsidRDefault="00081248" w:rsidP="00B032A2">
      <w:pPr>
        <w:pStyle w:val="PS"/>
      </w:pPr>
      <w:r w:rsidRPr="00E965A9">
        <w:t xml:space="preserve">Attendu que, par l’arrêt susvisé du 19 mai 2005, la Cour avait formulé une injonction de reversement, à défaut d’éventuelles justifications à décharge, d’un montant de 68 897,93 €, comme retracé dans le tableau suivant et correspondant à 59 mandats de l’exercice 2001 au motif que ces mandats, payés au titre de l’avenant n° 2 signé le 25 août 2001, à la convention de ressources affectées n° 001/99 entre le parc national et le ministère chargé de l’environnement, relative au fonctionnement de la mission d’étude du projet du parc national de la forêt tropicale de Guyane, ont été payés en dépassement de 30 % du montant total de ladite convention, contrairement aux règles établies par  l’instruction codificatrice n° 96-011 M. 91 du 1er février 1996 susvisée concernant la possibilité pour les établissements publics administratifs de procéder à des avances de fonds sur leur trésorerie ; </w:t>
      </w:r>
    </w:p>
    <w:tbl>
      <w:tblPr>
        <w:tblW w:w="0" w:type="auto"/>
        <w:tblInd w:w="1731" w:type="dxa"/>
        <w:tblLayout w:type="fixed"/>
        <w:tblCellMar>
          <w:left w:w="30" w:type="dxa"/>
          <w:right w:w="30" w:type="dxa"/>
        </w:tblCellMar>
        <w:tblLook w:val="0000"/>
      </w:tblPr>
      <w:tblGrid>
        <w:gridCol w:w="2127"/>
        <w:gridCol w:w="1559"/>
        <w:gridCol w:w="1134"/>
        <w:gridCol w:w="1417"/>
        <w:gridCol w:w="1189"/>
      </w:tblGrid>
      <w:tr w:rsidR="00081248" w:rsidRPr="00E965A9">
        <w:trPr>
          <w:trHeight w:val="672"/>
        </w:trPr>
        <w:tc>
          <w:tcPr>
            <w:tcW w:w="2127" w:type="dxa"/>
            <w:tcBorders>
              <w:top w:val="single" w:sz="6" w:space="0" w:color="auto"/>
              <w:left w:val="single" w:sz="6" w:space="0" w:color="auto"/>
              <w:bottom w:val="sing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n° compte</w:t>
            </w:r>
          </w:p>
        </w:tc>
        <w:tc>
          <w:tcPr>
            <w:tcW w:w="1559" w:type="dxa"/>
            <w:tcBorders>
              <w:top w:val="single" w:sz="6" w:space="0" w:color="auto"/>
              <w:left w:val="single" w:sz="6" w:space="0" w:color="auto"/>
              <w:bottom w:val="sing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Date mandat</w:t>
            </w:r>
          </w:p>
        </w:tc>
        <w:tc>
          <w:tcPr>
            <w:tcW w:w="1134" w:type="dxa"/>
            <w:tcBorders>
              <w:top w:val="single" w:sz="6" w:space="0" w:color="auto"/>
              <w:left w:val="single" w:sz="6" w:space="0" w:color="auto"/>
              <w:bottom w:val="sing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n° mandat</w:t>
            </w:r>
          </w:p>
        </w:tc>
        <w:tc>
          <w:tcPr>
            <w:tcW w:w="1417" w:type="dxa"/>
            <w:tcBorders>
              <w:top w:val="single" w:sz="6" w:space="0" w:color="auto"/>
              <w:left w:val="single" w:sz="6" w:space="0" w:color="auto"/>
              <w:bottom w:val="sing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Montant en €</w:t>
            </w:r>
          </w:p>
        </w:tc>
        <w:tc>
          <w:tcPr>
            <w:tcW w:w="1189" w:type="dxa"/>
            <w:tcBorders>
              <w:top w:val="single" w:sz="6" w:space="0" w:color="auto"/>
              <w:left w:val="single" w:sz="6" w:space="0" w:color="auto"/>
              <w:bottom w:val="sing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date de paiement</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203</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10/09/2001</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1259</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7 820,63</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203</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1260</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9 424,40</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205</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1261</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4 725,92</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6063</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1262</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14,94</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6063</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1263</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16,46</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6063</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1264</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595,24</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6063</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1265</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150,92</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6064</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1266</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5,34</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6064</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1267</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16,01</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6064</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1268</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1 604,24</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6064</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1270</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367,61</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6065</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1271</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36,89</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6065</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1272</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149,40</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6063</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1272</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99,09</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6068</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1273</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15,70</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6132</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1274</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1 554,98</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6132</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1275</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1 765,58</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61554</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1276</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171,73</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61554</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1277</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275,17</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616</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1278</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1 127,51</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617</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1279</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6 097,96</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6181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1280</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1 084,67</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6185</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1281</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3 048,98</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6231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1282</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182,59</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6238</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1283</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4 421,02</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1284</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798,99</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1285</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1 095,50</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1290</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1 095,50</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1294</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498,20</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05/10/2001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1295</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213,73</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05/10/2001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1296</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70,11</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1298</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74,68</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1299</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70,11</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1300</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70,11</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1301</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70,11</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1302</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70,11</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1303</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70,11</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1304</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70,11</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1305</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70,11</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1306</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1 986,49</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1307</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975,00</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6251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1308</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1 469,50</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6281</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1311</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6 097,96</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6283</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1312</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3 628,35</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6283</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1313</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1 103,12</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6286</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1314</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185,87</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6286</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1315</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185,87</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6286</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1316</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185,87</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6286</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1317</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185,87</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6286</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1318</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557,60</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6286</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1319</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185,87</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6286</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1320</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185,87</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6288</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1321</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20,96</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6288</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1322</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457,35</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6288</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1323</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606,75</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6288</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1324</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579,31</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6288</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1325</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271,36</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6288</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1326</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76,22</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rPr>
                <w:rFonts w:ascii="Arial" w:hAnsi="Arial" w:cs="Arial"/>
              </w:rPr>
            </w:pPr>
            <w:r w:rsidRPr="00E965A9">
              <w:rPr>
                <w:rFonts w:ascii="Arial" w:hAnsi="Arial" w:cs="Arial"/>
              </w:rPr>
              <w:t>6288</w:t>
            </w:r>
          </w:p>
        </w:tc>
        <w:tc>
          <w:tcPr>
            <w:tcW w:w="1559"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w:t>
            </w:r>
          </w:p>
        </w:tc>
        <w:tc>
          <w:tcPr>
            <w:tcW w:w="1134" w:type="dxa"/>
            <w:tcBorders>
              <w:top w:val="nil"/>
              <w:left w:val="single" w:sz="6" w:space="0" w:color="auto"/>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1327</w:t>
            </w:r>
          </w:p>
        </w:tc>
        <w:tc>
          <w:tcPr>
            <w:tcW w:w="1417" w:type="dxa"/>
            <w:tcBorders>
              <w:top w:val="nil"/>
              <w:left w:val="nil"/>
              <w:bottom w:val="nil"/>
              <w:right w:val="single" w:sz="6" w:space="0" w:color="auto"/>
            </w:tcBorders>
          </w:tcPr>
          <w:p w:rsidR="00081248" w:rsidRPr="00E965A9" w:rsidRDefault="00081248" w:rsidP="00B032A2">
            <w:pPr>
              <w:autoSpaceDE w:val="0"/>
              <w:autoSpaceDN w:val="0"/>
              <w:adjustRightInd w:val="0"/>
              <w:jc w:val="right"/>
              <w:rPr>
                <w:rFonts w:ascii="Arial" w:hAnsi="Arial" w:cs="Arial"/>
              </w:rPr>
            </w:pPr>
            <w:r w:rsidRPr="00E965A9">
              <w:rPr>
                <w:rFonts w:ascii="Arial" w:hAnsi="Arial" w:cs="Arial"/>
              </w:rPr>
              <w:t>842,28</w:t>
            </w:r>
          </w:p>
        </w:tc>
        <w:tc>
          <w:tcPr>
            <w:tcW w:w="1189" w:type="dxa"/>
            <w:tcBorders>
              <w:top w:val="nil"/>
              <w:left w:val="nil"/>
              <w:bottom w:val="nil"/>
              <w:right w:val="single" w:sz="6" w:space="0" w:color="auto"/>
            </w:tcBorders>
          </w:tcPr>
          <w:p w:rsidR="00081248" w:rsidRPr="00E965A9" w:rsidRDefault="00081248" w:rsidP="00B032A2">
            <w:pPr>
              <w:autoSpaceDE w:val="0"/>
              <w:autoSpaceDN w:val="0"/>
              <w:adjustRightInd w:val="0"/>
              <w:jc w:val="center"/>
              <w:rPr>
                <w:rFonts w:ascii="Arial" w:hAnsi="Arial" w:cs="Arial"/>
              </w:rPr>
            </w:pPr>
            <w:r w:rsidRPr="00E965A9">
              <w:rPr>
                <w:rFonts w:ascii="Arial" w:hAnsi="Arial" w:cs="Arial"/>
              </w:rPr>
              <w:t>13/09/2001</w:t>
            </w:r>
          </w:p>
        </w:tc>
      </w:tr>
      <w:tr w:rsidR="00081248" w:rsidRPr="00E965A9">
        <w:trPr>
          <w:trHeight w:val="287"/>
        </w:trPr>
        <w:tc>
          <w:tcPr>
            <w:tcW w:w="2127" w:type="dxa"/>
            <w:tcBorders>
              <w:top w:val="nil"/>
              <w:left w:val="single" w:sz="6" w:space="0" w:color="auto"/>
              <w:bottom w:val="single" w:sz="6" w:space="0" w:color="auto"/>
              <w:right w:val="single" w:sz="6" w:space="0" w:color="auto"/>
            </w:tcBorders>
          </w:tcPr>
          <w:p w:rsidR="00081248" w:rsidRPr="00E965A9" w:rsidRDefault="00081248" w:rsidP="00B032A2">
            <w:pPr>
              <w:autoSpaceDE w:val="0"/>
              <w:autoSpaceDN w:val="0"/>
              <w:adjustRightInd w:val="0"/>
              <w:jc w:val="right"/>
              <w:rPr>
                <w:rFonts w:ascii="Arial" w:hAnsi="Arial" w:cs="Arial"/>
              </w:rPr>
            </w:pPr>
          </w:p>
        </w:tc>
        <w:tc>
          <w:tcPr>
            <w:tcW w:w="1559" w:type="dxa"/>
            <w:tcBorders>
              <w:top w:val="nil"/>
              <w:left w:val="single" w:sz="6" w:space="0" w:color="auto"/>
              <w:bottom w:val="single" w:sz="6" w:space="0" w:color="auto"/>
              <w:right w:val="single" w:sz="6" w:space="0" w:color="auto"/>
            </w:tcBorders>
          </w:tcPr>
          <w:p w:rsidR="00081248" w:rsidRPr="00E965A9" w:rsidRDefault="00081248" w:rsidP="00B032A2">
            <w:pPr>
              <w:autoSpaceDE w:val="0"/>
              <w:autoSpaceDN w:val="0"/>
              <w:adjustRightInd w:val="0"/>
              <w:jc w:val="right"/>
              <w:rPr>
                <w:rFonts w:ascii="Arial" w:hAnsi="Arial" w:cs="Arial"/>
              </w:rPr>
            </w:pPr>
          </w:p>
        </w:tc>
        <w:tc>
          <w:tcPr>
            <w:tcW w:w="1134" w:type="dxa"/>
            <w:tcBorders>
              <w:top w:val="nil"/>
              <w:left w:val="single" w:sz="6" w:space="0" w:color="auto"/>
              <w:bottom w:val="single" w:sz="6" w:space="0" w:color="auto"/>
              <w:right w:val="single" w:sz="6" w:space="0" w:color="auto"/>
            </w:tcBorders>
          </w:tcPr>
          <w:p w:rsidR="00081248" w:rsidRPr="00E965A9" w:rsidRDefault="00081248" w:rsidP="00B032A2">
            <w:pPr>
              <w:autoSpaceDE w:val="0"/>
              <w:autoSpaceDN w:val="0"/>
              <w:adjustRightInd w:val="0"/>
              <w:jc w:val="center"/>
              <w:rPr>
                <w:rFonts w:ascii="Arial" w:hAnsi="Arial" w:cs="Arial"/>
                <w:b/>
                <w:bCs/>
              </w:rPr>
            </w:pPr>
            <w:r w:rsidRPr="00E965A9">
              <w:rPr>
                <w:rFonts w:ascii="Arial" w:hAnsi="Arial" w:cs="Arial"/>
                <w:b/>
                <w:bCs/>
              </w:rPr>
              <w:t>s/total</w:t>
            </w:r>
          </w:p>
        </w:tc>
        <w:tc>
          <w:tcPr>
            <w:tcW w:w="1417" w:type="dxa"/>
            <w:tcBorders>
              <w:top w:val="nil"/>
              <w:left w:val="nil"/>
              <w:bottom w:val="single" w:sz="6" w:space="0" w:color="auto"/>
              <w:right w:val="single" w:sz="6" w:space="0" w:color="auto"/>
            </w:tcBorders>
          </w:tcPr>
          <w:p w:rsidR="00081248" w:rsidRPr="00E965A9" w:rsidRDefault="00081248" w:rsidP="00B032A2">
            <w:pPr>
              <w:autoSpaceDE w:val="0"/>
              <w:autoSpaceDN w:val="0"/>
              <w:adjustRightInd w:val="0"/>
              <w:jc w:val="right"/>
              <w:rPr>
                <w:rFonts w:ascii="Arial" w:hAnsi="Arial" w:cs="Arial"/>
                <w:b/>
                <w:bCs/>
              </w:rPr>
            </w:pPr>
            <w:r w:rsidRPr="00E965A9">
              <w:rPr>
                <w:rFonts w:ascii="Arial" w:hAnsi="Arial" w:cs="Arial"/>
                <w:b/>
                <w:bCs/>
              </w:rPr>
              <w:t>68 897,93 €</w:t>
            </w:r>
          </w:p>
        </w:tc>
        <w:tc>
          <w:tcPr>
            <w:tcW w:w="1189" w:type="dxa"/>
            <w:tcBorders>
              <w:top w:val="nil"/>
              <w:left w:val="nil"/>
              <w:bottom w:val="single" w:sz="6" w:space="0" w:color="auto"/>
              <w:right w:val="single" w:sz="6" w:space="0" w:color="auto"/>
            </w:tcBorders>
          </w:tcPr>
          <w:p w:rsidR="00081248" w:rsidRPr="00E965A9" w:rsidRDefault="00081248" w:rsidP="00B032A2">
            <w:pPr>
              <w:autoSpaceDE w:val="0"/>
              <w:autoSpaceDN w:val="0"/>
              <w:adjustRightInd w:val="0"/>
              <w:rPr>
                <w:rFonts w:ascii="Arial" w:hAnsi="Arial" w:cs="Arial"/>
                <w:b/>
                <w:bCs/>
              </w:rPr>
            </w:pPr>
          </w:p>
        </w:tc>
      </w:tr>
    </w:tbl>
    <w:p w:rsidR="00081248" w:rsidRPr="00E965A9" w:rsidRDefault="00081248" w:rsidP="00B032A2">
      <w:pPr>
        <w:pStyle w:val="PS"/>
        <w:spacing w:after="360"/>
      </w:pPr>
    </w:p>
    <w:p w:rsidR="00081248" w:rsidRPr="00E965A9" w:rsidRDefault="00081248" w:rsidP="00B032A2">
      <w:pPr>
        <w:pStyle w:val="PS"/>
      </w:pPr>
      <w:r w:rsidRPr="00E965A9">
        <w:t xml:space="preserve">Attendu que le comptable dans sa réponse fait valoir qu’il a payé ces dépenses sur demande expresse de l’ordonnateur dans un contexte géographique très difficile ; que les crédits existaient à chaque compte de dépenses ; que la trésorerie était suffisante, les services faits, la réception des fonds imminente ; que le paiement de ces dépenses devenaient extrêmement urgent ; </w:t>
      </w:r>
    </w:p>
    <w:p w:rsidR="00081248" w:rsidRPr="00E965A9" w:rsidRDefault="00081248" w:rsidP="00B032A2">
      <w:pPr>
        <w:pStyle w:val="PS"/>
      </w:pPr>
      <w:r w:rsidRPr="00E965A9">
        <w:t>Attendu que ces éléments de fait exposés par le comptable ne sont pas opposables à la Cour et ne justifient en rien la régularité du paiement ; qu’en particulier la prétendue demande expresse de l’ordonnateur ne constitue en rien une réquisition de paiement prise par ledit ordonnateur ;</w:t>
      </w:r>
    </w:p>
    <w:p w:rsidR="00081248" w:rsidRPr="00E965A9" w:rsidRDefault="00081248" w:rsidP="00B032A2">
      <w:pPr>
        <w:pStyle w:val="PS"/>
      </w:pPr>
      <w:r w:rsidRPr="00E965A9">
        <w:t>Attendu que l’instruction codificatrice n° 96-011 M. 91 du 1</w:t>
      </w:r>
      <w:r w:rsidRPr="00E965A9">
        <w:rPr>
          <w:vertAlign w:val="superscript"/>
        </w:rPr>
        <w:t>er</w:t>
      </w:r>
      <w:r w:rsidRPr="00E965A9">
        <w:t xml:space="preserve"> février 1996 prévoit qu’en cas d’une signature d’une convention de ressources affectées, l’avance de fonds des établissements publics administratifs, sur leur trésorerie, à leurs cocontractants ne doit pas excéder 30 % du montant prévu dans la convention de ressources affectées ;</w:t>
      </w:r>
    </w:p>
    <w:p w:rsidR="00081248" w:rsidRPr="00E965A9" w:rsidRDefault="00081248" w:rsidP="00B032A2">
      <w:pPr>
        <w:pStyle w:val="PS"/>
      </w:pPr>
      <w:r w:rsidRPr="00E965A9">
        <w:t>Considérant que les comptables publics sont personnellement et pécuniairement responsables des contrôles qu’ils sont tenus d’exercer, conformément aux dispositions des paragraphes I et IV de l’article 60 de la loi n° 63-156 du 23 février 1963 susvisée et de l’article 12 du décret du 29 décembre 1962 portant règlement général de la comptabilité publique; que ce contrôle comporte celui de la disponibilité des crédits ;</w:t>
      </w:r>
    </w:p>
    <w:p w:rsidR="00081248" w:rsidRPr="00E965A9" w:rsidRDefault="00081248" w:rsidP="00B032A2">
      <w:pPr>
        <w:pStyle w:val="PS"/>
      </w:pPr>
      <w:r w:rsidRPr="00E965A9">
        <w:t>Considérant que, aux termes de l’instruction M9-1 précitée, pour le contrôle de la disponibilité des crédits dans le cas des conventions sur ressources affectées, le comptable exerce notamment un  « </w:t>
      </w:r>
      <w:r w:rsidRPr="00E965A9">
        <w:rPr>
          <w:i/>
        </w:rPr>
        <w:t>contrôle par rapport au montant figurant au crédit du compte « produits à recevoir sur ressources affectées » qui indique les sommes encaissées sur la convention »</w:t>
      </w:r>
      <w:r w:rsidRPr="00E965A9">
        <w:t> ; que le comptable n’a pas procédé à ce contrôle qui lui aurait permis de constater l’inexistence desdites sommes et donc l’absence de disponibilité au regard de la règle des 30 % sus énoncée ; qu’en application du paragraphe VII de l’article 60 de la loi susvisée du 23 février 1963, il y a lieu de constituer Mme Y débiteur du parc national de la Guadeloupe pour la somme de 68 897,93 € ;</w:t>
      </w:r>
    </w:p>
    <w:p w:rsidR="00081248" w:rsidRPr="00E965A9" w:rsidRDefault="00081248" w:rsidP="00B032A2">
      <w:pPr>
        <w:pStyle w:val="PS"/>
      </w:pPr>
      <w:r w:rsidRPr="00E965A9">
        <w:t>Considérant que, aux termes du paragraphe VIII de l’article 60 de la loi précitée du 23 février 1963, les débets portent intérêt « </w:t>
      </w:r>
      <w:r w:rsidRPr="00E965A9">
        <w:rPr>
          <w:i/>
        </w:rPr>
        <w:t>au taux légal à compter de la date du fait générateur ou, si cette date ne peut être fixée avec précision, à compter de celle de leur découverte » </w:t>
      </w:r>
      <w:r w:rsidRPr="00E965A9">
        <w:t>; qu’en l’espèce, cette date est celle du paiement du dernier mandat de la dépense irrégulière, soit le 13 septembre 2001 ;</w:t>
      </w:r>
    </w:p>
    <w:p w:rsidR="00081248" w:rsidRPr="00E965A9" w:rsidRDefault="00081248" w:rsidP="00B032A2">
      <w:pPr>
        <w:pStyle w:val="PS"/>
      </w:pPr>
      <w:r w:rsidRPr="00E965A9">
        <w:t>L’injonction n° 6 prononcée par l’arrêt du 19 mai 2005 susvisé est levée.</w:t>
      </w:r>
    </w:p>
    <w:p w:rsidR="00081248" w:rsidRPr="00E965A9" w:rsidRDefault="00081248" w:rsidP="00B032A2">
      <w:pPr>
        <w:pStyle w:val="PS"/>
      </w:pPr>
      <w:r w:rsidRPr="00E965A9">
        <w:t>Mme Y est constituée débiteur du parc national de la Guadeloupe pour la somme de 68 897,93 € au titre de l’exercice 2001, augmentée des intérêts de droit calculés à compter du 13 septembre 2001.</w:t>
      </w:r>
    </w:p>
    <w:p w:rsidR="00081248" w:rsidRPr="00E965A9" w:rsidRDefault="00081248" w:rsidP="00B032A2">
      <w:pPr>
        <w:pStyle w:val="P0"/>
        <w:jc w:val="center"/>
      </w:pPr>
      <w:r w:rsidRPr="00E965A9">
        <w:t xml:space="preserve">--------------- </w:t>
      </w:r>
    </w:p>
    <w:p w:rsidR="00081248" w:rsidRPr="00E965A9" w:rsidRDefault="00081248" w:rsidP="00B032A2">
      <w:pPr>
        <w:pStyle w:val="P0"/>
        <w:jc w:val="center"/>
      </w:pPr>
    </w:p>
    <w:p w:rsidR="00081248" w:rsidRPr="00E965A9" w:rsidRDefault="00081248" w:rsidP="00B032A2">
      <w:pPr>
        <w:pStyle w:val="P0"/>
        <w:jc w:val="center"/>
      </w:pPr>
    </w:p>
    <w:p w:rsidR="00081248" w:rsidRPr="00E965A9" w:rsidRDefault="00081248" w:rsidP="00B032A2">
      <w:pPr>
        <w:pStyle w:val="PS"/>
      </w:pPr>
      <w:r w:rsidRPr="00E965A9">
        <w:t xml:space="preserve">Attendu que </w:t>
      </w:r>
      <w:r w:rsidRPr="00E965A9">
        <w:rPr>
          <w:rStyle w:val="BodyTextChar1"/>
        </w:rPr>
        <w:t xml:space="preserve">l’exacte reprise </w:t>
      </w:r>
      <w:r w:rsidRPr="00E965A9">
        <w:t xml:space="preserve">à la balance d’entrée de l’exercice 2002 </w:t>
      </w:r>
      <w:r w:rsidRPr="00E965A9">
        <w:rPr>
          <w:rStyle w:val="BodyTextChar1"/>
        </w:rPr>
        <w:t>des soldes constatés dans l’arrêt du 19 mai 2005 à la balance de sortie de l’exercice 2001 n’a pu être constatée ;</w:t>
      </w:r>
    </w:p>
    <w:p w:rsidR="00081248" w:rsidRPr="00E965A9" w:rsidRDefault="00081248" w:rsidP="00B032A2">
      <w:pPr>
        <w:pStyle w:val="PS"/>
      </w:pPr>
      <w:r w:rsidRPr="00E965A9">
        <w:t>Attendu que les décharges de :</w:t>
      </w:r>
    </w:p>
    <w:p w:rsidR="00081248" w:rsidRPr="00E965A9" w:rsidRDefault="00081248" w:rsidP="00B032A2">
      <w:pPr>
        <w:pStyle w:val="PS"/>
      </w:pPr>
      <w:r w:rsidRPr="00E965A9">
        <w:t>- M. Daniel X pour sa gestion du 1</w:t>
      </w:r>
      <w:r w:rsidRPr="00E965A9">
        <w:rPr>
          <w:vertAlign w:val="superscript"/>
        </w:rPr>
        <w:t>er</w:t>
      </w:r>
      <w:r w:rsidRPr="00E965A9">
        <w:t> janvier 1998 au 2 janvier 2000 et</w:t>
      </w:r>
    </w:p>
    <w:p w:rsidR="00081248" w:rsidRPr="00E965A9" w:rsidRDefault="00081248" w:rsidP="00B032A2">
      <w:pPr>
        <w:pStyle w:val="PS"/>
      </w:pPr>
      <w:r w:rsidRPr="00E965A9">
        <w:t xml:space="preserve">- de Mme Michèle Y pour sa gestion du 3 janvier 2000 au 31 décembre 2001 </w:t>
      </w:r>
    </w:p>
    <w:p w:rsidR="00081248" w:rsidRPr="00E965A9" w:rsidRDefault="00081248" w:rsidP="008A60CB">
      <w:pPr>
        <w:pStyle w:val="PS"/>
        <w:spacing w:after="360"/>
      </w:pPr>
      <w:r w:rsidRPr="00E965A9">
        <w:t>ne pourront intervenir qu’après apurement des débets ci-dessus prononcés ;</w:t>
      </w:r>
    </w:p>
    <w:p w:rsidR="00081248" w:rsidRPr="00E965A9" w:rsidRDefault="00081248" w:rsidP="008A60CB">
      <w:pPr>
        <w:pStyle w:val="PS"/>
        <w:spacing w:after="360"/>
        <w:rPr>
          <w:rStyle w:val="BodyTextChar1"/>
        </w:rPr>
      </w:pPr>
      <w:r w:rsidRPr="00E965A9">
        <w:t xml:space="preserve">Les opérations retracées dans les comptes des exercices 1998 à 2001 sont admises, </w:t>
      </w:r>
      <w:r w:rsidRPr="00E965A9">
        <w:rPr>
          <w:rStyle w:val="BodyTextChar1"/>
        </w:rPr>
        <w:t xml:space="preserve">à l’exception de celles donnant lieu à débet et sous réserve de l’exacte reprise par </w:t>
      </w:r>
      <w:r w:rsidRPr="00E965A9">
        <w:t xml:space="preserve">Mme Y à la balance d’entrée de l’exercice 2002 </w:t>
      </w:r>
      <w:r w:rsidRPr="00E965A9">
        <w:rPr>
          <w:rStyle w:val="BodyTextChar1"/>
        </w:rPr>
        <w:t xml:space="preserve">des soldes constatés dans l’arrêt du 19 mai 2005 à la balance de sortie de l’exercice 2001 ; </w:t>
      </w:r>
    </w:p>
    <w:p w:rsidR="00081248" w:rsidRPr="00E965A9" w:rsidRDefault="00081248" w:rsidP="008A60CB">
      <w:pPr>
        <w:pStyle w:val="PS"/>
        <w:spacing w:after="360"/>
      </w:pPr>
      <w:r w:rsidRPr="00E965A9">
        <w:t>Il est sursis à décharge de M. X pour sa gestion du 1</w:t>
      </w:r>
      <w:r w:rsidRPr="00E965A9">
        <w:rPr>
          <w:vertAlign w:val="superscript"/>
        </w:rPr>
        <w:t>er</w:t>
      </w:r>
      <w:r w:rsidRPr="00E965A9">
        <w:t xml:space="preserve"> janvier 1998 au 2 janvier 2000 et de Mme Y pour sa gestion du 3 janvier 2000 au 31 décembre 2001. </w:t>
      </w:r>
    </w:p>
    <w:p w:rsidR="00081248" w:rsidRPr="00E965A9" w:rsidRDefault="00081248" w:rsidP="00B032A2">
      <w:pPr>
        <w:pStyle w:val="P0"/>
        <w:jc w:val="center"/>
      </w:pPr>
      <w:r w:rsidRPr="00E965A9">
        <w:t xml:space="preserve">-------------- </w:t>
      </w:r>
    </w:p>
    <w:p w:rsidR="00081248" w:rsidRPr="00E965A9" w:rsidRDefault="00081248" w:rsidP="00B032A2">
      <w:pPr>
        <w:pStyle w:val="PS"/>
      </w:pPr>
      <w:r w:rsidRPr="00E965A9">
        <w:t xml:space="preserve">Fait et jugé en la Cour des comptes, septième chambre, deuxième section, le dix-huit octobre deux mil six. Présents : MM. Sallois, président, Murret-Labarthe, Richard, Devaux, Mme Darragon et M. Lefebvre, conseillers maîtres. </w:t>
      </w:r>
    </w:p>
    <w:p w:rsidR="00081248" w:rsidRPr="00E965A9" w:rsidRDefault="00081248" w:rsidP="00B032A2">
      <w:pPr>
        <w:pStyle w:val="PS"/>
      </w:pPr>
      <w:r w:rsidRPr="00E965A9">
        <w:t xml:space="preserve">Signé : Sallois, président, et Jouhaud, greffière. </w:t>
      </w:r>
    </w:p>
    <w:p w:rsidR="00081248" w:rsidRPr="00E965A9" w:rsidRDefault="00081248" w:rsidP="00B032A2">
      <w:pPr>
        <w:pStyle w:val="PS"/>
      </w:pPr>
      <w:r w:rsidRPr="00E965A9">
        <w:t xml:space="preserve">Collationné, certifié conforme à la minute étant au greffe de la Cour des comptes. </w:t>
      </w:r>
    </w:p>
    <w:p w:rsidR="00081248" w:rsidRPr="00E965A9" w:rsidRDefault="00081248" w:rsidP="00B032A2">
      <w:pPr>
        <w:pStyle w:val="PS"/>
      </w:pPr>
      <w:r w:rsidRPr="00E965A9">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081248" w:rsidRDefault="00081248">
      <w:pPr>
        <w:pStyle w:val="PS"/>
      </w:pPr>
      <w:r w:rsidRPr="00E965A9">
        <w:t>Délivré par moi, secrétaire général.</w:t>
      </w:r>
    </w:p>
    <w:sectPr w:rsidR="00081248" w:rsidSect="006367CB">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248" w:rsidRDefault="00081248">
      <w:r>
        <w:separator/>
      </w:r>
    </w:p>
  </w:endnote>
  <w:endnote w:type="continuationSeparator" w:id="1">
    <w:p w:rsidR="00081248" w:rsidRDefault="000812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248" w:rsidRDefault="00081248">
      <w:r>
        <w:separator/>
      </w:r>
    </w:p>
  </w:footnote>
  <w:footnote w:type="continuationSeparator" w:id="1">
    <w:p w:rsidR="00081248" w:rsidRDefault="000812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248" w:rsidRDefault="00081248">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14</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53EB9"/>
    <w:multiLevelType w:val="hybridMultilevel"/>
    <w:tmpl w:val="D17AC6BC"/>
    <w:lvl w:ilvl="0" w:tplc="CEA402FC">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81248"/>
    <w:rsid w:val="00095E26"/>
    <w:rsid w:val="000A7EB9"/>
    <w:rsid w:val="000D5955"/>
    <w:rsid w:val="00171BE4"/>
    <w:rsid w:val="001B0578"/>
    <w:rsid w:val="0028353C"/>
    <w:rsid w:val="002E78A2"/>
    <w:rsid w:val="004517D3"/>
    <w:rsid w:val="00563500"/>
    <w:rsid w:val="006367CB"/>
    <w:rsid w:val="00796E4A"/>
    <w:rsid w:val="008A60CB"/>
    <w:rsid w:val="00950A9D"/>
    <w:rsid w:val="009734F5"/>
    <w:rsid w:val="00A42355"/>
    <w:rsid w:val="00AA2E90"/>
    <w:rsid w:val="00B032A2"/>
    <w:rsid w:val="00B9114C"/>
    <w:rsid w:val="00DC1187"/>
    <w:rsid w:val="00E049B1"/>
    <w:rsid w:val="00E13170"/>
    <w:rsid w:val="00E87090"/>
    <w:rsid w:val="00E965A9"/>
    <w:rsid w:val="00F2710B"/>
    <w:rsid w:val="00FA3B2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187"/>
    <w:rPr>
      <w:sz w:val="20"/>
      <w:szCs w:val="20"/>
    </w:rPr>
  </w:style>
  <w:style w:type="paragraph" w:styleId="Heading1">
    <w:name w:val="heading 1"/>
    <w:basedOn w:val="Normal"/>
    <w:next w:val="Normal"/>
    <w:link w:val="Heading1Char"/>
    <w:uiPriority w:val="99"/>
    <w:qFormat/>
    <w:rsid w:val="00DC1187"/>
    <w:pPr>
      <w:spacing w:before="240"/>
      <w:outlineLvl w:val="0"/>
    </w:pPr>
    <w:rPr>
      <w:b/>
      <w:sz w:val="24"/>
      <w:u w:val="single"/>
    </w:rPr>
  </w:style>
  <w:style w:type="paragraph" w:styleId="Heading2">
    <w:name w:val="heading 2"/>
    <w:basedOn w:val="Normal"/>
    <w:next w:val="Normal"/>
    <w:link w:val="Heading2Char"/>
    <w:uiPriority w:val="99"/>
    <w:qFormat/>
    <w:rsid w:val="00DC1187"/>
    <w:pPr>
      <w:spacing w:before="120"/>
      <w:outlineLvl w:val="1"/>
    </w:pPr>
    <w:rPr>
      <w:b/>
      <w:sz w:val="24"/>
    </w:rPr>
  </w:style>
  <w:style w:type="paragraph" w:styleId="Heading3">
    <w:name w:val="heading 3"/>
    <w:basedOn w:val="Normal"/>
    <w:next w:val="NormalIndent"/>
    <w:link w:val="Heading3Char"/>
    <w:uiPriority w:val="99"/>
    <w:qFormat/>
    <w:rsid w:val="00DC1187"/>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DC1187"/>
    <w:pPr>
      <w:ind w:left="708"/>
    </w:pPr>
  </w:style>
  <w:style w:type="paragraph" w:styleId="Header">
    <w:name w:val="header"/>
    <w:basedOn w:val="Normal"/>
    <w:link w:val="HeaderChar"/>
    <w:uiPriority w:val="99"/>
    <w:rsid w:val="00DC1187"/>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DC1187"/>
    <w:rPr>
      <w:b/>
      <w:caps/>
      <w:sz w:val="24"/>
    </w:rPr>
  </w:style>
  <w:style w:type="paragraph" w:customStyle="1" w:styleId="OR">
    <w:name w:val="OR"/>
    <w:basedOn w:val="ET"/>
    <w:uiPriority w:val="99"/>
    <w:rsid w:val="00DC1187"/>
    <w:pPr>
      <w:ind w:left="5670"/>
    </w:pPr>
    <w:rPr>
      <w:b w:val="0"/>
      <w:caps w:val="0"/>
    </w:rPr>
  </w:style>
  <w:style w:type="paragraph" w:customStyle="1" w:styleId="TI">
    <w:name w:val="TI"/>
    <w:basedOn w:val="OR"/>
    <w:uiPriority w:val="99"/>
    <w:rsid w:val="00DC1187"/>
    <w:pPr>
      <w:ind w:left="1701"/>
      <w:jc w:val="center"/>
    </w:pPr>
    <w:rPr>
      <w:caps/>
      <w:u w:val="single"/>
    </w:rPr>
  </w:style>
  <w:style w:type="paragraph" w:customStyle="1" w:styleId="P0">
    <w:name w:val="P0"/>
    <w:basedOn w:val="ET"/>
    <w:uiPriority w:val="99"/>
    <w:rsid w:val="00DC1187"/>
    <w:pPr>
      <w:ind w:left="1701"/>
      <w:jc w:val="both"/>
    </w:pPr>
    <w:rPr>
      <w:b w:val="0"/>
      <w:caps w:val="0"/>
    </w:rPr>
  </w:style>
  <w:style w:type="paragraph" w:customStyle="1" w:styleId="EL">
    <w:name w:val="EL"/>
    <w:basedOn w:val="P0"/>
    <w:uiPriority w:val="99"/>
    <w:rsid w:val="00DC1187"/>
    <w:pPr>
      <w:spacing w:after="240"/>
      <w:ind w:firstLine="1418"/>
    </w:pPr>
  </w:style>
  <w:style w:type="paragraph" w:customStyle="1" w:styleId="IN">
    <w:name w:val="IN"/>
    <w:basedOn w:val="P0"/>
    <w:uiPriority w:val="99"/>
    <w:rsid w:val="00DC1187"/>
    <w:pPr>
      <w:ind w:left="0"/>
      <w:jc w:val="left"/>
    </w:pPr>
    <w:rPr>
      <w:i/>
      <w:sz w:val="16"/>
    </w:rPr>
  </w:style>
  <w:style w:type="paragraph" w:customStyle="1" w:styleId="RE">
    <w:name w:val="RE"/>
    <w:basedOn w:val="P0"/>
    <w:uiPriority w:val="99"/>
    <w:rsid w:val="00DC1187"/>
    <w:pPr>
      <w:ind w:left="0"/>
    </w:pPr>
  </w:style>
  <w:style w:type="paragraph" w:customStyle="1" w:styleId="PE">
    <w:name w:val="PE"/>
    <w:basedOn w:val="IN"/>
    <w:uiPriority w:val="99"/>
    <w:rsid w:val="00DC1187"/>
    <w:pPr>
      <w:keepNext/>
      <w:ind w:left="1701"/>
      <w:jc w:val="both"/>
    </w:pPr>
    <w:rPr>
      <w:i w:val="0"/>
      <w:sz w:val="24"/>
    </w:rPr>
  </w:style>
  <w:style w:type="paragraph" w:customStyle="1" w:styleId="PC">
    <w:name w:val="PC"/>
    <w:basedOn w:val="IN"/>
    <w:uiPriority w:val="99"/>
    <w:rsid w:val="00DC1187"/>
    <w:pPr>
      <w:spacing w:after="480"/>
      <w:ind w:left="2268" w:firstLine="1134"/>
      <w:jc w:val="both"/>
    </w:pPr>
    <w:rPr>
      <w:i w:val="0"/>
      <w:sz w:val="24"/>
    </w:rPr>
  </w:style>
  <w:style w:type="paragraph" w:customStyle="1" w:styleId="PS">
    <w:name w:val="PS"/>
    <w:basedOn w:val="IN"/>
    <w:uiPriority w:val="99"/>
    <w:rsid w:val="00DC1187"/>
    <w:pPr>
      <w:spacing w:after="480"/>
      <w:ind w:left="1701" w:firstLine="1134"/>
      <w:jc w:val="both"/>
    </w:pPr>
    <w:rPr>
      <w:i w:val="0"/>
      <w:sz w:val="24"/>
    </w:rPr>
  </w:style>
  <w:style w:type="paragraph" w:customStyle="1" w:styleId="AR">
    <w:name w:val="AR"/>
    <w:basedOn w:val="IN"/>
    <w:uiPriority w:val="99"/>
    <w:rsid w:val="00DC1187"/>
    <w:pPr>
      <w:spacing w:before="720" w:after="720"/>
      <w:ind w:left="5103"/>
    </w:pPr>
    <w:rPr>
      <w:i w:val="0"/>
      <w:caps/>
      <w:sz w:val="24"/>
      <w:u w:val="single"/>
    </w:rPr>
  </w:style>
  <w:style w:type="paragraph" w:styleId="BodyText">
    <w:name w:val="Body Text"/>
    <w:basedOn w:val="Normal"/>
    <w:link w:val="BodyTextChar1"/>
    <w:uiPriority w:val="99"/>
    <w:rsid w:val="00E13170"/>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character" w:customStyle="1" w:styleId="BodyTextChar1">
    <w:name w:val="Body Text Char1"/>
    <w:basedOn w:val="DefaultParagraphFont"/>
    <w:link w:val="BodyText"/>
    <w:uiPriority w:val="99"/>
    <w:locked/>
    <w:rsid w:val="00E13170"/>
    <w:rPr>
      <w:rFonts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14</Pages>
  <Words>4648</Words>
  <Characters>25565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Cours des Comptes</cp:lastModifiedBy>
  <cp:revision>3</cp:revision>
  <cp:lastPrinted>2006-12-07T08:05:00Z</cp:lastPrinted>
  <dcterms:created xsi:type="dcterms:W3CDTF">2007-04-24T15:42:00Z</dcterms:created>
  <dcterms:modified xsi:type="dcterms:W3CDTF">2007-04-24T15:51:00Z</dcterms:modified>
</cp:coreProperties>
</file>