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D29" w:rsidRPr="00EB6713" w:rsidRDefault="00D67D29" w:rsidP="00F53961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COUR DES COMPTES</w:t>
      </w:r>
    </w:p>
    <w:p w:rsidR="00D67D29" w:rsidRPr="00EB6713" w:rsidRDefault="00D67D29" w:rsidP="00F53961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D67D29" w:rsidRPr="00EB6713" w:rsidRDefault="00D67D29" w:rsidP="00F53961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QUATRIEME CHAMBRE</w:t>
      </w:r>
    </w:p>
    <w:p w:rsidR="00D67D29" w:rsidRPr="00EB6713" w:rsidRDefault="00D67D29" w:rsidP="00F53961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 xml:space="preserve">               --------</w:t>
      </w:r>
    </w:p>
    <w:p w:rsidR="00D67D29" w:rsidRPr="00EB6713" w:rsidRDefault="00D67D29" w:rsidP="00F53961">
      <w:pPr>
        <w:jc w:val="both"/>
        <w:rPr>
          <w:b/>
          <w:caps/>
          <w:sz w:val="24"/>
        </w:rPr>
      </w:pPr>
      <w:r w:rsidRPr="00EB6713">
        <w:rPr>
          <w:b/>
          <w:caps/>
          <w:sz w:val="24"/>
        </w:rPr>
        <w:t>PREMIERE SECTION</w:t>
      </w:r>
    </w:p>
    <w:p w:rsidR="00D67D29" w:rsidRDefault="00D67D29" w:rsidP="00F53961">
      <w:pPr>
        <w:jc w:val="both"/>
        <w:rPr>
          <w:sz w:val="24"/>
        </w:rPr>
      </w:pPr>
      <w:r>
        <w:rPr>
          <w:sz w:val="24"/>
        </w:rPr>
        <w:t xml:space="preserve">               -------</w:t>
      </w:r>
    </w:p>
    <w:p w:rsidR="00D67D29" w:rsidRPr="00846AFC" w:rsidRDefault="00D67D29" w:rsidP="00F53961">
      <w:pPr>
        <w:pStyle w:val="Header"/>
        <w:ind w:left="567"/>
        <w:rPr>
          <w:b/>
          <w:i/>
        </w:rPr>
      </w:pPr>
      <w:r w:rsidRPr="00846AFC">
        <w:rPr>
          <w:b/>
          <w:i/>
        </w:rPr>
        <w:t>Arrêt n° 48</w:t>
      </w:r>
      <w:r>
        <w:rPr>
          <w:b/>
          <w:i/>
        </w:rPr>
        <w:t>594</w:t>
      </w:r>
    </w:p>
    <w:p w:rsidR="00D67D29" w:rsidRDefault="00D67D29" w:rsidP="00F53961">
      <w:pPr>
        <w:pStyle w:val="OR"/>
      </w:pPr>
      <w:r>
        <w:t>INSTITUT NATIONAL</w:t>
      </w:r>
    </w:p>
    <w:p w:rsidR="00D67D29" w:rsidRPr="00042DE1" w:rsidRDefault="00D67D29" w:rsidP="00F53961">
      <w:pPr>
        <w:pStyle w:val="OR"/>
      </w:pPr>
      <w:r>
        <w:t>DES SCIENCES APPLIQUEES de RENNES (ILLE-ET-VILAINE)</w:t>
      </w:r>
    </w:p>
    <w:p w:rsidR="00D67D29" w:rsidRDefault="00D67D29" w:rsidP="00F53961">
      <w:pPr>
        <w:pStyle w:val="OR"/>
      </w:pPr>
    </w:p>
    <w:p w:rsidR="00D67D29" w:rsidRDefault="00D67D29" w:rsidP="00F53961">
      <w:pPr>
        <w:pStyle w:val="OR"/>
      </w:pPr>
      <w:r>
        <w:t>Appel d’un jugement de la chambre régionale des comptes de Bretagne</w:t>
      </w:r>
    </w:p>
    <w:p w:rsidR="00D67D29" w:rsidRDefault="00D67D29" w:rsidP="00F53961">
      <w:pPr>
        <w:pStyle w:val="OR"/>
      </w:pPr>
    </w:p>
    <w:p w:rsidR="00D67D29" w:rsidRDefault="00D67D29" w:rsidP="00F53961">
      <w:pPr>
        <w:pStyle w:val="OR"/>
      </w:pPr>
      <w:r>
        <w:t>Rapport n° 2007-250-0</w:t>
      </w:r>
    </w:p>
    <w:p w:rsidR="00D67D29" w:rsidRDefault="00D67D29" w:rsidP="00F53961">
      <w:pPr>
        <w:pStyle w:val="OR"/>
      </w:pPr>
    </w:p>
    <w:p w:rsidR="00D67D29" w:rsidRDefault="00D67D29" w:rsidP="00F53961">
      <w:pPr>
        <w:pStyle w:val="OR"/>
      </w:pPr>
      <w:r>
        <w:t>Audience du 26 avril 2007</w:t>
      </w:r>
    </w:p>
    <w:p w:rsidR="00D67D29" w:rsidRDefault="00D67D29" w:rsidP="00F53961">
      <w:pPr>
        <w:pStyle w:val="OR"/>
      </w:pPr>
    </w:p>
    <w:p w:rsidR="00D67D29" w:rsidRDefault="00D67D29" w:rsidP="00F53961">
      <w:pPr>
        <w:pStyle w:val="OR"/>
      </w:pPr>
      <w:r>
        <w:t>Lecture publique du 13 juin 2007</w:t>
      </w:r>
    </w:p>
    <w:p w:rsidR="00D67D29" w:rsidRDefault="00D67D29" w:rsidP="008E3D6B">
      <w:pPr>
        <w:pStyle w:val="PS"/>
      </w:pPr>
    </w:p>
    <w:p w:rsidR="00D67D29" w:rsidRDefault="00D67D29" w:rsidP="008E3D6B">
      <w:pPr>
        <w:pStyle w:val="PS"/>
      </w:pPr>
      <w:r>
        <w:t>LA COUR DES COMPTES a rendu l’arrêt suivant :</w:t>
      </w:r>
    </w:p>
    <w:p w:rsidR="00D67D29" w:rsidRPr="003D0C1A" w:rsidRDefault="00D67D29" w:rsidP="0071360B">
      <w:pPr>
        <w:pStyle w:val="PS"/>
        <w:spacing w:after="440"/>
      </w:pPr>
      <w:r w:rsidRPr="003D0C1A">
        <w:t>LA COUR,</w:t>
      </w:r>
    </w:p>
    <w:p w:rsidR="00D67D29" w:rsidRPr="003D0C1A" w:rsidRDefault="00D67D29" w:rsidP="0071360B">
      <w:pPr>
        <w:pStyle w:val="PS"/>
        <w:spacing w:after="440"/>
      </w:pPr>
      <w:r w:rsidRPr="003D0C1A">
        <w:t xml:space="preserve">Vu la requête, enregistrée le 19 mai 2006 au greffe de la chambre régionale des comptes de Bretagne, par laquelle M. X, comptable de l’INSTITUT NATIONAL DES SCIENCES APPLIQUEES </w:t>
      </w:r>
      <w:r>
        <w:t>de</w:t>
      </w:r>
      <w:r w:rsidRPr="003D0C1A">
        <w:t xml:space="preserve"> RENNES, du 30 octobre 2001 au 23</w:t>
      </w:r>
      <w:r>
        <w:t> </w:t>
      </w:r>
      <w:r w:rsidRPr="003D0C1A">
        <w:t>février 2004, a élevé appel du jugement du 28 février 2006 par lequel ladite chambre a déchargé et déclaré quitte de sa gestion M. Y, comptable dudit établissement public du 24 février au 31 août 2004 ;</w:t>
      </w:r>
    </w:p>
    <w:p w:rsidR="00D67D29" w:rsidRPr="003D0C1A" w:rsidRDefault="00D67D29" w:rsidP="0071360B">
      <w:pPr>
        <w:pStyle w:val="PS"/>
        <w:spacing w:after="440"/>
      </w:pPr>
      <w:r w:rsidRPr="003D0C1A">
        <w:t xml:space="preserve">Vu le réquisitoire du </w:t>
      </w:r>
      <w:r>
        <w:t>p</w:t>
      </w:r>
      <w:r w:rsidRPr="003D0C1A">
        <w:t>rocureur général, en date du 4 août 2006, transmettant la requête précitée ;</w:t>
      </w:r>
    </w:p>
    <w:p w:rsidR="00D67D29" w:rsidRPr="003D0C1A" w:rsidRDefault="00D67D29" w:rsidP="0071360B">
      <w:pPr>
        <w:pStyle w:val="PS"/>
        <w:spacing w:after="440"/>
      </w:pPr>
      <w:r w:rsidRPr="003D0C1A">
        <w:t>Vu les pièces de la procédure suivie en première instance ;</w:t>
      </w:r>
    </w:p>
    <w:p w:rsidR="00D67D29" w:rsidRPr="003D0C1A" w:rsidRDefault="00D67D29" w:rsidP="0071360B">
      <w:pPr>
        <w:pStyle w:val="PS"/>
        <w:spacing w:after="440"/>
      </w:pPr>
      <w:r w:rsidRPr="003D0C1A">
        <w:t>Vu l’article 60 de la loi de finances n° 63-156 du 23 février 1963 modifiée ;</w:t>
      </w:r>
    </w:p>
    <w:p w:rsidR="00D67D29" w:rsidRPr="003D0C1A" w:rsidRDefault="00D67D29" w:rsidP="0071360B">
      <w:pPr>
        <w:pStyle w:val="PS"/>
        <w:spacing w:after="440"/>
      </w:pPr>
      <w:r w:rsidRPr="003D0C1A">
        <w:t>Vu le décret n°</w:t>
      </w:r>
      <w:r>
        <w:t> </w:t>
      </w:r>
      <w:r w:rsidRPr="003D0C1A">
        <w:t>62-1587 du 29 décembre 1962 modifié portant règlement général sur la comptabilité publique ;</w:t>
      </w:r>
    </w:p>
    <w:p w:rsidR="00D67D29" w:rsidRDefault="00D67D29" w:rsidP="0071360B">
      <w:pPr>
        <w:pStyle w:val="PS"/>
        <w:spacing w:after="440"/>
      </w:pPr>
      <w:r w:rsidRPr="003D0C1A">
        <w:t>Vu le code des juridictions financières ;</w:t>
      </w:r>
    </w:p>
    <w:p w:rsidR="00D67D29" w:rsidRPr="003D0C1A" w:rsidRDefault="00D67D29" w:rsidP="0071360B">
      <w:pPr>
        <w:pStyle w:val="PS"/>
        <w:spacing w:after="240"/>
      </w:pPr>
      <w:r w:rsidRPr="003D0C1A">
        <w:t>Vu le rapport de M. Michaut, conseiller référendaire ;</w:t>
      </w:r>
    </w:p>
    <w:p w:rsidR="00D67D29" w:rsidRDefault="00D67D29" w:rsidP="003D0C1A">
      <w:pPr>
        <w:pStyle w:val="IN"/>
      </w:pPr>
    </w:p>
    <w:p w:rsidR="00D67D29" w:rsidRDefault="00D67D29" w:rsidP="003D0C1A">
      <w:pPr>
        <w:pStyle w:val="IN"/>
      </w:pPr>
      <w:r>
        <w:t>HG</w:t>
      </w:r>
      <w:r>
        <w:fldChar w:fldCharType="begin"/>
      </w:r>
      <w:r>
        <w:fldChar w:fldCharType="end"/>
      </w:r>
    </w:p>
    <w:p w:rsidR="00D67D29" w:rsidRDefault="00D67D29" w:rsidP="003D0C1A">
      <w:pPr>
        <w:pStyle w:val="P0"/>
        <w:sectPr w:rsidR="00D67D29">
          <w:pgSz w:w="11907" w:h="16840"/>
          <w:pgMar w:top="1134" w:right="1134" w:bottom="1134" w:left="567" w:header="720" w:footer="720" w:gutter="0"/>
          <w:cols w:space="720"/>
        </w:sectPr>
      </w:pPr>
    </w:p>
    <w:p w:rsidR="00D67D29" w:rsidRPr="003D0C1A" w:rsidRDefault="00D67D29" w:rsidP="0071360B">
      <w:pPr>
        <w:pStyle w:val="PS"/>
        <w:spacing w:after="440"/>
      </w:pPr>
      <w:r w:rsidRPr="003D0C1A">
        <w:t xml:space="preserve">Vu les conclusions du </w:t>
      </w:r>
      <w:r>
        <w:t>p</w:t>
      </w:r>
      <w:r w:rsidRPr="003D0C1A">
        <w:t>rocureur général ;</w:t>
      </w:r>
    </w:p>
    <w:p w:rsidR="00D67D29" w:rsidRPr="003D0C1A" w:rsidRDefault="00D67D29" w:rsidP="0071360B">
      <w:pPr>
        <w:pStyle w:val="PS"/>
        <w:spacing w:after="440"/>
      </w:pPr>
      <w:r w:rsidRPr="003D0C1A">
        <w:t>Entendu, lors de l’audience publique de ce jour, M. Michaut, rapporteur, en son rapport, M. Bertucci, premier avocat général, en ses conclusions, l’appelant, informé de l’audience, n’étant pas présent ;</w:t>
      </w:r>
    </w:p>
    <w:p w:rsidR="00D67D29" w:rsidRPr="003D0C1A" w:rsidRDefault="00D67D29" w:rsidP="0071360B">
      <w:pPr>
        <w:pStyle w:val="PS"/>
        <w:spacing w:after="440"/>
      </w:pPr>
      <w:r w:rsidRPr="003D0C1A">
        <w:t>Entendu, en délibéré, M. Moreau, conseiller maître, en ses observations ;</w:t>
      </w:r>
    </w:p>
    <w:p w:rsidR="00D67D29" w:rsidRPr="003D0C1A" w:rsidRDefault="00D67D29" w:rsidP="0071360B">
      <w:pPr>
        <w:pStyle w:val="PS"/>
        <w:spacing w:after="440"/>
        <w:rPr>
          <w:b/>
          <w:u w:val="single"/>
        </w:rPr>
      </w:pPr>
      <w:r w:rsidRPr="003D0C1A">
        <w:rPr>
          <w:b/>
          <w:u w:val="single"/>
        </w:rPr>
        <w:t>Sur la recevabilité</w:t>
      </w:r>
    </w:p>
    <w:p w:rsidR="00D67D29" w:rsidRPr="003D0C1A" w:rsidRDefault="00D67D29" w:rsidP="0071360B">
      <w:pPr>
        <w:pStyle w:val="PS"/>
        <w:spacing w:after="440"/>
      </w:pPr>
      <w:r w:rsidRPr="003D0C1A">
        <w:t>Attendu que</w:t>
      </w:r>
      <w:r>
        <w:t>,</w:t>
      </w:r>
      <w:r w:rsidRPr="003D0C1A">
        <w:t xml:space="preserve"> par jugement du 28 février 2006 précité, la chambre régionale des comptes de Bretagne, statuant sur les comptes successivement produits par M.</w:t>
      </w:r>
      <w:r>
        <w:t> </w:t>
      </w:r>
      <w:r w:rsidRPr="003D0C1A">
        <w:t>Z, M. X, M. Y et Mme A, a déchargé M. Z de sa gestion et l’en a déclaré quitte, a prononcé une réserve et deux injonctions à l’égard de M. X, a déchargé M. Y et l’a déclaré quitte de sa gestion et a prononcé trois injonctions sur la gestion de Mme A ;</w:t>
      </w:r>
    </w:p>
    <w:p w:rsidR="00D67D29" w:rsidRPr="003D0C1A" w:rsidRDefault="00D67D29" w:rsidP="0071360B">
      <w:pPr>
        <w:pStyle w:val="PS"/>
        <w:spacing w:after="440"/>
      </w:pPr>
      <w:r w:rsidRPr="003D0C1A">
        <w:t>Attendu qu’en application de l’article R.</w:t>
      </w:r>
      <w:r>
        <w:t> </w:t>
      </w:r>
      <w:r w:rsidRPr="003D0C1A">
        <w:t>243-2 du code des juridictions financières, la faculté de former appel appartient aux comptables ; qu’ont ainsi qualité pour agir tous les comptables dont les comptes sont en jugement ;</w:t>
      </w:r>
    </w:p>
    <w:p w:rsidR="00D67D29" w:rsidRPr="003D0C1A" w:rsidRDefault="00D67D29" w:rsidP="0071360B">
      <w:pPr>
        <w:pStyle w:val="PS"/>
        <w:spacing w:after="440"/>
      </w:pPr>
      <w:r w:rsidRPr="003D0C1A">
        <w:t>Attendu que la décharge et le quitus éventuel accordés par une chambre régionale à un comptable et donc l’impossibilité, au terme du délai d’appel, de mettre en jeu sa responsabilité personnelle et  pécuniaire, ne sont de nature à causer préjudice qu’à la collectivité ou à l’établissement auquel il est attaché ; qu’en aucun cas la décharge d’un comptable n’emporte transfert de responsabilité personnelle vers un autre prédécesseur ou successeur ; que dans ces conditions la décharge accordée à M. Y est sans incidence sur la situation personnelle de M. X et ne peut constituer un grief à son encontre ;</w:t>
      </w:r>
    </w:p>
    <w:p w:rsidR="00D67D29" w:rsidRPr="003D0C1A" w:rsidRDefault="00D67D29" w:rsidP="0071360B">
      <w:pPr>
        <w:pStyle w:val="PS"/>
        <w:spacing w:after="440"/>
      </w:pPr>
      <w:r w:rsidRPr="003D0C1A">
        <w:t>Attendu, dès lors, M. X doit être considéré comme dépourvu d’intérêt pour agir ; que, sans qu’il soit besoin d’examiner les moyens,  sa requête doit être déclarée irrecevable ;</w:t>
      </w:r>
    </w:p>
    <w:p w:rsidR="00D67D29" w:rsidRPr="003D0C1A" w:rsidRDefault="00D67D29" w:rsidP="0071360B">
      <w:pPr>
        <w:pStyle w:val="PS"/>
        <w:spacing w:after="440"/>
      </w:pPr>
      <w:r w:rsidRPr="003D0C1A">
        <w:t>Par ces motifs,</w:t>
      </w:r>
    </w:p>
    <w:p w:rsidR="00D67D29" w:rsidRPr="003D0C1A" w:rsidRDefault="00D67D29" w:rsidP="0071360B">
      <w:pPr>
        <w:pStyle w:val="PS"/>
        <w:spacing w:after="440"/>
        <w:ind w:firstLine="0"/>
        <w:jc w:val="center"/>
      </w:pPr>
      <w:r w:rsidRPr="003D0C1A">
        <w:t>STATUANT DEFINITIVEMENT</w:t>
      </w:r>
      <w:r>
        <w:t>,</w:t>
      </w:r>
    </w:p>
    <w:p w:rsidR="00D67D29" w:rsidRPr="003D0C1A" w:rsidRDefault="00D67D29" w:rsidP="0071360B">
      <w:pPr>
        <w:pStyle w:val="PS"/>
        <w:spacing w:after="440"/>
        <w:ind w:firstLine="0"/>
        <w:jc w:val="center"/>
      </w:pPr>
      <w:r w:rsidRPr="003D0C1A">
        <w:t>ORDONNE :</w:t>
      </w:r>
    </w:p>
    <w:p w:rsidR="00D67D29" w:rsidRPr="003D0C1A" w:rsidRDefault="00D67D29" w:rsidP="0071360B">
      <w:pPr>
        <w:pStyle w:val="PS"/>
        <w:spacing w:after="440"/>
      </w:pPr>
      <w:r w:rsidRPr="003D0C1A">
        <w:t xml:space="preserve">La requête de M. X est </w:t>
      </w:r>
      <w:r>
        <w:t>rejetée</w:t>
      </w:r>
      <w:r w:rsidRPr="003D0C1A">
        <w:t>.</w:t>
      </w:r>
    </w:p>
    <w:p w:rsidR="00D67D29" w:rsidRPr="003D0C1A" w:rsidRDefault="00D67D29" w:rsidP="0071360B">
      <w:pPr>
        <w:pStyle w:val="PS"/>
        <w:ind w:firstLine="0"/>
        <w:jc w:val="center"/>
      </w:pPr>
      <w:r w:rsidRPr="003D0C1A">
        <w:t>------------</w:t>
      </w:r>
    </w:p>
    <w:p w:rsidR="00D67D29" w:rsidRPr="003D0C1A" w:rsidRDefault="00D67D29" w:rsidP="003D0C1A">
      <w:pPr>
        <w:pStyle w:val="PS"/>
      </w:pPr>
      <w:r w:rsidRPr="003D0C1A">
        <w:t>Fait et jugé en la Cour des comptes, quatrième chambre, première section. Présents, MM</w:t>
      </w:r>
      <w:r>
        <w:t>.</w:t>
      </w:r>
      <w:r w:rsidRPr="003D0C1A">
        <w:t xml:space="preserve"> Billaud, président, Cretin, président de chambre maintenu en </w:t>
      </w:r>
      <w:r>
        <w:t>qualité de conseiller</w:t>
      </w:r>
      <w:r w:rsidRPr="003D0C1A">
        <w:t xml:space="preserve"> </w:t>
      </w:r>
      <w:r>
        <w:t>maître</w:t>
      </w:r>
      <w:r w:rsidRPr="003D0C1A">
        <w:t>, Moreau, Vianès, Ganser, Ritz, Martin, Uguen</w:t>
      </w:r>
      <w:r>
        <w:t>, conseillers maîtres</w:t>
      </w:r>
      <w:r w:rsidRPr="003D0C1A">
        <w:t>.</w:t>
      </w:r>
    </w:p>
    <w:p w:rsidR="00D67D29" w:rsidRPr="003D0C1A" w:rsidRDefault="00D67D29" w:rsidP="003D0C1A">
      <w:pPr>
        <w:pStyle w:val="PS"/>
      </w:pPr>
      <w:r w:rsidRPr="003D0C1A">
        <w:t>Signé : Reynaud, greffier, et Billaud, président de section</w:t>
      </w:r>
      <w:r>
        <w:t>.</w:t>
      </w:r>
    </w:p>
    <w:p w:rsidR="00D67D29" w:rsidRPr="003D0C1A" w:rsidRDefault="00D67D29" w:rsidP="0071360B">
      <w:pPr>
        <w:pStyle w:val="PS"/>
      </w:pPr>
      <w:r>
        <w:t>Collationné, certifié conforme à la minute étant au greffe de la Cour des comptes et délivré par moi, secrétaire générale.</w:t>
      </w:r>
    </w:p>
    <w:sectPr w:rsidR="00D67D29" w:rsidRPr="003D0C1A" w:rsidSect="0071360B">
      <w:headerReference w:type="default" r:id="rId6"/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D29" w:rsidRDefault="00D67D29">
      <w:r>
        <w:separator/>
      </w:r>
    </w:p>
  </w:endnote>
  <w:endnote w:type="continuationSeparator" w:id="1">
    <w:p w:rsidR="00D67D29" w:rsidRDefault="00D67D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D29" w:rsidRDefault="00D67D29">
      <w:r>
        <w:separator/>
      </w:r>
    </w:p>
  </w:footnote>
  <w:footnote w:type="continuationSeparator" w:id="1">
    <w:p w:rsidR="00D67D29" w:rsidRDefault="00D67D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D29" w:rsidRDefault="00D67D29" w:rsidP="0071360B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42DE1"/>
    <w:rsid w:val="001568F4"/>
    <w:rsid w:val="003D0C1A"/>
    <w:rsid w:val="005B3834"/>
    <w:rsid w:val="006201C9"/>
    <w:rsid w:val="0071360B"/>
    <w:rsid w:val="008156AF"/>
    <w:rsid w:val="00846AFC"/>
    <w:rsid w:val="00877202"/>
    <w:rsid w:val="008E3D6B"/>
    <w:rsid w:val="009D46D0"/>
    <w:rsid w:val="00A15882"/>
    <w:rsid w:val="00A836CB"/>
    <w:rsid w:val="00CA5919"/>
    <w:rsid w:val="00CE2FDA"/>
    <w:rsid w:val="00D67D29"/>
    <w:rsid w:val="00E00058"/>
    <w:rsid w:val="00E01D68"/>
    <w:rsid w:val="00EA73FB"/>
    <w:rsid w:val="00EB6713"/>
    <w:rsid w:val="00F53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2FDA"/>
    <w:pPr>
      <w:keepNext/>
      <w:ind w:left="5670"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DA"/>
    <w:pPr>
      <w:keepNext/>
      <w:outlineLvl w:val="4"/>
    </w:pPr>
    <w:rPr>
      <w:sz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A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3A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3A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3A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A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A8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paragraph" w:styleId="BodyText">
    <w:name w:val="Body Text"/>
    <w:basedOn w:val="Normal"/>
    <w:link w:val="BodyTextChar"/>
    <w:uiPriority w:val="99"/>
    <w:rsid w:val="00CE2FDA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B63A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CE2FDA"/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63A8"/>
    <w:rPr>
      <w:sz w:val="20"/>
      <w:szCs w:val="20"/>
    </w:rPr>
  </w:style>
  <w:style w:type="paragraph" w:customStyle="1" w:styleId="paragraphe">
    <w:name w:val="paragraphe"/>
    <w:uiPriority w:val="99"/>
    <w:rsid w:val="00CE2FDA"/>
    <w:pPr>
      <w:spacing w:after="240" w:line="240" w:lineRule="exact"/>
      <w:ind w:left="2268" w:firstLine="1418"/>
      <w:jc w:val="both"/>
    </w:pPr>
    <w:rPr>
      <w:rFonts w:ascii="Tms Rmn" w:hAnsi="Tms Rmn"/>
      <w:sz w:val="24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CE2FDA"/>
    <w:rPr>
      <w:rFonts w:cs="Times New Roman"/>
      <w:sz w:val="24"/>
      <w:szCs w:val="24"/>
      <w:lang w:val="fr-FR" w:eastAsia="fr-FR" w:bidi="ar-SA"/>
    </w:rPr>
  </w:style>
  <w:style w:type="paragraph" w:styleId="BalloonText">
    <w:name w:val="Balloon Text"/>
    <w:basedOn w:val="Normal"/>
    <w:link w:val="BalloonTextChar"/>
    <w:uiPriority w:val="99"/>
    <w:semiHidden/>
    <w:rsid w:val="00CE2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A8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71360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B63A8"/>
    <w:rPr>
      <w:sz w:val="20"/>
      <w:szCs w:val="20"/>
    </w:rPr>
  </w:style>
  <w:style w:type="character" w:styleId="PageNumber">
    <w:name w:val="page number"/>
    <w:basedOn w:val="DefaultParagraphFont"/>
    <w:uiPriority w:val="99"/>
    <w:rsid w:val="0071360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%20dactylographie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561</Words>
  <Characters>3088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mntoth</dc:creator>
  <cp:keywords>FC</cp:keywords>
  <dc:description/>
  <cp:lastModifiedBy>Cours des Comptes</cp:lastModifiedBy>
  <cp:revision>2</cp:revision>
  <cp:lastPrinted>2007-05-25T13:47:00Z</cp:lastPrinted>
  <dcterms:created xsi:type="dcterms:W3CDTF">2007-07-10T14:23:00Z</dcterms:created>
  <dcterms:modified xsi:type="dcterms:W3CDTF">2007-07-10T14:23:00Z</dcterms:modified>
</cp:coreProperties>
</file>