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189" w:rsidRPr="0058101F" w:rsidRDefault="002C7189">
      <w:pPr>
        <w:pStyle w:val="ET"/>
      </w:pPr>
      <w:r w:rsidRPr="0058101F">
        <w:t>COUR DES COMPTES</w:t>
      </w:r>
    </w:p>
    <w:p w:rsidR="002C7189" w:rsidRPr="0058101F" w:rsidRDefault="002C7189">
      <w:pPr>
        <w:pStyle w:val="ET"/>
      </w:pPr>
      <w:r w:rsidRPr="0058101F">
        <w:tab/>
        <w:t xml:space="preserve">    ------ </w:t>
      </w:r>
    </w:p>
    <w:p w:rsidR="002C7189" w:rsidRPr="0058101F" w:rsidRDefault="002C7189">
      <w:pPr>
        <w:pStyle w:val="ET"/>
      </w:pPr>
      <w:r w:rsidRPr="0058101F">
        <w:t>SEPTIEME CHAMBRE</w:t>
      </w:r>
    </w:p>
    <w:p w:rsidR="002C7189" w:rsidRPr="0058101F" w:rsidRDefault="002C7189" w:rsidP="000434DD">
      <w:pPr>
        <w:pStyle w:val="ET"/>
      </w:pPr>
      <w:r w:rsidRPr="0058101F">
        <w:tab/>
        <w:t xml:space="preserve">    ------ </w:t>
      </w:r>
    </w:p>
    <w:p w:rsidR="002C7189" w:rsidRPr="0058101F" w:rsidRDefault="002C7189">
      <w:pPr>
        <w:pStyle w:val="ET"/>
      </w:pPr>
      <w:r w:rsidRPr="0058101F">
        <w:t>TROISIEMe SECTION</w:t>
      </w:r>
    </w:p>
    <w:p w:rsidR="002C7189" w:rsidRPr="0058101F" w:rsidRDefault="002C7189">
      <w:pPr>
        <w:pStyle w:val="ET"/>
      </w:pPr>
      <w:r w:rsidRPr="0058101F">
        <w:tab/>
        <w:t xml:space="preserve">    ------ </w:t>
      </w:r>
    </w:p>
    <w:p w:rsidR="002C7189" w:rsidRPr="0058101F" w:rsidRDefault="002C7189" w:rsidP="000434DD">
      <w:pPr>
        <w:pStyle w:val="Header"/>
        <w:rPr>
          <w:b/>
          <w:bCs/>
          <w:i/>
          <w:iCs/>
        </w:rPr>
      </w:pPr>
      <w:r w:rsidRPr="0058101F">
        <w:t xml:space="preserve">       </w:t>
      </w:r>
      <w:r w:rsidRPr="0058101F">
        <w:rPr>
          <w:b/>
          <w:bCs/>
          <w:i/>
          <w:iCs/>
        </w:rPr>
        <w:t>Arrêt n° 51504</w:t>
      </w:r>
      <w:r>
        <w:fldChar w:fldCharType="begin"/>
      </w:r>
      <w:r>
        <w:fldChar w:fldCharType="end"/>
      </w:r>
    </w:p>
    <w:p w:rsidR="002C7189" w:rsidRPr="0058101F" w:rsidRDefault="002C7189" w:rsidP="00211F07">
      <w:pPr>
        <w:pStyle w:val="OR"/>
        <w:ind w:left="5387" w:right="-284"/>
      </w:pPr>
      <w:r w:rsidRPr="0058101F">
        <w:t>ECOLE NATIONALE VETERINAIRE D’ALFORT</w:t>
      </w:r>
    </w:p>
    <w:p w:rsidR="002C7189" w:rsidRPr="0058101F" w:rsidRDefault="002C7189" w:rsidP="00211F07">
      <w:pPr>
        <w:pStyle w:val="OR"/>
        <w:ind w:left="5387"/>
      </w:pPr>
    </w:p>
    <w:p w:rsidR="002C7189" w:rsidRPr="0058101F" w:rsidRDefault="002C7189" w:rsidP="00211F07">
      <w:pPr>
        <w:pStyle w:val="OR"/>
        <w:ind w:left="5387"/>
      </w:pPr>
      <w:r w:rsidRPr="0058101F">
        <w:t>Exercices 1997 à 2005</w:t>
      </w:r>
    </w:p>
    <w:p w:rsidR="002C7189" w:rsidRPr="0058101F" w:rsidRDefault="002C7189" w:rsidP="00211F07">
      <w:pPr>
        <w:pStyle w:val="OR"/>
        <w:ind w:left="5387"/>
      </w:pPr>
    </w:p>
    <w:p w:rsidR="002C7189" w:rsidRPr="0058101F" w:rsidRDefault="002C7189" w:rsidP="00211F07">
      <w:pPr>
        <w:pStyle w:val="OR"/>
        <w:ind w:left="5387"/>
      </w:pPr>
      <w:r w:rsidRPr="0058101F">
        <w:t>Rapport n° 2008-81-0</w:t>
      </w:r>
    </w:p>
    <w:p w:rsidR="002C7189" w:rsidRPr="0058101F" w:rsidRDefault="002C7189" w:rsidP="00211F07">
      <w:pPr>
        <w:pStyle w:val="OR"/>
        <w:ind w:left="5387"/>
      </w:pPr>
    </w:p>
    <w:p w:rsidR="002C7189" w:rsidRPr="0058101F" w:rsidRDefault="002C7189" w:rsidP="00211F07">
      <w:pPr>
        <w:pStyle w:val="OR"/>
        <w:ind w:left="5387"/>
      </w:pPr>
      <w:r w:rsidRPr="0058101F">
        <w:t>Audience publique et délibéré du 12 mars 2008</w:t>
      </w:r>
    </w:p>
    <w:p w:rsidR="002C7189" w:rsidRPr="0058101F" w:rsidRDefault="002C7189" w:rsidP="00CE42F4">
      <w:pPr>
        <w:pStyle w:val="OR"/>
        <w:ind w:left="5387"/>
      </w:pPr>
    </w:p>
    <w:p w:rsidR="002C7189" w:rsidRPr="0058101F" w:rsidRDefault="002C7189" w:rsidP="00CE42F4">
      <w:pPr>
        <w:pStyle w:val="OR"/>
        <w:ind w:left="5387"/>
      </w:pPr>
      <w:r w:rsidRPr="0058101F">
        <w:t>Lecture publique du 16 avril 2008</w:t>
      </w:r>
    </w:p>
    <w:p w:rsidR="002C7189" w:rsidRPr="0058101F" w:rsidRDefault="002C7189" w:rsidP="00CE42F4">
      <w:pPr>
        <w:pStyle w:val="OR"/>
        <w:ind w:left="5387"/>
      </w:pPr>
    </w:p>
    <w:p w:rsidR="002C7189" w:rsidRPr="0058101F" w:rsidRDefault="002C7189" w:rsidP="00211F07">
      <w:pPr>
        <w:pStyle w:val="P0"/>
        <w:jc w:val="center"/>
      </w:pPr>
      <w:r w:rsidRPr="0058101F">
        <w:t>REPUBLIQUE FRANCAISE</w:t>
      </w:r>
    </w:p>
    <w:p w:rsidR="002C7189" w:rsidRPr="0058101F" w:rsidRDefault="002C7189" w:rsidP="00211F07">
      <w:pPr>
        <w:pStyle w:val="P0"/>
        <w:jc w:val="center"/>
      </w:pPr>
    </w:p>
    <w:p w:rsidR="002C7189" w:rsidRPr="0058101F" w:rsidRDefault="002C7189" w:rsidP="00211F07">
      <w:pPr>
        <w:pStyle w:val="P0"/>
        <w:jc w:val="center"/>
      </w:pPr>
      <w:r w:rsidRPr="0058101F">
        <w:t>AU NOM DU PEUPLE FRANÇAIS</w:t>
      </w:r>
    </w:p>
    <w:p w:rsidR="002C7189" w:rsidRPr="0058101F" w:rsidRDefault="002C7189" w:rsidP="00211F07">
      <w:pPr>
        <w:pStyle w:val="P0"/>
        <w:jc w:val="center"/>
      </w:pPr>
    </w:p>
    <w:p w:rsidR="002C7189" w:rsidRPr="0058101F" w:rsidRDefault="002C7189" w:rsidP="00211F07">
      <w:pPr>
        <w:pStyle w:val="P0"/>
        <w:jc w:val="center"/>
      </w:pPr>
      <w:r w:rsidRPr="0058101F">
        <w:t>LA COUR DES COMPTES a rendu l’arrêt suivant :</w:t>
      </w:r>
    </w:p>
    <w:p w:rsidR="002C7189" w:rsidRPr="0058101F" w:rsidRDefault="002C7189" w:rsidP="00211F07">
      <w:pPr>
        <w:pStyle w:val="P0"/>
        <w:jc w:val="center"/>
      </w:pPr>
    </w:p>
    <w:p w:rsidR="002C7189" w:rsidRPr="0058101F" w:rsidRDefault="002C7189" w:rsidP="003507EE">
      <w:pPr>
        <w:pStyle w:val="PS"/>
        <w:spacing w:after="360"/>
      </w:pPr>
      <w:r w:rsidRPr="0058101F">
        <w:t>LA COUR,</w:t>
      </w:r>
    </w:p>
    <w:p w:rsidR="002C7189" w:rsidRPr="0058101F" w:rsidRDefault="002C7189" w:rsidP="003507EE">
      <w:pPr>
        <w:pStyle w:val="PS"/>
        <w:spacing w:after="360"/>
      </w:pPr>
      <w:r w:rsidRPr="0058101F">
        <w:t>Vu l’arrêt n° 49280 en date du 9 mai 2007 par lequel elle a statué sur les comptes rendus en qualité de comptables publics de l’ECOLE NATIONALE VETERINAIRE D’ALFORT (ENVA) pour les exercices 1997 à 2005, par M. Giuseppe X du 1er janvier au 29 septembre 1997, M. Jacques Y du 30 septembre 1997 au 30 novembre 2000, Mme Geneviève Z du 1</w:t>
      </w:r>
      <w:r w:rsidRPr="0058101F">
        <w:rPr>
          <w:vertAlign w:val="superscript"/>
        </w:rPr>
        <w:t>er</w:t>
      </w:r>
      <w:r w:rsidRPr="0058101F">
        <w:t> décembre 2000 au 1er septembre 2002, et par M. Patrick A à compter du 2 septembre 2002 ;</w:t>
      </w:r>
    </w:p>
    <w:p w:rsidR="002C7189" w:rsidRPr="0058101F" w:rsidRDefault="002C7189" w:rsidP="003507EE">
      <w:pPr>
        <w:pStyle w:val="PS"/>
        <w:spacing w:after="360"/>
      </w:pPr>
      <w:r w:rsidRPr="0058101F">
        <w:t>Vu les justifications produites en exécution dudit arrêt par M. Y, en date du 8 novembre 2007, enregistrées au greffe central de la Cour le 12 novembre 2007 ;</w:t>
      </w:r>
    </w:p>
    <w:p w:rsidR="002C7189" w:rsidRPr="0058101F" w:rsidRDefault="002C7189" w:rsidP="003507EE">
      <w:pPr>
        <w:pStyle w:val="PS"/>
        <w:spacing w:after="360"/>
      </w:pPr>
      <w:r w:rsidRPr="0058101F">
        <w:t>Vu les justifications complémentaires transmises par lettre du 15 novembre 2007, enregistrée au greffe central de la Cour le 22 novembre 2007 ;</w:t>
      </w:r>
    </w:p>
    <w:p w:rsidR="002C7189" w:rsidRPr="0058101F" w:rsidRDefault="002C7189" w:rsidP="003507EE">
      <w:pPr>
        <w:pStyle w:val="PS"/>
        <w:spacing w:after="360"/>
      </w:pPr>
      <w:r w:rsidRPr="0058101F">
        <w:t xml:space="preserve">Vu le code des juridictions financières, notamment l’article L. 111-1 ; </w:t>
      </w:r>
    </w:p>
    <w:p w:rsidR="002C7189" w:rsidRPr="0058101F" w:rsidRDefault="002C7189" w:rsidP="003507EE">
      <w:pPr>
        <w:pStyle w:val="PS"/>
        <w:spacing w:after="360"/>
      </w:pPr>
      <w:r w:rsidRPr="0058101F">
        <w:t xml:space="preserve">Vu l’article 60 de la loi de finances du 23 février 1963 modifiée ; </w:t>
      </w:r>
    </w:p>
    <w:p w:rsidR="002C7189" w:rsidRPr="0058101F" w:rsidRDefault="002C7189" w:rsidP="003507EE">
      <w:pPr>
        <w:pStyle w:val="PS"/>
        <w:spacing w:after="360"/>
      </w:pPr>
      <w:r w:rsidRPr="0058101F">
        <w:t>Vu les lois et règlements régissant les établissements publics à caractère administratif et le décret n° 62-1587 du 29 décembre 1962 portant règlement général sur la comptabilité publique ;</w:t>
      </w:r>
    </w:p>
    <w:p w:rsidR="002C7189" w:rsidRPr="0058101F" w:rsidRDefault="002C7189" w:rsidP="00211F07">
      <w:pPr>
        <w:pStyle w:val="PS"/>
        <w:spacing w:after="120"/>
      </w:pPr>
      <w:r w:rsidRPr="0058101F">
        <w:t>Vu l’exacte reprise dans la balance d’entrée du compte 2006 des soldes arrêtés à la clôture de l’exercice 2005 ;</w:t>
      </w:r>
    </w:p>
    <w:p w:rsidR="002C7189" w:rsidRPr="0058101F" w:rsidRDefault="002C7189" w:rsidP="001D0F6F">
      <w:pPr>
        <w:pStyle w:val="IN"/>
      </w:pPr>
      <w:r w:rsidRPr="0058101F">
        <w:t>MNT</w:t>
      </w:r>
    </w:p>
    <w:p w:rsidR="002C7189" w:rsidRPr="0058101F" w:rsidRDefault="002C7189" w:rsidP="00CE42F4">
      <w:pPr>
        <w:pStyle w:val="PS"/>
        <w:sectPr w:rsidR="002C7189" w:rsidRPr="0058101F" w:rsidSect="001D0F6F">
          <w:headerReference w:type="default" r:id="rId7"/>
          <w:pgSz w:w="11907" w:h="16840" w:code="9"/>
          <w:pgMar w:top="907" w:right="1134" w:bottom="907" w:left="567" w:header="720" w:footer="720" w:gutter="0"/>
          <w:cols w:space="720"/>
          <w:titlePg/>
        </w:sectPr>
      </w:pPr>
    </w:p>
    <w:p w:rsidR="002C7189" w:rsidRPr="0058101F" w:rsidRDefault="002C7189" w:rsidP="00CE42F4">
      <w:pPr>
        <w:pStyle w:val="PS"/>
      </w:pPr>
      <w:r w:rsidRPr="0058101F">
        <w:t xml:space="preserve">Vu la lettre du 12 février 2008 par laquelle le président de la septième chambre a informé M. Y ainsi que le comptable en fonction et le directeur de l’Ecole nationale vétérinaire d’Alfort de la tenue de l’audience publique de ce jour, ensemble leurs accusés de réception ; </w:t>
      </w:r>
    </w:p>
    <w:p w:rsidR="002C7189" w:rsidRPr="0058101F" w:rsidRDefault="002C7189" w:rsidP="00CE42F4">
      <w:pPr>
        <w:pStyle w:val="PS"/>
      </w:pPr>
      <w:r w:rsidRPr="0058101F">
        <w:t>Vu la procuration de M. B, directeur, à M. C, responsable du service financier ;</w:t>
      </w:r>
    </w:p>
    <w:p w:rsidR="002C7189" w:rsidRPr="0058101F" w:rsidRDefault="002C7189" w:rsidP="00CE42F4">
      <w:pPr>
        <w:pStyle w:val="PS"/>
      </w:pPr>
      <w:r w:rsidRPr="0058101F">
        <w:t xml:space="preserve">Sur le rapport de M. Jean-Pierre Lafaure, conseiller maître ; </w:t>
      </w:r>
    </w:p>
    <w:p w:rsidR="002C7189" w:rsidRPr="0058101F" w:rsidRDefault="002C7189" w:rsidP="00CE42F4">
      <w:pPr>
        <w:pStyle w:val="PS"/>
      </w:pPr>
      <w:r w:rsidRPr="0058101F">
        <w:t>Vu les conclusions n° 116 du Procureur général de la République en date du 13 février 2008 ;</w:t>
      </w:r>
    </w:p>
    <w:p w:rsidR="002C7189" w:rsidRPr="0058101F" w:rsidRDefault="002C7189" w:rsidP="00CE42F4">
      <w:pPr>
        <w:pStyle w:val="PS"/>
      </w:pPr>
      <w:r w:rsidRPr="0058101F">
        <w:t>Entendu à l’audience publique M. Lafaure en son rapport et M. Perrin, avocat général, en ses observations orales, M. C, responsable du service financier, représentant M. B, directeur de l’école, la défense ayant eu la parole en dernier ;</w:t>
      </w:r>
    </w:p>
    <w:p w:rsidR="002C7189" w:rsidRPr="0058101F" w:rsidRDefault="002C7189" w:rsidP="00CE42F4">
      <w:pPr>
        <w:pStyle w:val="PS"/>
      </w:pPr>
      <w:r w:rsidRPr="0058101F">
        <w:t>Entendu à huit clos, le ministère public et le rapporteur s’étant retirés, M. Jean-Louis Berthet, conseiller maître, contre-rapporteur, en ses observations ;</w:t>
      </w:r>
    </w:p>
    <w:p w:rsidR="002C7189" w:rsidRPr="0058101F" w:rsidRDefault="002C7189" w:rsidP="006D7A3E">
      <w:pPr>
        <w:pStyle w:val="PS"/>
      </w:pPr>
      <w:r w:rsidRPr="0058101F">
        <w:t>Considérant que le compte de l’exercice 1999 a été déposé antérieurement au 31 décembre 2001 et que la responsabilité du comptable se trouve prescrite en application de l’article 60 de la loi de finances du 23 février 1963 modifié ; qu’il en résulte que M. Y est déchargé de sa gestion pour la période comprise entre le 1</w:t>
      </w:r>
      <w:r w:rsidRPr="0058101F">
        <w:rPr>
          <w:vertAlign w:val="superscript"/>
        </w:rPr>
        <w:t>er</w:t>
      </w:r>
      <w:r w:rsidRPr="0058101F">
        <w:t> janvier et le 31 décembre 1999 par effet direct de la loi ;</w:t>
      </w:r>
    </w:p>
    <w:p w:rsidR="002C7189" w:rsidRPr="0058101F" w:rsidRDefault="002C7189" w:rsidP="001D0F6F">
      <w:pPr>
        <w:pStyle w:val="PS"/>
        <w:jc w:val="center"/>
      </w:pPr>
      <w:r w:rsidRPr="0058101F">
        <w:t>STATUANT DEFINITIVEMENT,</w:t>
      </w:r>
    </w:p>
    <w:p w:rsidR="002C7189" w:rsidRPr="0058101F" w:rsidRDefault="002C7189" w:rsidP="001D0F6F">
      <w:pPr>
        <w:pStyle w:val="PS"/>
        <w:jc w:val="center"/>
      </w:pPr>
      <w:r w:rsidRPr="0058101F">
        <w:t>ORDONNE :</w:t>
      </w:r>
    </w:p>
    <w:p w:rsidR="002C7189" w:rsidRPr="0058101F" w:rsidRDefault="002C7189" w:rsidP="00CE42F4">
      <w:pPr>
        <w:pStyle w:val="PS"/>
        <w:rPr>
          <w:u w:val="single"/>
        </w:rPr>
      </w:pPr>
      <w:r w:rsidRPr="0058101F">
        <w:rPr>
          <w:u w:val="single"/>
        </w:rPr>
        <w:t>Sur l’injonction de l’arrêt du 9 mai 2007</w:t>
      </w:r>
    </w:p>
    <w:p w:rsidR="002C7189" w:rsidRDefault="002C7189" w:rsidP="00CE42F4">
      <w:pPr>
        <w:pStyle w:val="PS"/>
      </w:pPr>
      <w:r w:rsidRPr="0058101F">
        <w:t>Attendu que le 10 septembre 1999, l’Ecole nationale vétérinaire d’Alfort a signé avec la société Hoechst Roussel Vet, pour une période d’un an à compter du 1</w:t>
      </w:r>
      <w:r w:rsidRPr="0058101F">
        <w:rPr>
          <w:vertAlign w:val="superscript"/>
        </w:rPr>
        <w:t>er</w:t>
      </w:r>
      <w:r w:rsidRPr="0058101F">
        <w:t xml:space="preserve"> octobre 1999, un avenant n° 1 à la convention de ressources affectées n° 03 A 80013, ayant pour objet l’exécution de travaux de recherche sur « la clinique gériatrique » ; que ledit avenant fixait le montant de la contribution financière du cocontractant à 36 770,70 € TTC ; que le paiement par le comptable, le 15 mars 2000, du mandat n° 1205 et des mandats suivants a occasionné le dépassement du seuil de 30 % maximum d’avance autorisée pour cet avenant ; que le montant de ces paiements irréguliers, retracé dans le tableau ci-dessous, s’élève à 16 792,61 € ; qu’il a été enjoint à M. Y de produire la preuve du reversement des montants indûment payés dans la caisse de l’établissement, ou à défaut, toute autre justification à décharge ; </w:t>
      </w:r>
    </w:p>
    <w:tbl>
      <w:tblPr>
        <w:tblW w:w="10190" w:type="dxa"/>
        <w:tblInd w:w="286" w:type="dxa"/>
        <w:tblLayout w:type="fixed"/>
        <w:tblCellMar>
          <w:left w:w="30" w:type="dxa"/>
          <w:right w:w="30" w:type="dxa"/>
        </w:tblCellMar>
        <w:tblLook w:val="0000"/>
      </w:tblPr>
      <w:tblGrid>
        <w:gridCol w:w="583"/>
        <w:gridCol w:w="963"/>
        <w:gridCol w:w="1120"/>
        <w:gridCol w:w="680"/>
        <w:gridCol w:w="2208"/>
        <w:gridCol w:w="1135"/>
        <w:gridCol w:w="1231"/>
        <w:gridCol w:w="1135"/>
        <w:gridCol w:w="1135"/>
      </w:tblGrid>
      <w:tr w:rsidR="002C7189" w:rsidRPr="0058101F">
        <w:tblPrEx>
          <w:tblCellMar>
            <w:top w:w="0" w:type="dxa"/>
            <w:bottom w:w="0" w:type="dxa"/>
          </w:tblCellMar>
        </w:tblPrEx>
        <w:trPr>
          <w:trHeight w:val="247"/>
        </w:trPr>
        <w:tc>
          <w:tcPr>
            <w:tcW w:w="1546" w:type="dxa"/>
            <w:gridSpan w:val="2"/>
            <w:tcBorders>
              <w:top w:val="single" w:sz="6" w:space="0" w:color="auto"/>
              <w:left w:val="single" w:sz="6" w:space="0" w:color="auto"/>
              <w:right w:val="single" w:sz="6" w:space="0" w:color="auto"/>
            </w:tcBorders>
          </w:tcPr>
          <w:p w:rsidR="002C7189" w:rsidRPr="0058101F" w:rsidRDefault="002C7189" w:rsidP="00CE42F4">
            <w:pPr>
              <w:autoSpaceDE w:val="0"/>
              <w:autoSpaceDN w:val="0"/>
              <w:adjustRightInd w:val="0"/>
              <w:jc w:val="center"/>
              <w:rPr>
                <w:b/>
                <w:bCs/>
                <w:sz w:val="18"/>
                <w:szCs w:val="18"/>
              </w:rPr>
            </w:pPr>
            <w:r w:rsidRPr="0058101F">
              <w:rPr>
                <w:b/>
                <w:bCs/>
                <w:sz w:val="18"/>
                <w:szCs w:val="18"/>
              </w:rPr>
              <w:t xml:space="preserve">Mandat </w:t>
            </w:r>
          </w:p>
        </w:tc>
        <w:tc>
          <w:tcPr>
            <w:tcW w:w="1120" w:type="dxa"/>
            <w:tcBorders>
              <w:top w:val="single" w:sz="6" w:space="0" w:color="auto"/>
              <w:left w:val="single" w:sz="6" w:space="0" w:color="auto"/>
              <w:bottom w:val="nil"/>
              <w:right w:val="single" w:sz="6" w:space="0" w:color="auto"/>
            </w:tcBorders>
          </w:tcPr>
          <w:p w:rsidR="002C7189" w:rsidRPr="0058101F" w:rsidRDefault="002C7189" w:rsidP="00CE42F4">
            <w:pPr>
              <w:autoSpaceDE w:val="0"/>
              <w:autoSpaceDN w:val="0"/>
              <w:adjustRightInd w:val="0"/>
              <w:rPr>
                <w:b/>
                <w:bCs/>
                <w:sz w:val="18"/>
                <w:szCs w:val="18"/>
              </w:rPr>
            </w:pPr>
            <w:r w:rsidRPr="0058101F">
              <w:rPr>
                <w:b/>
                <w:bCs/>
                <w:sz w:val="18"/>
                <w:szCs w:val="18"/>
              </w:rPr>
              <w:t>Date du paiement</w:t>
            </w:r>
          </w:p>
        </w:tc>
        <w:tc>
          <w:tcPr>
            <w:tcW w:w="680" w:type="dxa"/>
            <w:tcBorders>
              <w:top w:val="single" w:sz="6" w:space="0" w:color="auto"/>
              <w:left w:val="single" w:sz="6" w:space="0" w:color="auto"/>
              <w:bottom w:val="nil"/>
              <w:right w:val="single" w:sz="6" w:space="0" w:color="auto"/>
            </w:tcBorders>
          </w:tcPr>
          <w:p w:rsidR="002C7189" w:rsidRPr="0058101F" w:rsidRDefault="002C7189" w:rsidP="00CE42F4">
            <w:pPr>
              <w:autoSpaceDE w:val="0"/>
              <w:autoSpaceDN w:val="0"/>
              <w:adjustRightInd w:val="0"/>
              <w:rPr>
                <w:b/>
                <w:bCs/>
                <w:sz w:val="18"/>
                <w:szCs w:val="18"/>
              </w:rPr>
            </w:pPr>
            <w:r w:rsidRPr="0058101F">
              <w:rPr>
                <w:b/>
                <w:bCs/>
                <w:sz w:val="18"/>
                <w:szCs w:val="18"/>
              </w:rPr>
              <w:t>compte</w:t>
            </w:r>
          </w:p>
        </w:tc>
        <w:tc>
          <w:tcPr>
            <w:tcW w:w="2208" w:type="dxa"/>
            <w:tcBorders>
              <w:top w:val="single" w:sz="6" w:space="0" w:color="auto"/>
              <w:left w:val="single" w:sz="6" w:space="0" w:color="auto"/>
              <w:bottom w:val="nil"/>
              <w:right w:val="single" w:sz="6" w:space="0" w:color="auto"/>
            </w:tcBorders>
          </w:tcPr>
          <w:p w:rsidR="002C7189" w:rsidRPr="0058101F" w:rsidRDefault="002C7189" w:rsidP="00CE42F4">
            <w:pPr>
              <w:autoSpaceDE w:val="0"/>
              <w:autoSpaceDN w:val="0"/>
              <w:adjustRightInd w:val="0"/>
              <w:rPr>
                <w:b/>
                <w:bCs/>
                <w:sz w:val="18"/>
                <w:szCs w:val="18"/>
              </w:rPr>
            </w:pPr>
            <w:r w:rsidRPr="0058101F">
              <w:rPr>
                <w:b/>
                <w:bCs/>
                <w:sz w:val="18"/>
                <w:szCs w:val="18"/>
              </w:rPr>
              <w:t xml:space="preserve">objet </w:t>
            </w:r>
          </w:p>
        </w:tc>
        <w:tc>
          <w:tcPr>
            <w:tcW w:w="1135" w:type="dxa"/>
            <w:tcBorders>
              <w:top w:val="single" w:sz="6" w:space="0" w:color="auto"/>
              <w:left w:val="single" w:sz="6" w:space="0" w:color="auto"/>
              <w:bottom w:val="nil"/>
              <w:right w:val="single" w:sz="6" w:space="0" w:color="auto"/>
            </w:tcBorders>
          </w:tcPr>
          <w:p w:rsidR="002C7189" w:rsidRPr="0058101F" w:rsidRDefault="002C7189" w:rsidP="00CE42F4">
            <w:pPr>
              <w:autoSpaceDE w:val="0"/>
              <w:autoSpaceDN w:val="0"/>
              <w:adjustRightInd w:val="0"/>
              <w:rPr>
                <w:b/>
                <w:bCs/>
                <w:sz w:val="18"/>
                <w:szCs w:val="18"/>
              </w:rPr>
            </w:pPr>
            <w:r w:rsidRPr="0058101F">
              <w:rPr>
                <w:b/>
                <w:bCs/>
                <w:sz w:val="18"/>
                <w:szCs w:val="18"/>
              </w:rPr>
              <w:t>montant F</w:t>
            </w:r>
          </w:p>
        </w:tc>
        <w:tc>
          <w:tcPr>
            <w:tcW w:w="1231" w:type="dxa"/>
            <w:tcBorders>
              <w:top w:val="single" w:sz="6" w:space="0" w:color="auto"/>
              <w:left w:val="single" w:sz="6" w:space="0" w:color="auto"/>
              <w:bottom w:val="nil"/>
              <w:right w:val="single" w:sz="6" w:space="0" w:color="auto"/>
            </w:tcBorders>
          </w:tcPr>
          <w:p w:rsidR="002C7189" w:rsidRPr="0058101F" w:rsidRDefault="002C7189" w:rsidP="00CE42F4">
            <w:pPr>
              <w:autoSpaceDE w:val="0"/>
              <w:autoSpaceDN w:val="0"/>
              <w:adjustRightInd w:val="0"/>
              <w:rPr>
                <w:b/>
                <w:bCs/>
                <w:sz w:val="18"/>
                <w:szCs w:val="18"/>
              </w:rPr>
            </w:pPr>
            <w:r w:rsidRPr="0058101F">
              <w:rPr>
                <w:b/>
                <w:bCs/>
                <w:sz w:val="18"/>
                <w:szCs w:val="18"/>
              </w:rPr>
              <w:t>montant cumulé F</w:t>
            </w:r>
          </w:p>
        </w:tc>
        <w:tc>
          <w:tcPr>
            <w:tcW w:w="1135" w:type="dxa"/>
            <w:tcBorders>
              <w:top w:val="single" w:sz="6" w:space="0" w:color="auto"/>
              <w:left w:val="single" w:sz="6" w:space="0" w:color="auto"/>
              <w:bottom w:val="nil"/>
              <w:right w:val="single" w:sz="6" w:space="0" w:color="auto"/>
            </w:tcBorders>
          </w:tcPr>
          <w:p w:rsidR="002C7189" w:rsidRPr="0058101F" w:rsidRDefault="002C7189" w:rsidP="00CE42F4">
            <w:pPr>
              <w:autoSpaceDE w:val="0"/>
              <w:autoSpaceDN w:val="0"/>
              <w:adjustRightInd w:val="0"/>
              <w:rPr>
                <w:b/>
                <w:bCs/>
                <w:sz w:val="18"/>
                <w:szCs w:val="18"/>
              </w:rPr>
            </w:pPr>
            <w:r w:rsidRPr="0058101F">
              <w:rPr>
                <w:b/>
                <w:bCs/>
                <w:sz w:val="18"/>
                <w:szCs w:val="18"/>
              </w:rPr>
              <w:t>montant €</w:t>
            </w:r>
          </w:p>
        </w:tc>
        <w:tc>
          <w:tcPr>
            <w:tcW w:w="1135" w:type="dxa"/>
            <w:tcBorders>
              <w:top w:val="single" w:sz="6" w:space="0" w:color="auto"/>
              <w:left w:val="single" w:sz="6" w:space="0" w:color="auto"/>
              <w:bottom w:val="nil"/>
              <w:right w:val="single" w:sz="6" w:space="0" w:color="auto"/>
            </w:tcBorders>
          </w:tcPr>
          <w:p w:rsidR="002C7189" w:rsidRPr="0058101F" w:rsidRDefault="002C7189" w:rsidP="00CE42F4">
            <w:pPr>
              <w:autoSpaceDE w:val="0"/>
              <w:autoSpaceDN w:val="0"/>
              <w:adjustRightInd w:val="0"/>
              <w:rPr>
                <w:b/>
                <w:bCs/>
                <w:sz w:val="18"/>
                <w:szCs w:val="18"/>
              </w:rPr>
            </w:pPr>
            <w:r w:rsidRPr="0058101F">
              <w:rPr>
                <w:b/>
                <w:bCs/>
                <w:sz w:val="18"/>
                <w:szCs w:val="18"/>
              </w:rPr>
              <w:t>montant cumulé €</w:t>
            </w:r>
          </w:p>
        </w:tc>
      </w:tr>
      <w:tr w:rsidR="002C7189" w:rsidRPr="0058101F">
        <w:tblPrEx>
          <w:tblCellMar>
            <w:top w:w="0" w:type="dxa"/>
            <w:bottom w:w="0" w:type="dxa"/>
          </w:tblCellMar>
        </w:tblPrEx>
        <w:trPr>
          <w:trHeight w:val="247"/>
        </w:trPr>
        <w:tc>
          <w:tcPr>
            <w:tcW w:w="583" w:type="dxa"/>
            <w:tcBorders>
              <w:left w:val="single" w:sz="6" w:space="0" w:color="auto"/>
              <w:bottom w:val="single" w:sz="6" w:space="0" w:color="auto"/>
              <w:right w:val="single" w:sz="6" w:space="0" w:color="auto"/>
            </w:tcBorders>
          </w:tcPr>
          <w:p w:rsidR="002C7189" w:rsidRPr="0058101F" w:rsidRDefault="002C7189" w:rsidP="00CE42F4">
            <w:pPr>
              <w:autoSpaceDE w:val="0"/>
              <w:autoSpaceDN w:val="0"/>
              <w:adjustRightInd w:val="0"/>
              <w:rPr>
                <w:b/>
                <w:bCs/>
                <w:sz w:val="18"/>
                <w:szCs w:val="18"/>
              </w:rPr>
            </w:pPr>
            <w:r w:rsidRPr="0058101F">
              <w:rPr>
                <w:b/>
                <w:bCs/>
                <w:sz w:val="18"/>
                <w:szCs w:val="18"/>
              </w:rPr>
              <w:t xml:space="preserve">N° </w:t>
            </w:r>
          </w:p>
        </w:tc>
        <w:tc>
          <w:tcPr>
            <w:tcW w:w="963" w:type="dxa"/>
            <w:tcBorders>
              <w:left w:val="single" w:sz="6" w:space="0" w:color="auto"/>
              <w:bottom w:val="single" w:sz="6" w:space="0" w:color="auto"/>
              <w:right w:val="single" w:sz="6" w:space="0" w:color="auto"/>
            </w:tcBorders>
          </w:tcPr>
          <w:p w:rsidR="002C7189" w:rsidRPr="0058101F" w:rsidRDefault="002C7189" w:rsidP="00CE42F4">
            <w:pPr>
              <w:autoSpaceDE w:val="0"/>
              <w:autoSpaceDN w:val="0"/>
              <w:adjustRightInd w:val="0"/>
              <w:rPr>
                <w:b/>
                <w:bCs/>
                <w:sz w:val="18"/>
                <w:szCs w:val="18"/>
              </w:rPr>
            </w:pPr>
            <w:r w:rsidRPr="0058101F">
              <w:rPr>
                <w:b/>
                <w:bCs/>
                <w:sz w:val="18"/>
                <w:szCs w:val="18"/>
              </w:rPr>
              <w:t>date</w:t>
            </w:r>
          </w:p>
        </w:tc>
        <w:tc>
          <w:tcPr>
            <w:tcW w:w="1120" w:type="dxa"/>
            <w:tcBorders>
              <w:top w:val="nil"/>
              <w:left w:val="single" w:sz="6" w:space="0" w:color="auto"/>
              <w:bottom w:val="single" w:sz="6" w:space="0" w:color="auto"/>
              <w:right w:val="single" w:sz="6" w:space="0" w:color="auto"/>
            </w:tcBorders>
          </w:tcPr>
          <w:p w:rsidR="002C7189" w:rsidRPr="0058101F" w:rsidRDefault="002C7189" w:rsidP="00CE42F4">
            <w:pPr>
              <w:autoSpaceDE w:val="0"/>
              <w:autoSpaceDN w:val="0"/>
              <w:adjustRightInd w:val="0"/>
              <w:jc w:val="right"/>
              <w:rPr>
                <w:rFonts w:ascii="Arial" w:hAnsi="Arial" w:cs="Arial"/>
              </w:rPr>
            </w:pPr>
          </w:p>
        </w:tc>
        <w:tc>
          <w:tcPr>
            <w:tcW w:w="680" w:type="dxa"/>
            <w:tcBorders>
              <w:top w:val="nil"/>
              <w:left w:val="single" w:sz="6" w:space="0" w:color="auto"/>
              <w:bottom w:val="single" w:sz="6" w:space="0" w:color="auto"/>
              <w:right w:val="single" w:sz="6" w:space="0" w:color="auto"/>
            </w:tcBorders>
          </w:tcPr>
          <w:p w:rsidR="002C7189" w:rsidRPr="0058101F" w:rsidRDefault="002C7189" w:rsidP="00CE42F4">
            <w:pPr>
              <w:autoSpaceDE w:val="0"/>
              <w:autoSpaceDN w:val="0"/>
              <w:adjustRightInd w:val="0"/>
              <w:jc w:val="right"/>
              <w:rPr>
                <w:rFonts w:ascii="Arial" w:hAnsi="Arial" w:cs="Arial"/>
              </w:rPr>
            </w:pPr>
          </w:p>
        </w:tc>
        <w:tc>
          <w:tcPr>
            <w:tcW w:w="2208" w:type="dxa"/>
            <w:tcBorders>
              <w:top w:val="nil"/>
              <w:left w:val="single" w:sz="6" w:space="0" w:color="auto"/>
              <w:bottom w:val="single" w:sz="6" w:space="0" w:color="auto"/>
              <w:right w:val="single" w:sz="6" w:space="0" w:color="auto"/>
            </w:tcBorders>
          </w:tcPr>
          <w:p w:rsidR="002C7189" w:rsidRPr="0058101F" w:rsidRDefault="002C7189" w:rsidP="00CE42F4">
            <w:pPr>
              <w:autoSpaceDE w:val="0"/>
              <w:autoSpaceDN w:val="0"/>
              <w:adjustRightInd w:val="0"/>
              <w:jc w:val="right"/>
              <w:rPr>
                <w:rFonts w:ascii="Arial" w:hAnsi="Arial" w:cs="Arial"/>
              </w:rPr>
            </w:pPr>
          </w:p>
        </w:tc>
        <w:tc>
          <w:tcPr>
            <w:tcW w:w="1135" w:type="dxa"/>
            <w:tcBorders>
              <w:top w:val="nil"/>
              <w:left w:val="single" w:sz="6" w:space="0" w:color="auto"/>
              <w:bottom w:val="single" w:sz="6" w:space="0" w:color="auto"/>
              <w:right w:val="single" w:sz="6" w:space="0" w:color="auto"/>
            </w:tcBorders>
          </w:tcPr>
          <w:p w:rsidR="002C7189" w:rsidRPr="0058101F" w:rsidRDefault="002C7189" w:rsidP="00CE42F4">
            <w:pPr>
              <w:autoSpaceDE w:val="0"/>
              <w:autoSpaceDN w:val="0"/>
              <w:adjustRightInd w:val="0"/>
              <w:jc w:val="right"/>
              <w:rPr>
                <w:rFonts w:ascii="Arial" w:hAnsi="Arial" w:cs="Arial"/>
              </w:rPr>
            </w:pPr>
          </w:p>
        </w:tc>
        <w:tc>
          <w:tcPr>
            <w:tcW w:w="1231" w:type="dxa"/>
            <w:tcBorders>
              <w:top w:val="nil"/>
              <w:left w:val="single" w:sz="6" w:space="0" w:color="auto"/>
              <w:bottom w:val="single" w:sz="6" w:space="0" w:color="auto"/>
              <w:right w:val="single" w:sz="6" w:space="0" w:color="auto"/>
            </w:tcBorders>
          </w:tcPr>
          <w:p w:rsidR="002C7189" w:rsidRPr="0058101F" w:rsidRDefault="002C7189" w:rsidP="00CE42F4">
            <w:pPr>
              <w:autoSpaceDE w:val="0"/>
              <w:autoSpaceDN w:val="0"/>
              <w:adjustRightInd w:val="0"/>
              <w:jc w:val="right"/>
              <w:rPr>
                <w:rFonts w:ascii="Arial" w:hAnsi="Arial" w:cs="Arial"/>
              </w:rPr>
            </w:pPr>
          </w:p>
        </w:tc>
        <w:tc>
          <w:tcPr>
            <w:tcW w:w="1135" w:type="dxa"/>
            <w:tcBorders>
              <w:top w:val="nil"/>
              <w:left w:val="single" w:sz="6" w:space="0" w:color="auto"/>
              <w:bottom w:val="single" w:sz="6" w:space="0" w:color="auto"/>
              <w:right w:val="single" w:sz="6" w:space="0" w:color="auto"/>
            </w:tcBorders>
          </w:tcPr>
          <w:p w:rsidR="002C7189" w:rsidRPr="0058101F" w:rsidRDefault="002C7189" w:rsidP="00CE42F4">
            <w:pPr>
              <w:autoSpaceDE w:val="0"/>
              <w:autoSpaceDN w:val="0"/>
              <w:adjustRightInd w:val="0"/>
              <w:jc w:val="right"/>
              <w:rPr>
                <w:rFonts w:ascii="Arial" w:hAnsi="Arial" w:cs="Arial"/>
              </w:rPr>
            </w:pPr>
          </w:p>
        </w:tc>
        <w:tc>
          <w:tcPr>
            <w:tcW w:w="1135" w:type="dxa"/>
            <w:tcBorders>
              <w:top w:val="nil"/>
              <w:left w:val="single" w:sz="6" w:space="0" w:color="auto"/>
              <w:bottom w:val="single" w:sz="6" w:space="0" w:color="auto"/>
              <w:right w:val="single" w:sz="6" w:space="0" w:color="auto"/>
            </w:tcBorders>
          </w:tcPr>
          <w:p w:rsidR="002C7189" w:rsidRPr="0058101F" w:rsidRDefault="002C7189" w:rsidP="00CE42F4">
            <w:pPr>
              <w:autoSpaceDE w:val="0"/>
              <w:autoSpaceDN w:val="0"/>
              <w:adjustRightInd w:val="0"/>
              <w:jc w:val="right"/>
              <w:rPr>
                <w:rFonts w:ascii="Arial" w:hAnsi="Arial" w:cs="Arial"/>
              </w:rPr>
            </w:pP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b/>
                <w:bCs/>
                <w:sz w:val="18"/>
                <w:szCs w:val="18"/>
              </w:rPr>
            </w:pPr>
            <w:r w:rsidRPr="0058101F">
              <w:rPr>
                <w:b/>
                <w:bCs/>
                <w:sz w:val="18"/>
                <w:szCs w:val="18"/>
              </w:rPr>
              <w:t>1205</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b/>
                <w:bCs/>
                <w:sz w:val="18"/>
                <w:szCs w:val="18"/>
              </w:rPr>
            </w:pPr>
            <w:r w:rsidRPr="0058101F">
              <w:rPr>
                <w:b/>
                <w:bCs/>
                <w:sz w:val="18"/>
                <w:szCs w:val="18"/>
              </w:rPr>
              <w:t>07/03/2000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b/>
                <w:bCs/>
                <w:sz w:val="18"/>
                <w:szCs w:val="18"/>
              </w:rPr>
            </w:pPr>
            <w:r w:rsidRPr="0058101F">
              <w:rPr>
                <w:b/>
                <w:bCs/>
                <w:sz w:val="18"/>
                <w:szCs w:val="18"/>
              </w:rPr>
              <w:t>15/03/2000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b/>
                <w:bCs/>
                <w:sz w:val="18"/>
                <w:szCs w:val="18"/>
              </w:rPr>
            </w:pPr>
            <w:r w:rsidRPr="0058101F">
              <w:rPr>
                <w:b/>
                <w:bCs/>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b/>
                <w:bCs/>
                <w:sz w:val="18"/>
                <w:szCs w:val="18"/>
              </w:rPr>
            </w:pPr>
            <w:r w:rsidRPr="0058101F">
              <w:rPr>
                <w:b/>
                <w:bCs/>
                <w:sz w:val="18"/>
                <w:szCs w:val="18"/>
              </w:rPr>
              <w:t>charges 02/2000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b/>
                <w:bCs/>
                <w:sz w:val="18"/>
                <w:szCs w:val="18"/>
              </w:rPr>
            </w:pPr>
            <w:r w:rsidRPr="0058101F">
              <w:rPr>
                <w:b/>
                <w:bCs/>
                <w:sz w:val="18"/>
                <w:szCs w:val="18"/>
              </w:rPr>
              <w:t xml:space="preserve">1 575,00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b/>
                <w:bCs/>
                <w:sz w:val="18"/>
                <w:szCs w:val="18"/>
              </w:rPr>
            </w:pPr>
            <w:r w:rsidRPr="0058101F">
              <w:rPr>
                <w:b/>
                <w:bCs/>
                <w:sz w:val="18"/>
                <w:szCs w:val="18"/>
              </w:rPr>
              <w:t xml:space="preserve">     73 797,41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b/>
                <w:bCs/>
                <w:sz w:val="18"/>
                <w:szCs w:val="18"/>
              </w:rPr>
            </w:pPr>
            <w:r w:rsidRPr="0058101F">
              <w:rPr>
                <w:b/>
                <w:bCs/>
                <w:sz w:val="18"/>
                <w:szCs w:val="18"/>
              </w:rPr>
              <w:t xml:space="preserve">        240,11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b/>
                <w:bCs/>
                <w:sz w:val="18"/>
                <w:szCs w:val="18"/>
              </w:rPr>
            </w:pPr>
            <w:r w:rsidRPr="0058101F">
              <w:rPr>
                <w:b/>
                <w:bCs/>
                <w:sz w:val="18"/>
                <w:szCs w:val="18"/>
              </w:rPr>
              <w:t xml:space="preserve">   11 250,37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1217</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07/03/2000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15/03/2000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6461</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02/2000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3 098,00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76 895,41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472,29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11 722,65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1427</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08/03/2000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10/03/2000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02/2000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94,87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76 990,28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14,46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11 737,12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1433</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08/03/2000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10/03/2000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02/2000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236,25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77 226,53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36,02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11 773,13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1444</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08/03/2000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10/03/2000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6463</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02/2000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354,90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77 581,43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54,10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11 827,24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1709</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16/03/2000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24/03/2000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salaire 03/2000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8 593,87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86 175,30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1 310,13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13 137,36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2477</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06/04/2000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11/04/2000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03/2000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236,25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86 411,55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36,02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13 173,38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2481</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06/04/2000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11/04/2000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03/2000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94,87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86 506,42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14,46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13 187,84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2493</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06/04/2000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11/04/2000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6463</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03/2000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354,90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86 861,32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54,10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13 241,95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2636</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06/04/2000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11/04/2000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6331</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03/2000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168,00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87 029,32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25,61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13 267,56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2690</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06/04/2000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11/04/2000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03/2000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1 575,00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88 604,32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240,11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13 507,67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2703</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06/04/2000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11/04/2000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6461</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03/2000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3 098,00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91 702,32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472,29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13 979,95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2896</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19/04/2000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21/04/2000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salaire 04/2000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8 593,87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100 296,19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1 310,13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15 290,08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4401</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15/05/2000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17/05/2000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6331</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04/2000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168,00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100 464,19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25,61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15 315,69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4460</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15/05/2000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17/05/2000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04/2000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1 575,00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102 039,19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240,11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15 555,80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4472</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15/05/2000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17/05/2000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6461</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04/2000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3 098,00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105 137,19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472,29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16 028,09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4746</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16/05/2000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17/05/2000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04/2000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236,25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105 373,44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36,02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16 064,10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4750</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16/05/2000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17/05/2000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04/2000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94,87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105 468,31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14,46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16 078,56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4762</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16/05/2000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17/05/2000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6463</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04/2000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354,90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105 823,21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54,10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16 132,67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5143</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19/05/2000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25/05/2000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salaire 05/2000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8 593,87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114 417,08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1 310,13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17 442,80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5818</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13/06/2000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14/06/2000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6331</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05/2000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168,00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114 585,08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25,61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17 468,41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5880</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13/06/2000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14/06/2000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05/2000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1 575,00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116 160,08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240,11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17 708,51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5891</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13/06/2000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14/06/2000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6461</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05/2000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3 098,00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119 258,08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472,29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18 180,80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6143</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14/06/2000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14/06/2000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05/2000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236,25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119 494,33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36,02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18 216,82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6146</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14/06/2000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14/06/2000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05/2000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94,87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119 589,20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14,46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18 231,28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6156</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14/06/2000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14/06/2000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6463</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05/2000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354,90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119 944,10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54,10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18 285,38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6235</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14/06/2000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20/06/2000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6478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FMIC 09/99</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168,00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120 112,10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25,61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18 311,00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6523</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21/06/2000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26/06/2000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salaire 06/2000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8 593,87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128 705,97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1 310,13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19 621,12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7386</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05/07/2000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12/07/2000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6331</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06/2000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168,00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128 873,97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25,61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19 646,73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7441</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05/07/2000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12/07/2000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06/2000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1 575,00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130 448,97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240,11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19 886,84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7452</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05/07/2000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12/07/2000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6461</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06/2000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3 098,00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133 546,97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472,29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20 359,13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7647</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05/07/2000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12/07/2000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06/2000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236,25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133 783,22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36,02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20 395,14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7650</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05/07/2000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12/07/2000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06/2000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94,87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133 878,09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14,46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20 409,61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7660</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05/07/2000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12/07/2000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6463</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06/2000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354,90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134 232,99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54,10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20 463,71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7894</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12/07/2000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24/07/2000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salaire 07/00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8 593,87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142 826,86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1 310,13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21 773,84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8181</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01/08/2000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07/08/2000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6331</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07/2000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168,00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142 994,86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25,61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21 799,45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8242</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01/08/2000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07/08/2000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07/2000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1 575,00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144 569,86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240,11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22 039,56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8254</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01/08/2000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07/08/2000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6461</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07/2000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3 098,00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147 667,86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472,29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22 511,84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8417</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03/08/2000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25/08/2000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salaire 08/2000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8 593,87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156 261,73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1 310,13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23 821,97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8588</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04/08/2000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08/08/2000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08/2000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236,25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156 497,98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36,02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23 857,99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8591</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04/08/2000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08/08/2000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08/2000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94,87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156 592,85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14,46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23 872,45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8602</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04/08/2000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08/08/2000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6463</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08/2000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354,90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156 947,75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54,10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23 926,55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9601</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11/09/2000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13/09/2000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6331</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08/2000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168,00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157 115,75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25,61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23 952,17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9640</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11/09/2000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13/09/2000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08/2000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1 575,00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158 690,75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240,11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24 192,27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9651</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11/09/2000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13/09/2000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6461</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08/2000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3 098,00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161 788,75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472,29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24 664,56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9795</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11/09/2000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14/09/2000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08/2000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94,87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161 883,62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14,46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24 679,02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9800</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11/09/2000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14/09/2000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08/2000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236,25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162 119,87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36,02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24 715,04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9809</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11/09/2000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14/09/2000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6463</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08/2000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354,90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162 474,77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54,10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24 769,14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10055</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21/09/2000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25/09/2000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salaire 09/2000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8 593,87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171 068,64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1 310,13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26 079,27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10489</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05/10/2000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11/10/2000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6331</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09/2000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168,00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171 236,64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25,61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26 104,88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10548</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05/10/2000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11/10/2000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09/2000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1 575,00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172 811,64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240,11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26 344,99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10561</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05/10/2000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11/10/2000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6461</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09/2000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3 098,00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175 909,64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472,29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26 817,28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10879</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09/10/2000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11/10/2000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09/2000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236,25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176 145,89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36,02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26 853,29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10882</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09/10/2000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11/10/2000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09/2000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94,87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176 240,76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14,46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26 867,76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10895</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09/10/2000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11/10/2000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6463</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charges 09/2000</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354,90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176 595,66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54,10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26 921,86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11185</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16/10/2000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19/10/2000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6331</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Régularisation charges 99</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168,00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176 763,66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25,61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26 947,47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11191</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16/10/2000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19/10/2000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Régularisation charges 99</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1 575,00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178 338,66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240,11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27 187,58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11198</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16/10/2000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19/10/2000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Régularisation ircantec</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236,25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178 574,91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36,02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27 223,59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11202</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16/10/2000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19/10/2000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6448</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régularisation solidarité</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94,87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178 669,78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14,46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27 238,06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11207</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16/10/2000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19/10/2000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6461</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régularisation URSSAF 99</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3 098,00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181 767,78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472,29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27 710,34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11214</w:t>
            </w:r>
          </w:p>
        </w:tc>
        <w:tc>
          <w:tcPr>
            <w:tcW w:w="963"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16/10/2000</w:t>
            </w:r>
          </w:p>
        </w:tc>
        <w:tc>
          <w:tcPr>
            <w:tcW w:w="112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19/10/2000</w:t>
            </w:r>
          </w:p>
        </w:tc>
        <w:tc>
          <w:tcPr>
            <w:tcW w:w="680"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6463</w:t>
            </w:r>
          </w:p>
        </w:tc>
        <w:tc>
          <w:tcPr>
            <w:tcW w:w="2208"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Régularisation IRCANTEC</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354,90  </w:t>
            </w:r>
          </w:p>
        </w:tc>
        <w:tc>
          <w:tcPr>
            <w:tcW w:w="1231"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182 122,68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54,10   </w:t>
            </w:r>
          </w:p>
        </w:tc>
        <w:tc>
          <w:tcPr>
            <w:tcW w:w="1135" w:type="dxa"/>
            <w:tcBorders>
              <w:top w:val="single" w:sz="2" w:space="0" w:color="000000"/>
              <w:left w:val="single" w:sz="6" w:space="0" w:color="auto"/>
              <w:bottom w:val="single" w:sz="2" w:space="0" w:color="000000"/>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27 764,45   </w:t>
            </w:r>
          </w:p>
        </w:tc>
      </w:tr>
      <w:tr w:rsidR="002C7189" w:rsidRPr="0058101F">
        <w:tblPrEx>
          <w:tblCellMar>
            <w:top w:w="0" w:type="dxa"/>
            <w:bottom w:w="0" w:type="dxa"/>
          </w:tblCellMar>
        </w:tblPrEx>
        <w:trPr>
          <w:trHeight w:val="247"/>
        </w:trPr>
        <w:tc>
          <w:tcPr>
            <w:tcW w:w="583" w:type="dxa"/>
            <w:tcBorders>
              <w:top w:val="single" w:sz="2" w:space="0" w:color="000000"/>
              <w:left w:val="single" w:sz="6" w:space="0" w:color="auto"/>
              <w:bottom w:val="single" w:sz="6" w:space="0" w:color="auto"/>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11220</w:t>
            </w:r>
          </w:p>
        </w:tc>
        <w:tc>
          <w:tcPr>
            <w:tcW w:w="963" w:type="dxa"/>
            <w:tcBorders>
              <w:top w:val="single" w:sz="2" w:space="0" w:color="000000"/>
              <w:left w:val="single" w:sz="6" w:space="0" w:color="auto"/>
              <w:bottom w:val="single" w:sz="6" w:space="0" w:color="auto"/>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16/10/2000</w:t>
            </w:r>
          </w:p>
        </w:tc>
        <w:tc>
          <w:tcPr>
            <w:tcW w:w="1120" w:type="dxa"/>
            <w:tcBorders>
              <w:top w:val="single" w:sz="2" w:space="0" w:color="000000"/>
              <w:left w:val="single" w:sz="6" w:space="0" w:color="auto"/>
              <w:bottom w:val="single" w:sz="6" w:space="0" w:color="auto"/>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19/10/2000</w:t>
            </w:r>
          </w:p>
        </w:tc>
        <w:tc>
          <w:tcPr>
            <w:tcW w:w="680" w:type="dxa"/>
            <w:tcBorders>
              <w:top w:val="single" w:sz="2" w:space="0" w:color="000000"/>
              <w:left w:val="single" w:sz="6" w:space="0" w:color="auto"/>
              <w:bottom w:val="single" w:sz="6" w:space="0" w:color="auto"/>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6478</w:t>
            </w:r>
          </w:p>
        </w:tc>
        <w:tc>
          <w:tcPr>
            <w:tcW w:w="2208" w:type="dxa"/>
            <w:tcBorders>
              <w:top w:val="single" w:sz="2" w:space="0" w:color="000000"/>
              <w:left w:val="single" w:sz="6" w:space="0" w:color="auto"/>
              <w:bottom w:val="single" w:sz="6" w:space="0" w:color="auto"/>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Régularisation FMIC 99</w:t>
            </w:r>
          </w:p>
        </w:tc>
        <w:tc>
          <w:tcPr>
            <w:tcW w:w="1135" w:type="dxa"/>
            <w:tcBorders>
              <w:top w:val="single" w:sz="2" w:space="0" w:color="000000"/>
              <w:left w:val="single" w:sz="6" w:space="0" w:color="auto"/>
              <w:bottom w:val="single" w:sz="6" w:space="0" w:color="auto"/>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252,00  </w:t>
            </w:r>
          </w:p>
        </w:tc>
        <w:tc>
          <w:tcPr>
            <w:tcW w:w="1231" w:type="dxa"/>
            <w:tcBorders>
              <w:top w:val="single" w:sz="2" w:space="0" w:color="000000"/>
              <w:left w:val="single" w:sz="6" w:space="0" w:color="auto"/>
              <w:bottom w:val="single" w:sz="6" w:space="0" w:color="auto"/>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182 374,68   </w:t>
            </w:r>
          </w:p>
        </w:tc>
        <w:tc>
          <w:tcPr>
            <w:tcW w:w="1135" w:type="dxa"/>
            <w:tcBorders>
              <w:top w:val="single" w:sz="2" w:space="0" w:color="000000"/>
              <w:left w:val="single" w:sz="6" w:space="0" w:color="auto"/>
              <w:bottom w:val="single" w:sz="6" w:space="0" w:color="auto"/>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38,42   </w:t>
            </w:r>
          </w:p>
        </w:tc>
        <w:tc>
          <w:tcPr>
            <w:tcW w:w="1135" w:type="dxa"/>
            <w:tcBorders>
              <w:top w:val="single" w:sz="2" w:space="0" w:color="000000"/>
              <w:left w:val="single" w:sz="6" w:space="0" w:color="auto"/>
              <w:bottom w:val="single" w:sz="6" w:space="0" w:color="auto"/>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   27 802,87   </w:t>
            </w:r>
          </w:p>
        </w:tc>
      </w:tr>
      <w:tr w:rsidR="002C7189" w:rsidRPr="0058101F">
        <w:tblPrEx>
          <w:tblCellMar>
            <w:top w:w="0" w:type="dxa"/>
            <w:bottom w:w="0" w:type="dxa"/>
          </w:tblCellMar>
        </w:tblPrEx>
        <w:trPr>
          <w:trHeight w:val="247"/>
        </w:trPr>
        <w:tc>
          <w:tcPr>
            <w:tcW w:w="583" w:type="dxa"/>
            <w:tcBorders>
              <w:top w:val="single" w:sz="6" w:space="0" w:color="auto"/>
              <w:left w:val="single" w:sz="6" w:space="0" w:color="auto"/>
              <w:bottom w:val="single" w:sz="6" w:space="0" w:color="auto"/>
              <w:right w:val="single" w:sz="6" w:space="0" w:color="auto"/>
            </w:tcBorders>
          </w:tcPr>
          <w:p w:rsidR="002C7189" w:rsidRPr="0058101F" w:rsidRDefault="002C7189" w:rsidP="00CE42F4">
            <w:pPr>
              <w:autoSpaceDE w:val="0"/>
              <w:autoSpaceDN w:val="0"/>
              <w:adjustRightInd w:val="0"/>
              <w:jc w:val="right"/>
              <w:rPr>
                <w:sz w:val="18"/>
                <w:szCs w:val="18"/>
              </w:rPr>
            </w:pPr>
          </w:p>
        </w:tc>
        <w:tc>
          <w:tcPr>
            <w:tcW w:w="963" w:type="dxa"/>
            <w:tcBorders>
              <w:top w:val="single" w:sz="6" w:space="0" w:color="auto"/>
              <w:left w:val="single" w:sz="6" w:space="0" w:color="auto"/>
              <w:bottom w:val="single" w:sz="6" w:space="0" w:color="auto"/>
              <w:right w:val="single" w:sz="6" w:space="0" w:color="auto"/>
            </w:tcBorders>
          </w:tcPr>
          <w:p w:rsidR="002C7189" w:rsidRPr="0058101F" w:rsidRDefault="002C7189" w:rsidP="00CE42F4">
            <w:pPr>
              <w:autoSpaceDE w:val="0"/>
              <w:autoSpaceDN w:val="0"/>
              <w:adjustRightInd w:val="0"/>
              <w:jc w:val="right"/>
              <w:rPr>
                <w:sz w:val="18"/>
                <w:szCs w:val="18"/>
              </w:rPr>
            </w:pPr>
          </w:p>
        </w:tc>
        <w:tc>
          <w:tcPr>
            <w:tcW w:w="1120" w:type="dxa"/>
            <w:tcBorders>
              <w:top w:val="single" w:sz="6" w:space="0" w:color="auto"/>
              <w:left w:val="single" w:sz="6" w:space="0" w:color="auto"/>
              <w:bottom w:val="single" w:sz="6" w:space="0" w:color="auto"/>
              <w:right w:val="single" w:sz="6" w:space="0" w:color="auto"/>
            </w:tcBorders>
          </w:tcPr>
          <w:p w:rsidR="002C7189" w:rsidRPr="0058101F" w:rsidRDefault="002C7189" w:rsidP="00CE42F4">
            <w:pPr>
              <w:autoSpaceDE w:val="0"/>
              <w:autoSpaceDN w:val="0"/>
              <w:adjustRightInd w:val="0"/>
              <w:jc w:val="right"/>
              <w:rPr>
                <w:sz w:val="18"/>
                <w:szCs w:val="18"/>
              </w:rPr>
            </w:pPr>
          </w:p>
        </w:tc>
        <w:tc>
          <w:tcPr>
            <w:tcW w:w="680" w:type="dxa"/>
            <w:tcBorders>
              <w:top w:val="single" w:sz="6" w:space="0" w:color="auto"/>
              <w:left w:val="single" w:sz="6" w:space="0" w:color="auto"/>
              <w:bottom w:val="single" w:sz="6" w:space="0" w:color="auto"/>
              <w:right w:val="single" w:sz="6" w:space="0" w:color="auto"/>
            </w:tcBorders>
          </w:tcPr>
          <w:p w:rsidR="002C7189" w:rsidRPr="0058101F" w:rsidRDefault="002C7189" w:rsidP="00CE42F4">
            <w:pPr>
              <w:autoSpaceDE w:val="0"/>
              <w:autoSpaceDN w:val="0"/>
              <w:adjustRightInd w:val="0"/>
              <w:jc w:val="right"/>
              <w:rPr>
                <w:sz w:val="18"/>
                <w:szCs w:val="18"/>
              </w:rPr>
            </w:pPr>
          </w:p>
        </w:tc>
        <w:tc>
          <w:tcPr>
            <w:tcW w:w="2208" w:type="dxa"/>
            <w:tcBorders>
              <w:top w:val="single" w:sz="6" w:space="0" w:color="auto"/>
              <w:left w:val="single" w:sz="6" w:space="0" w:color="auto"/>
              <w:bottom w:val="single" w:sz="6" w:space="0" w:color="auto"/>
              <w:right w:val="single" w:sz="6" w:space="0" w:color="auto"/>
            </w:tcBorders>
          </w:tcPr>
          <w:p w:rsidR="002C7189" w:rsidRPr="0058101F" w:rsidRDefault="002C7189" w:rsidP="00CE42F4">
            <w:pPr>
              <w:autoSpaceDE w:val="0"/>
              <w:autoSpaceDN w:val="0"/>
              <w:adjustRightInd w:val="0"/>
              <w:rPr>
                <w:sz w:val="18"/>
                <w:szCs w:val="18"/>
              </w:rPr>
            </w:pPr>
            <w:r w:rsidRPr="0058101F">
              <w:rPr>
                <w:sz w:val="18"/>
                <w:szCs w:val="18"/>
              </w:rPr>
              <w:t>TOTAL</w:t>
            </w:r>
          </w:p>
        </w:tc>
        <w:tc>
          <w:tcPr>
            <w:tcW w:w="1135" w:type="dxa"/>
            <w:tcBorders>
              <w:top w:val="single" w:sz="6" w:space="0" w:color="auto"/>
              <w:left w:val="single" w:sz="6" w:space="0" w:color="auto"/>
              <w:bottom w:val="single" w:sz="6" w:space="0" w:color="auto"/>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182 374,68  </w:t>
            </w:r>
          </w:p>
        </w:tc>
        <w:tc>
          <w:tcPr>
            <w:tcW w:w="1231" w:type="dxa"/>
            <w:tcBorders>
              <w:top w:val="single" w:sz="6" w:space="0" w:color="auto"/>
              <w:left w:val="single" w:sz="6" w:space="0" w:color="auto"/>
              <w:bottom w:val="single" w:sz="6" w:space="0" w:color="auto"/>
              <w:right w:val="single" w:sz="6" w:space="0" w:color="auto"/>
            </w:tcBorders>
          </w:tcPr>
          <w:p w:rsidR="002C7189" w:rsidRPr="0058101F" w:rsidRDefault="002C7189" w:rsidP="00CE42F4">
            <w:pPr>
              <w:autoSpaceDE w:val="0"/>
              <w:autoSpaceDN w:val="0"/>
              <w:adjustRightInd w:val="0"/>
              <w:jc w:val="right"/>
              <w:rPr>
                <w:sz w:val="18"/>
                <w:szCs w:val="18"/>
              </w:rPr>
            </w:pPr>
          </w:p>
        </w:tc>
        <w:tc>
          <w:tcPr>
            <w:tcW w:w="1135" w:type="dxa"/>
            <w:tcBorders>
              <w:top w:val="single" w:sz="6" w:space="0" w:color="auto"/>
              <w:left w:val="single" w:sz="6" w:space="0" w:color="auto"/>
              <w:bottom w:val="single" w:sz="6" w:space="0" w:color="auto"/>
              <w:right w:val="single" w:sz="6" w:space="0" w:color="auto"/>
            </w:tcBorders>
          </w:tcPr>
          <w:p w:rsidR="002C7189" w:rsidRPr="0058101F" w:rsidRDefault="002C7189" w:rsidP="00CE42F4">
            <w:pPr>
              <w:autoSpaceDE w:val="0"/>
              <w:autoSpaceDN w:val="0"/>
              <w:adjustRightInd w:val="0"/>
              <w:jc w:val="right"/>
              <w:rPr>
                <w:sz w:val="18"/>
                <w:szCs w:val="18"/>
              </w:rPr>
            </w:pPr>
            <w:r w:rsidRPr="0058101F">
              <w:rPr>
                <w:sz w:val="18"/>
                <w:szCs w:val="18"/>
              </w:rPr>
              <w:t xml:space="preserve">16 792,61 €  </w:t>
            </w:r>
          </w:p>
        </w:tc>
        <w:tc>
          <w:tcPr>
            <w:tcW w:w="1135" w:type="dxa"/>
            <w:tcBorders>
              <w:top w:val="single" w:sz="6" w:space="0" w:color="auto"/>
              <w:left w:val="single" w:sz="6" w:space="0" w:color="auto"/>
              <w:bottom w:val="single" w:sz="6" w:space="0" w:color="auto"/>
              <w:right w:val="single" w:sz="6" w:space="0" w:color="auto"/>
            </w:tcBorders>
          </w:tcPr>
          <w:p w:rsidR="002C7189" w:rsidRPr="0058101F" w:rsidRDefault="002C7189" w:rsidP="00CE42F4">
            <w:pPr>
              <w:autoSpaceDE w:val="0"/>
              <w:autoSpaceDN w:val="0"/>
              <w:adjustRightInd w:val="0"/>
              <w:jc w:val="right"/>
              <w:rPr>
                <w:sz w:val="18"/>
                <w:szCs w:val="18"/>
              </w:rPr>
            </w:pPr>
          </w:p>
        </w:tc>
      </w:tr>
    </w:tbl>
    <w:p w:rsidR="002C7189" w:rsidRPr="0058101F" w:rsidRDefault="002C7189" w:rsidP="00CE42F4">
      <w:pPr>
        <w:pStyle w:val="PS"/>
      </w:pPr>
    </w:p>
    <w:p w:rsidR="002C7189" w:rsidRPr="0058101F" w:rsidRDefault="002C7189" w:rsidP="00CE42F4">
      <w:pPr>
        <w:pStyle w:val="PS"/>
      </w:pPr>
      <w:r w:rsidRPr="0058101F">
        <w:t>Attendu que le comptable fait valoir que les dépenses et mandats dont il lui est fait grief d’avoir procédé au paiement sont relatifs aux salaires et charges de Mme D Claude en application d’un contrat à durée déterminée du 1</w:t>
      </w:r>
      <w:r w:rsidRPr="0058101F">
        <w:rPr>
          <w:vertAlign w:val="superscript"/>
        </w:rPr>
        <w:t>er </w:t>
      </w:r>
      <w:r w:rsidRPr="0058101F">
        <w:t xml:space="preserve">octobre 1999 ; que, quand bien même ces dépenses ont été portées en comptabilité analytique sur la ressource affectée n° 03 A 80013, elles constituent une charge obligatoire, l’intéressée ayant de fait exercé des fonctions scientifiques au sein de l’Ecole nationale vétérinaire d’Alfort pendant la période considérée ; qu’enfin la non exécution partielle de la convention de recherche tacitement acceptée par l’ordonnateur n’a pas mis fin au contrat de l’intéressée ; que l’établissement a d’ailleurs entériné la résiliation de la convention et réimputé au budget général de l’établissement les dépenses inscrites en ressources affectées ; </w:t>
      </w:r>
    </w:p>
    <w:p w:rsidR="002C7189" w:rsidRPr="0058101F" w:rsidRDefault="002C7189" w:rsidP="00CE42F4">
      <w:pPr>
        <w:pStyle w:val="PS"/>
      </w:pPr>
      <w:r w:rsidRPr="0058101F">
        <w:t>Considérant que l’agent comptable, en possession de l’avenant n° 1 à la convention de recherche et de résidanat suivie en ressources affectées, ne pouvait ignorer les dispositions de l’instruction codificatrice n° 96-011-M91 du 1</w:t>
      </w:r>
      <w:r w:rsidRPr="0058101F">
        <w:rPr>
          <w:vertAlign w:val="superscript"/>
        </w:rPr>
        <w:t>er</w:t>
      </w:r>
      <w:r w:rsidRPr="0058101F">
        <w:t xml:space="preserve"> février 1996 et les contrôles qu’il est tenu d’exercer au regard de la disponibilité des crédits ; </w:t>
      </w:r>
    </w:p>
    <w:p w:rsidR="002C7189" w:rsidRPr="0058101F" w:rsidRDefault="002C7189" w:rsidP="00CE42F4">
      <w:pPr>
        <w:pStyle w:val="PS"/>
      </w:pPr>
      <w:r w:rsidRPr="0058101F">
        <w:t xml:space="preserve">Considérant qu’il revenait au comptable de contrôler l’exacte disponibilité des crédits conformément à l’article 12 du décret du 29 décembre 1962 ; qu’il lui appartenait de surseoir au paiement des mandats, dès lors que l’avance des fonds par l’établissement excédait le seuil autorisé de 30 % des ressources attendues du cocontractant ; qu’à défaut de l’avoir fait, M. Y se trouve dans le cas prévu par les paragraphes I et IV de l’article 60 de la loi précitée du 23 février 1963 et du décret susvisé du 29 décembre 1962 ; qu’il y a donc lieu de lever l’injonction et de le constituer débiteur de l’Ecole nationale vétérinaire d’Alfort pour la somme de 16 792,61 € ; </w:t>
      </w:r>
    </w:p>
    <w:p w:rsidR="002C7189" w:rsidRPr="0058101F" w:rsidRDefault="002C7189" w:rsidP="00CE42F4">
      <w:pPr>
        <w:pStyle w:val="PS"/>
      </w:pPr>
      <w:r w:rsidRPr="0058101F">
        <w:br w:type="page"/>
        <w:t>Considérant qu’aux termes du paragraphe VIII de l’article 60 de la loi précitée du 23 février 1963 « les débets portent intérêts « au taux légal à compter de la date du fait générateur ou, si cette date ne peut être fixée avec précision, à compter de celle de leur découverte ; qu’en l’espèce cette date est celle du dernier paiement » ;</w:t>
      </w:r>
    </w:p>
    <w:p w:rsidR="002C7189" w:rsidRPr="0058101F" w:rsidRDefault="002C7189" w:rsidP="00CE42F4">
      <w:pPr>
        <w:pStyle w:val="PS"/>
      </w:pPr>
      <w:r w:rsidRPr="0058101F">
        <w:t xml:space="preserve">- L’injonction est levée ; </w:t>
      </w:r>
    </w:p>
    <w:p w:rsidR="002C7189" w:rsidRPr="0058101F" w:rsidRDefault="002C7189" w:rsidP="00CE42F4">
      <w:pPr>
        <w:pStyle w:val="PS"/>
      </w:pPr>
      <w:r w:rsidRPr="0058101F">
        <w:t xml:space="preserve">- M. Y est constitué débiteur de l’Ecole nationale vétérinaire d’Alfort pour la somme de 16 792,61 € augmentée des intérêts de droit à compter du 20 octobre 2000. </w:t>
      </w:r>
    </w:p>
    <w:p w:rsidR="002C7189" w:rsidRPr="0058101F" w:rsidRDefault="002C7189" w:rsidP="00CE42F4">
      <w:pPr>
        <w:pStyle w:val="PS"/>
      </w:pPr>
      <w:r w:rsidRPr="0058101F">
        <w:t xml:space="preserve">Dans l’attente de l’apurement du débet ci-dessus prononcé, </w:t>
      </w:r>
    </w:p>
    <w:p w:rsidR="002C7189" w:rsidRPr="0058101F" w:rsidRDefault="002C7189" w:rsidP="00CE42F4">
      <w:pPr>
        <w:pStyle w:val="PS"/>
      </w:pPr>
      <w:r w:rsidRPr="0058101F">
        <w:t>Le sursis à décharge de M. Y pour sa gestion 2000, du 1</w:t>
      </w:r>
      <w:r w:rsidRPr="0058101F">
        <w:rPr>
          <w:vertAlign w:val="superscript"/>
        </w:rPr>
        <w:t>er</w:t>
      </w:r>
      <w:r w:rsidRPr="0058101F">
        <w:t xml:space="preserve"> janvier au 30 novembre, est maintenu. </w:t>
      </w:r>
    </w:p>
    <w:p w:rsidR="002C7189" w:rsidRPr="0058101F" w:rsidRDefault="002C7189" w:rsidP="00CE42F4">
      <w:pPr>
        <w:pStyle w:val="PS"/>
        <w:rPr>
          <w:u w:val="single"/>
        </w:rPr>
      </w:pPr>
      <w:r w:rsidRPr="0058101F">
        <w:rPr>
          <w:u w:val="single"/>
        </w:rPr>
        <w:t>Sur l’exercice 2005</w:t>
      </w:r>
    </w:p>
    <w:p w:rsidR="002C7189" w:rsidRPr="0058101F" w:rsidRDefault="002C7189" w:rsidP="00CE42F4">
      <w:pPr>
        <w:pStyle w:val="PS"/>
      </w:pPr>
      <w:r w:rsidRPr="0058101F">
        <w:t xml:space="preserve">Attendu que le total brut des soldes du grand livre au 31 décembre 2005, date de clôture de l’exercice 2005, égal à l’actif et au passif, et que le solde des valeurs inactives ont été exactement repris à la balance d’entrée 2006 du grand livre, la réserve prononcée à l’encontre de M. A au titre de l’exercice 2005 est levée. </w:t>
      </w:r>
    </w:p>
    <w:p w:rsidR="002C7189" w:rsidRPr="0058101F" w:rsidRDefault="002C7189" w:rsidP="00CE42F4">
      <w:pPr>
        <w:pStyle w:val="PS"/>
      </w:pPr>
      <w:r w:rsidRPr="0058101F">
        <w:t>Attendu qu’aucune charge n’a été relevée à l’encontre de M. A au titre de la période comprise entre le 1</w:t>
      </w:r>
      <w:r w:rsidRPr="0058101F">
        <w:rPr>
          <w:vertAlign w:val="superscript"/>
        </w:rPr>
        <w:t>er</w:t>
      </w:r>
      <w:r w:rsidRPr="0058101F">
        <w:t xml:space="preserve"> janvier et le 31 décembre 2005 ; </w:t>
      </w:r>
    </w:p>
    <w:p w:rsidR="002C7189" w:rsidRPr="0058101F" w:rsidRDefault="002C7189" w:rsidP="003448A5">
      <w:pPr>
        <w:pStyle w:val="PS"/>
      </w:pPr>
      <w:r w:rsidRPr="0058101F">
        <w:t>- Les opérations retracées dans le compte de l’exercice 2005, du 1</w:t>
      </w:r>
      <w:r w:rsidRPr="0058101F">
        <w:rPr>
          <w:vertAlign w:val="superscript"/>
        </w:rPr>
        <w:t>er</w:t>
      </w:r>
      <w:r w:rsidRPr="0058101F">
        <w:t xml:space="preserve"> janvier au 31 décembre, sont admises. </w:t>
      </w:r>
    </w:p>
    <w:p w:rsidR="002C7189" w:rsidRPr="0058101F" w:rsidRDefault="002C7189" w:rsidP="00CE42F4">
      <w:pPr>
        <w:pStyle w:val="PS"/>
      </w:pPr>
      <w:r w:rsidRPr="0058101F">
        <w:t>- M. A est déchargé de sa gestion pour la période comprise entre le 1</w:t>
      </w:r>
      <w:r w:rsidRPr="0058101F">
        <w:rPr>
          <w:vertAlign w:val="superscript"/>
        </w:rPr>
        <w:t>er </w:t>
      </w:r>
      <w:r w:rsidRPr="0058101F">
        <w:t>janvier 2005 et le 31 décembre 2005.</w:t>
      </w:r>
    </w:p>
    <w:p w:rsidR="002C7189" w:rsidRPr="0058101F" w:rsidRDefault="002C7189" w:rsidP="003448A5">
      <w:pPr>
        <w:pStyle w:val="PS"/>
        <w:jc w:val="center"/>
      </w:pPr>
      <w:r w:rsidRPr="0058101F">
        <w:t>---------</w:t>
      </w:r>
    </w:p>
    <w:p w:rsidR="002C7189" w:rsidRPr="0058101F" w:rsidRDefault="002C7189" w:rsidP="00CE42F4">
      <w:pPr>
        <w:pStyle w:val="PS"/>
      </w:pPr>
      <w:r w:rsidRPr="0058101F">
        <w:t>Fait et jugé en la Cour des comptes, septième chambre, troisième section, le douze mars deux mil huit. Présents : M. Descheemaeker, président, M. Berthet, président de section, MM. Richard, Lebuy, Brochier, Doyelle et Zérah, conseillers maîtres.</w:t>
      </w:r>
    </w:p>
    <w:p w:rsidR="002C7189" w:rsidRPr="0058101F" w:rsidRDefault="002C7189" w:rsidP="00CE42F4">
      <w:pPr>
        <w:pStyle w:val="PS"/>
      </w:pPr>
      <w:r>
        <w:br w:type="page"/>
      </w:r>
      <w:r w:rsidRPr="0058101F">
        <w:t>Signé : Descheemaeker, président, et Jouhaud, greffière.</w:t>
      </w:r>
    </w:p>
    <w:p w:rsidR="002C7189" w:rsidRPr="0058101F" w:rsidRDefault="002C7189" w:rsidP="00CE42F4">
      <w:pPr>
        <w:pStyle w:val="PS"/>
      </w:pPr>
      <w:r w:rsidRPr="0058101F">
        <w:t xml:space="preserve">Collationné, certifié conforme à la minute étant au greffe de la Cour des comptes. </w:t>
      </w:r>
    </w:p>
    <w:p w:rsidR="002C7189" w:rsidRPr="0058101F" w:rsidRDefault="002C7189" w:rsidP="0058101F">
      <w:pPr>
        <w:pStyle w:val="PS"/>
      </w:pPr>
      <w:r w:rsidRPr="0058101F">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2C7189" w:rsidRPr="0058101F" w:rsidRDefault="002C7189" w:rsidP="0058101F">
      <w:pPr>
        <w:pStyle w:val="PS"/>
      </w:pPr>
      <w:r w:rsidRPr="0058101F">
        <w:t>Délivré par moi, secrétaire générale.</w:t>
      </w:r>
    </w:p>
    <w:p w:rsidR="002C7189" w:rsidRPr="0058101F" w:rsidRDefault="002C7189" w:rsidP="00CE42F4">
      <w:pPr>
        <w:pStyle w:val="PS"/>
      </w:pPr>
    </w:p>
    <w:sectPr w:rsidR="002C7189" w:rsidRPr="0058101F" w:rsidSect="001D0F6F">
      <w:headerReference w:type="first" r:id="rId8"/>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7189" w:rsidRDefault="002C7189">
      <w:r>
        <w:separator/>
      </w:r>
    </w:p>
  </w:endnote>
  <w:endnote w:type="continuationSeparator" w:id="1">
    <w:p w:rsidR="002C7189" w:rsidRDefault="002C718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7189" w:rsidRDefault="002C7189">
      <w:r>
        <w:separator/>
      </w:r>
    </w:p>
  </w:footnote>
  <w:footnote w:type="continuationSeparator" w:id="1">
    <w:p w:rsidR="002C7189" w:rsidRDefault="002C71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189" w:rsidRDefault="002C7189" w:rsidP="00300888">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189" w:rsidRDefault="002C7189" w:rsidP="0046502C">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2149"/>
        </w:tabs>
        <w:ind w:left="2149" w:hanging="360"/>
      </w:pPr>
      <w:rPr>
        <w:rFonts w:ascii="Courier New" w:hAnsi="Courier New" w:cs="Courier New" w:hint="default"/>
      </w:rPr>
    </w:lvl>
    <w:lvl w:ilvl="2" w:tplc="040C0005">
      <w:start w:val="1"/>
      <w:numFmt w:val="bullet"/>
      <w:lvlText w:val=""/>
      <w:lvlJc w:val="left"/>
      <w:pPr>
        <w:tabs>
          <w:tab w:val="num" w:pos="2869"/>
        </w:tabs>
        <w:ind w:left="2869" w:hanging="360"/>
      </w:pPr>
      <w:rPr>
        <w:rFonts w:ascii="Wingdings" w:hAnsi="Wingdings" w:cs="Wingdings" w:hint="default"/>
      </w:rPr>
    </w:lvl>
    <w:lvl w:ilvl="3" w:tplc="040C0001">
      <w:start w:val="1"/>
      <w:numFmt w:val="bullet"/>
      <w:lvlText w:val=""/>
      <w:lvlJc w:val="left"/>
      <w:pPr>
        <w:tabs>
          <w:tab w:val="num" w:pos="3589"/>
        </w:tabs>
        <w:ind w:left="3589" w:hanging="360"/>
      </w:pPr>
      <w:rPr>
        <w:rFonts w:ascii="Symbol" w:hAnsi="Symbol" w:cs="Symbol" w:hint="default"/>
      </w:rPr>
    </w:lvl>
    <w:lvl w:ilvl="4" w:tplc="040C0003">
      <w:start w:val="1"/>
      <w:numFmt w:val="bullet"/>
      <w:lvlText w:val="o"/>
      <w:lvlJc w:val="left"/>
      <w:pPr>
        <w:tabs>
          <w:tab w:val="num" w:pos="4309"/>
        </w:tabs>
        <w:ind w:left="4309" w:hanging="360"/>
      </w:pPr>
      <w:rPr>
        <w:rFonts w:ascii="Courier New" w:hAnsi="Courier New" w:cs="Courier New" w:hint="default"/>
      </w:rPr>
    </w:lvl>
    <w:lvl w:ilvl="5" w:tplc="040C0005">
      <w:start w:val="1"/>
      <w:numFmt w:val="bullet"/>
      <w:lvlText w:val=""/>
      <w:lvlJc w:val="left"/>
      <w:pPr>
        <w:tabs>
          <w:tab w:val="num" w:pos="5029"/>
        </w:tabs>
        <w:ind w:left="5029" w:hanging="360"/>
      </w:pPr>
      <w:rPr>
        <w:rFonts w:ascii="Wingdings" w:hAnsi="Wingdings" w:cs="Wingdings" w:hint="default"/>
      </w:rPr>
    </w:lvl>
    <w:lvl w:ilvl="6" w:tplc="040C0001">
      <w:start w:val="1"/>
      <w:numFmt w:val="bullet"/>
      <w:lvlText w:val=""/>
      <w:lvlJc w:val="left"/>
      <w:pPr>
        <w:tabs>
          <w:tab w:val="num" w:pos="5749"/>
        </w:tabs>
        <w:ind w:left="5749" w:hanging="360"/>
      </w:pPr>
      <w:rPr>
        <w:rFonts w:ascii="Symbol" w:hAnsi="Symbol" w:cs="Symbol" w:hint="default"/>
      </w:rPr>
    </w:lvl>
    <w:lvl w:ilvl="7" w:tplc="040C0003">
      <w:start w:val="1"/>
      <w:numFmt w:val="bullet"/>
      <w:lvlText w:val="o"/>
      <w:lvlJc w:val="left"/>
      <w:pPr>
        <w:tabs>
          <w:tab w:val="num" w:pos="6469"/>
        </w:tabs>
        <w:ind w:left="6469" w:hanging="360"/>
      </w:pPr>
      <w:rPr>
        <w:rFonts w:ascii="Courier New" w:hAnsi="Courier New" w:cs="Courier New" w:hint="default"/>
      </w:rPr>
    </w:lvl>
    <w:lvl w:ilvl="8" w:tplc="040C0005">
      <w:start w:val="1"/>
      <w:numFmt w:val="bullet"/>
      <w:lvlText w:val=""/>
      <w:lvlJc w:val="left"/>
      <w:pPr>
        <w:tabs>
          <w:tab w:val="num" w:pos="7189"/>
        </w:tabs>
        <w:ind w:left="7189" w:hanging="360"/>
      </w:pPr>
      <w:rPr>
        <w:rFonts w:ascii="Wingdings" w:hAnsi="Wingdings" w:cs="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hint="default"/>
      </w:rPr>
    </w:lvl>
    <w:lvl w:ilvl="1" w:tplc="040C0019">
      <w:start w:val="1"/>
      <w:numFmt w:val="lowerLetter"/>
      <w:lvlText w:val="%2."/>
      <w:lvlJc w:val="left"/>
      <w:pPr>
        <w:tabs>
          <w:tab w:val="num" w:pos="2880"/>
        </w:tabs>
        <w:ind w:left="2880" w:hanging="360"/>
      </w:pPr>
    </w:lvl>
    <w:lvl w:ilvl="2" w:tplc="040C001B">
      <w:start w:val="1"/>
      <w:numFmt w:val="lowerRoman"/>
      <w:lvlText w:val="%3."/>
      <w:lvlJc w:val="right"/>
      <w:pPr>
        <w:tabs>
          <w:tab w:val="num" w:pos="3600"/>
        </w:tabs>
        <w:ind w:left="3600" w:hanging="180"/>
      </w:pPr>
    </w:lvl>
    <w:lvl w:ilvl="3" w:tplc="040C000F">
      <w:start w:val="1"/>
      <w:numFmt w:val="decimal"/>
      <w:lvlText w:val="%4."/>
      <w:lvlJc w:val="left"/>
      <w:pPr>
        <w:tabs>
          <w:tab w:val="num" w:pos="4320"/>
        </w:tabs>
        <w:ind w:left="4320" w:hanging="360"/>
      </w:pPr>
    </w:lvl>
    <w:lvl w:ilvl="4" w:tplc="040C0019">
      <w:start w:val="1"/>
      <w:numFmt w:val="lowerLetter"/>
      <w:lvlText w:val="%5."/>
      <w:lvlJc w:val="left"/>
      <w:pPr>
        <w:tabs>
          <w:tab w:val="num" w:pos="5040"/>
        </w:tabs>
        <w:ind w:left="5040" w:hanging="360"/>
      </w:pPr>
    </w:lvl>
    <w:lvl w:ilvl="5" w:tplc="040C001B">
      <w:start w:val="1"/>
      <w:numFmt w:val="lowerRoman"/>
      <w:lvlText w:val="%6."/>
      <w:lvlJc w:val="right"/>
      <w:pPr>
        <w:tabs>
          <w:tab w:val="num" w:pos="5760"/>
        </w:tabs>
        <w:ind w:left="5760" w:hanging="180"/>
      </w:pPr>
    </w:lvl>
    <w:lvl w:ilvl="6" w:tplc="040C000F">
      <w:start w:val="1"/>
      <w:numFmt w:val="decimal"/>
      <w:lvlText w:val="%7."/>
      <w:lvlJc w:val="left"/>
      <w:pPr>
        <w:tabs>
          <w:tab w:val="num" w:pos="6480"/>
        </w:tabs>
        <w:ind w:left="6480" w:hanging="360"/>
      </w:pPr>
    </w:lvl>
    <w:lvl w:ilvl="7" w:tplc="040C0019">
      <w:start w:val="1"/>
      <w:numFmt w:val="lowerLetter"/>
      <w:lvlText w:val="%8."/>
      <w:lvlJc w:val="left"/>
      <w:pPr>
        <w:tabs>
          <w:tab w:val="num" w:pos="7200"/>
        </w:tabs>
        <w:ind w:left="7200" w:hanging="360"/>
      </w:pPr>
    </w:lvl>
    <w:lvl w:ilvl="8" w:tplc="040C001B">
      <w:start w:val="1"/>
      <w:numFmt w:val="lowerRoman"/>
      <w:lvlText w:val="%9."/>
      <w:lvlJc w:val="right"/>
      <w:pPr>
        <w:tabs>
          <w:tab w:val="num" w:pos="7920"/>
        </w:tabs>
        <w:ind w:left="7920" w:hanging="180"/>
      </w:p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cs="Symbol" w:hint="default"/>
      </w:rPr>
    </w:lvl>
    <w:lvl w:ilvl="1" w:tplc="040C0003">
      <w:start w:val="1"/>
      <w:numFmt w:val="bullet"/>
      <w:lvlText w:val="o"/>
      <w:lvlJc w:val="left"/>
      <w:pPr>
        <w:tabs>
          <w:tab w:val="num" w:pos="4275"/>
        </w:tabs>
        <w:ind w:left="4275" w:hanging="360"/>
      </w:pPr>
      <w:rPr>
        <w:rFonts w:ascii="Courier New" w:hAnsi="Courier New" w:cs="Courier New" w:hint="default"/>
      </w:rPr>
    </w:lvl>
    <w:lvl w:ilvl="2" w:tplc="040C0005">
      <w:start w:val="1"/>
      <w:numFmt w:val="bullet"/>
      <w:lvlText w:val=""/>
      <w:lvlJc w:val="left"/>
      <w:pPr>
        <w:tabs>
          <w:tab w:val="num" w:pos="4995"/>
        </w:tabs>
        <w:ind w:left="4995" w:hanging="360"/>
      </w:pPr>
      <w:rPr>
        <w:rFonts w:ascii="Wingdings" w:hAnsi="Wingdings" w:cs="Wingdings" w:hint="default"/>
      </w:rPr>
    </w:lvl>
    <w:lvl w:ilvl="3" w:tplc="040C0001">
      <w:start w:val="1"/>
      <w:numFmt w:val="bullet"/>
      <w:lvlText w:val=""/>
      <w:lvlJc w:val="left"/>
      <w:pPr>
        <w:tabs>
          <w:tab w:val="num" w:pos="5715"/>
        </w:tabs>
        <w:ind w:left="5715" w:hanging="360"/>
      </w:pPr>
      <w:rPr>
        <w:rFonts w:ascii="Symbol" w:hAnsi="Symbol" w:cs="Symbol" w:hint="default"/>
      </w:rPr>
    </w:lvl>
    <w:lvl w:ilvl="4" w:tplc="040C0003">
      <w:start w:val="1"/>
      <w:numFmt w:val="bullet"/>
      <w:lvlText w:val="o"/>
      <w:lvlJc w:val="left"/>
      <w:pPr>
        <w:tabs>
          <w:tab w:val="num" w:pos="6435"/>
        </w:tabs>
        <w:ind w:left="6435" w:hanging="360"/>
      </w:pPr>
      <w:rPr>
        <w:rFonts w:ascii="Courier New" w:hAnsi="Courier New" w:cs="Courier New" w:hint="default"/>
      </w:rPr>
    </w:lvl>
    <w:lvl w:ilvl="5" w:tplc="040C0005">
      <w:start w:val="1"/>
      <w:numFmt w:val="bullet"/>
      <w:lvlText w:val=""/>
      <w:lvlJc w:val="left"/>
      <w:pPr>
        <w:tabs>
          <w:tab w:val="num" w:pos="7155"/>
        </w:tabs>
        <w:ind w:left="7155" w:hanging="360"/>
      </w:pPr>
      <w:rPr>
        <w:rFonts w:ascii="Wingdings" w:hAnsi="Wingdings" w:cs="Wingdings" w:hint="default"/>
      </w:rPr>
    </w:lvl>
    <w:lvl w:ilvl="6" w:tplc="040C0001">
      <w:start w:val="1"/>
      <w:numFmt w:val="bullet"/>
      <w:lvlText w:val=""/>
      <w:lvlJc w:val="left"/>
      <w:pPr>
        <w:tabs>
          <w:tab w:val="num" w:pos="7875"/>
        </w:tabs>
        <w:ind w:left="7875" w:hanging="360"/>
      </w:pPr>
      <w:rPr>
        <w:rFonts w:ascii="Symbol" w:hAnsi="Symbol" w:cs="Symbol" w:hint="default"/>
      </w:rPr>
    </w:lvl>
    <w:lvl w:ilvl="7" w:tplc="040C0003">
      <w:start w:val="1"/>
      <w:numFmt w:val="bullet"/>
      <w:lvlText w:val="o"/>
      <w:lvlJc w:val="left"/>
      <w:pPr>
        <w:tabs>
          <w:tab w:val="num" w:pos="8595"/>
        </w:tabs>
        <w:ind w:left="8595" w:hanging="360"/>
      </w:pPr>
      <w:rPr>
        <w:rFonts w:ascii="Courier New" w:hAnsi="Courier New" w:cs="Courier New" w:hint="default"/>
      </w:rPr>
    </w:lvl>
    <w:lvl w:ilvl="8" w:tplc="040C0005">
      <w:start w:val="1"/>
      <w:numFmt w:val="bullet"/>
      <w:lvlText w:val=""/>
      <w:lvlJc w:val="left"/>
      <w:pPr>
        <w:tabs>
          <w:tab w:val="num" w:pos="9315"/>
        </w:tabs>
        <w:ind w:left="9315" w:hanging="360"/>
      </w:pPr>
      <w:rPr>
        <w:rFonts w:ascii="Wingdings" w:hAnsi="Wingdings" w:cs="Wingdings" w:hint="default"/>
      </w:rPr>
    </w:lvl>
  </w:abstractNum>
  <w:abstractNum w:abstractNumId="3">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cs="Wingdings" w:hint="default"/>
      </w:rPr>
    </w:lvl>
    <w:lvl w:ilvl="3" w:tplc="040C0001">
      <w:start w:val="1"/>
      <w:numFmt w:val="bullet"/>
      <w:lvlText w:val=""/>
      <w:lvlJc w:val="left"/>
      <w:pPr>
        <w:tabs>
          <w:tab w:val="num" w:pos="5355"/>
        </w:tabs>
        <w:ind w:left="5355" w:hanging="360"/>
      </w:pPr>
      <w:rPr>
        <w:rFonts w:ascii="Symbol" w:hAnsi="Symbol" w:cs="Symbol" w:hint="default"/>
      </w:rPr>
    </w:lvl>
    <w:lvl w:ilvl="4" w:tplc="040C0003">
      <w:start w:val="1"/>
      <w:numFmt w:val="bullet"/>
      <w:lvlText w:val="o"/>
      <w:lvlJc w:val="left"/>
      <w:pPr>
        <w:tabs>
          <w:tab w:val="num" w:pos="6075"/>
        </w:tabs>
        <w:ind w:left="6075" w:hanging="360"/>
      </w:pPr>
      <w:rPr>
        <w:rFonts w:ascii="Courier New" w:hAnsi="Courier New" w:cs="Courier New" w:hint="default"/>
      </w:rPr>
    </w:lvl>
    <w:lvl w:ilvl="5" w:tplc="040C0005">
      <w:start w:val="1"/>
      <w:numFmt w:val="bullet"/>
      <w:lvlText w:val=""/>
      <w:lvlJc w:val="left"/>
      <w:pPr>
        <w:tabs>
          <w:tab w:val="num" w:pos="6795"/>
        </w:tabs>
        <w:ind w:left="6795" w:hanging="360"/>
      </w:pPr>
      <w:rPr>
        <w:rFonts w:ascii="Wingdings" w:hAnsi="Wingdings" w:cs="Wingdings" w:hint="default"/>
      </w:rPr>
    </w:lvl>
    <w:lvl w:ilvl="6" w:tplc="040C0001">
      <w:start w:val="1"/>
      <w:numFmt w:val="bullet"/>
      <w:lvlText w:val=""/>
      <w:lvlJc w:val="left"/>
      <w:pPr>
        <w:tabs>
          <w:tab w:val="num" w:pos="7515"/>
        </w:tabs>
        <w:ind w:left="7515" w:hanging="360"/>
      </w:pPr>
      <w:rPr>
        <w:rFonts w:ascii="Symbol" w:hAnsi="Symbol" w:cs="Symbol" w:hint="default"/>
      </w:rPr>
    </w:lvl>
    <w:lvl w:ilvl="7" w:tplc="040C0003">
      <w:start w:val="1"/>
      <w:numFmt w:val="bullet"/>
      <w:lvlText w:val="o"/>
      <w:lvlJc w:val="left"/>
      <w:pPr>
        <w:tabs>
          <w:tab w:val="num" w:pos="8235"/>
        </w:tabs>
        <w:ind w:left="8235" w:hanging="360"/>
      </w:pPr>
      <w:rPr>
        <w:rFonts w:ascii="Courier New" w:hAnsi="Courier New" w:cs="Courier New" w:hint="default"/>
      </w:rPr>
    </w:lvl>
    <w:lvl w:ilvl="8" w:tplc="040C0005">
      <w:start w:val="1"/>
      <w:numFmt w:val="bullet"/>
      <w:lvlText w:val=""/>
      <w:lvlJc w:val="left"/>
      <w:pPr>
        <w:tabs>
          <w:tab w:val="num" w:pos="8955"/>
        </w:tabs>
        <w:ind w:left="8955" w:hanging="360"/>
      </w:pPr>
      <w:rPr>
        <w:rFonts w:ascii="Wingdings" w:hAnsi="Wingdings" w:cs="Wingdings" w:hint="default"/>
      </w:rPr>
    </w:lvl>
  </w:abstractNum>
  <w:abstractNum w:abstractNumId="4">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start w:val="1"/>
      <w:numFmt w:val="bullet"/>
      <w:lvlText w:val="o"/>
      <w:lvlJc w:val="left"/>
      <w:pPr>
        <w:tabs>
          <w:tab w:val="num" w:pos="2520"/>
        </w:tabs>
        <w:ind w:left="2520" w:hanging="360"/>
      </w:pPr>
      <w:rPr>
        <w:rFonts w:ascii="Courier New" w:hAnsi="Courier New" w:cs="Courier New" w:hint="default"/>
      </w:rPr>
    </w:lvl>
    <w:lvl w:ilvl="2" w:tplc="040C0005">
      <w:start w:val="1"/>
      <w:numFmt w:val="bullet"/>
      <w:lvlText w:val=""/>
      <w:lvlJc w:val="left"/>
      <w:pPr>
        <w:tabs>
          <w:tab w:val="num" w:pos="3240"/>
        </w:tabs>
        <w:ind w:left="3240" w:hanging="360"/>
      </w:pPr>
      <w:rPr>
        <w:rFonts w:ascii="Wingdings" w:hAnsi="Wingdings" w:cs="Wingdings" w:hint="default"/>
      </w:rPr>
    </w:lvl>
    <w:lvl w:ilvl="3" w:tplc="040C0001">
      <w:start w:val="1"/>
      <w:numFmt w:val="bullet"/>
      <w:lvlText w:val=""/>
      <w:lvlJc w:val="left"/>
      <w:pPr>
        <w:tabs>
          <w:tab w:val="num" w:pos="3960"/>
        </w:tabs>
        <w:ind w:left="3960" w:hanging="360"/>
      </w:pPr>
      <w:rPr>
        <w:rFonts w:ascii="Symbol" w:hAnsi="Symbol" w:cs="Symbol" w:hint="default"/>
      </w:rPr>
    </w:lvl>
    <w:lvl w:ilvl="4" w:tplc="040C0003">
      <w:start w:val="1"/>
      <w:numFmt w:val="bullet"/>
      <w:lvlText w:val="o"/>
      <w:lvlJc w:val="left"/>
      <w:pPr>
        <w:tabs>
          <w:tab w:val="num" w:pos="4680"/>
        </w:tabs>
        <w:ind w:left="4680" w:hanging="360"/>
      </w:pPr>
      <w:rPr>
        <w:rFonts w:ascii="Courier New" w:hAnsi="Courier New" w:cs="Courier New" w:hint="default"/>
      </w:rPr>
    </w:lvl>
    <w:lvl w:ilvl="5" w:tplc="040C0005">
      <w:start w:val="1"/>
      <w:numFmt w:val="bullet"/>
      <w:lvlText w:val=""/>
      <w:lvlJc w:val="left"/>
      <w:pPr>
        <w:tabs>
          <w:tab w:val="num" w:pos="5400"/>
        </w:tabs>
        <w:ind w:left="5400" w:hanging="360"/>
      </w:pPr>
      <w:rPr>
        <w:rFonts w:ascii="Wingdings" w:hAnsi="Wingdings" w:cs="Wingdings" w:hint="default"/>
      </w:rPr>
    </w:lvl>
    <w:lvl w:ilvl="6" w:tplc="040C0001">
      <w:start w:val="1"/>
      <w:numFmt w:val="bullet"/>
      <w:lvlText w:val=""/>
      <w:lvlJc w:val="left"/>
      <w:pPr>
        <w:tabs>
          <w:tab w:val="num" w:pos="6120"/>
        </w:tabs>
        <w:ind w:left="6120" w:hanging="360"/>
      </w:pPr>
      <w:rPr>
        <w:rFonts w:ascii="Symbol" w:hAnsi="Symbol" w:cs="Symbol" w:hint="default"/>
      </w:rPr>
    </w:lvl>
    <w:lvl w:ilvl="7" w:tplc="040C0003">
      <w:start w:val="1"/>
      <w:numFmt w:val="bullet"/>
      <w:lvlText w:val="o"/>
      <w:lvlJc w:val="left"/>
      <w:pPr>
        <w:tabs>
          <w:tab w:val="num" w:pos="6840"/>
        </w:tabs>
        <w:ind w:left="6840" w:hanging="360"/>
      </w:pPr>
      <w:rPr>
        <w:rFonts w:ascii="Courier New" w:hAnsi="Courier New" w:cs="Courier New" w:hint="default"/>
      </w:rPr>
    </w:lvl>
    <w:lvl w:ilvl="8" w:tplc="040C0005">
      <w:start w:val="1"/>
      <w:numFmt w:val="bullet"/>
      <w:lvlText w:val=""/>
      <w:lvlJc w:val="left"/>
      <w:pPr>
        <w:tabs>
          <w:tab w:val="num" w:pos="7560"/>
        </w:tabs>
        <w:ind w:left="7560" w:hanging="360"/>
      </w:pPr>
      <w:rPr>
        <w:rFonts w:ascii="Wingdings" w:hAnsi="Wingdings" w:cs="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embedSystemFonts/>
  <w:attachedTemplate r:id="rId1"/>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31E54"/>
    <w:rsid w:val="000434DD"/>
    <w:rsid w:val="00051744"/>
    <w:rsid w:val="00052A8C"/>
    <w:rsid w:val="00061809"/>
    <w:rsid w:val="00066277"/>
    <w:rsid w:val="00071B4F"/>
    <w:rsid w:val="000B1355"/>
    <w:rsid w:val="000B446C"/>
    <w:rsid w:val="000D3643"/>
    <w:rsid w:val="000E5AD4"/>
    <w:rsid w:val="000F79D0"/>
    <w:rsid w:val="001036A6"/>
    <w:rsid w:val="00114645"/>
    <w:rsid w:val="00125075"/>
    <w:rsid w:val="00126E76"/>
    <w:rsid w:val="001279DA"/>
    <w:rsid w:val="0013578C"/>
    <w:rsid w:val="00146BF4"/>
    <w:rsid w:val="00171F87"/>
    <w:rsid w:val="001807C8"/>
    <w:rsid w:val="0018757B"/>
    <w:rsid w:val="001A5310"/>
    <w:rsid w:val="001D0F6F"/>
    <w:rsid w:val="001D3C77"/>
    <w:rsid w:val="001E5A3D"/>
    <w:rsid w:val="001E6C9F"/>
    <w:rsid w:val="00205475"/>
    <w:rsid w:val="0021082F"/>
    <w:rsid w:val="00211F07"/>
    <w:rsid w:val="0021293D"/>
    <w:rsid w:val="0021351B"/>
    <w:rsid w:val="00245D17"/>
    <w:rsid w:val="0024676F"/>
    <w:rsid w:val="00267E79"/>
    <w:rsid w:val="00277770"/>
    <w:rsid w:val="0028187F"/>
    <w:rsid w:val="00285908"/>
    <w:rsid w:val="00290972"/>
    <w:rsid w:val="00294E2E"/>
    <w:rsid w:val="002C1512"/>
    <w:rsid w:val="002C7189"/>
    <w:rsid w:val="002D4E1A"/>
    <w:rsid w:val="002E3128"/>
    <w:rsid w:val="002F0052"/>
    <w:rsid w:val="002F5398"/>
    <w:rsid w:val="002F7BA8"/>
    <w:rsid w:val="00300888"/>
    <w:rsid w:val="003042E6"/>
    <w:rsid w:val="00322D9C"/>
    <w:rsid w:val="00324068"/>
    <w:rsid w:val="00330198"/>
    <w:rsid w:val="0034238B"/>
    <w:rsid w:val="003448A5"/>
    <w:rsid w:val="003507EE"/>
    <w:rsid w:val="003515AF"/>
    <w:rsid w:val="0035401D"/>
    <w:rsid w:val="003624EC"/>
    <w:rsid w:val="0036320E"/>
    <w:rsid w:val="00371872"/>
    <w:rsid w:val="00384D45"/>
    <w:rsid w:val="0039241F"/>
    <w:rsid w:val="0039367E"/>
    <w:rsid w:val="003A7314"/>
    <w:rsid w:val="003B48E1"/>
    <w:rsid w:val="003E0F96"/>
    <w:rsid w:val="003E4550"/>
    <w:rsid w:val="00410939"/>
    <w:rsid w:val="00422310"/>
    <w:rsid w:val="004266BA"/>
    <w:rsid w:val="004302DA"/>
    <w:rsid w:val="00442764"/>
    <w:rsid w:val="004436D2"/>
    <w:rsid w:val="0046502C"/>
    <w:rsid w:val="00466E92"/>
    <w:rsid w:val="004761E6"/>
    <w:rsid w:val="00476BE3"/>
    <w:rsid w:val="00477082"/>
    <w:rsid w:val="004A3DE9"/>
    <w:rsid w:val="004A534F"/>
    <w:rsid w:val="004B0ADD"/>
    <w:rsid w:val="004B2E3F"/>
    <w:rsid w:val="004C3AB2"/>
    <w:rsid w:val="004E7A20"/>
    <w:rsid w:val="004F5EDC"/>
    <w:rsid w:val="005069FA"/>
    <w:rsid w:val="00507355"/>
    <w:rsid w:val="005164C7"/>
    <w:rsid w:val="005174CB"/>
    <w:rsid w:val="00575C50"/>
    <w:rsid w:val="0058101F"/>
    <w:rsid w:val="005B7707"/>
    <w:rsid w:val="005C25AC"/>
    <w:rsid w:val="005C30D7"/>
    <w:rsid w:val="005C648F"/>
    <w:rsid w:val="005D3439"/>
    <w:rsid w:val="005E0652"/>
    <w:rsid w:val="00616CF2"/>
    <w:rsid w:val="00621D3A"/>
    <w:rsid w:val="00624C22"/>
    <w:rsid w:val="006359DE"/>
    <w:rsid w:val="006366F0"/>
    <w:rsid w:val="00660133"/>
    <w:rsid w:val="006768E5"/>
    <w:rsid w:val="0068378D"/>
    <w:rsid w:val="0069044F"/>
    <w:rsid w:val="006A0CD3"/>
    <w:rsid w:val="006B2C66"/>
    <w:rsid w:val="006B64F2"/>
    <w:rsid w:val="006B674E"/>
    <w:rsid w:val="006D7A3E"/>
    <w:rsid w:val="006F2EDD"/>
    <w:rsid w:val="006F7AB9"/>
    <w:rsid w:val="0072249F"/>
    <w:rsid w:val="00732677"/>
    <w:rsid w:val="00756167"/>
    <w:rsid w:val="007B6EDE"/>
    <w:rsid w:val="007C6484"/>
    <w:rsid w:val="007E0166"/>
    <w:rsid w:val="0080478C"/>
    <w:rsid w:val="008047BA"/>
    <w:rsid w:val="00830504"/>
    <w:rsid w:val="00840C95"/>
    <w:rsid w:val="008429C7"/>
    <w:rsid w:val="00842F54"/>
    <w:rsid w:val="00843AB2"/>
    <w:rsid w:val="00861C65"/>
    <w:rsid w:val="0086613F"/>
    <w:rsid w:val="00866B33"/>
    <w:rsid w:val="008738F8"/>
    <w:rsid w:val="00875127"/>
    <w:rsid w:val="008A1A1A"/>
    <w:rsid w:val="008D62AD"/>
    <w:rsid w:val="008D7208"/>
    <w:rsid w:val="008D7CD7"/>
    <w:rsid w:val="008E49C2"/>
    <w:rsid w:val="008F00D3"/>
    <w:rsid w:val="009126C5"/>
    <w:rsid w:val="00923AAA"/>
    <w:rsid w:val="009336D3"/>
    <w:rsid w:val="00947C81"/>
    <w:rsid w:val="009843F2"/>
    <w:rsid w:val="00995FF9"/>
    <w:rsid w:val="009B2B47"/>
    <w:rsid w:val="009B3858"/>
    <w:rsid w:val="009C3959"/>
    <w:rsid w:val="009C4289"/>
    <w:rsid w:val="009E38B9"/>
    <w:rsid w:val="009E6704"/>
    <w:rsid w:val="009F6F91"/>
    <w:rsid w:val="009F71A9"/>
    <w:rsid w:val="00A11BA6"/>
    <w:rsid w:val="00A24AB0"/>
    <w:rsid w:val="00A27A51"/>
    <w:rsid w:val="00A45CFD"/>
    <w:rsid w:val="00A52FEF"/>
    <w:rsid w:val="00A6055F"/>
    <w:rsid w:val="00A61508"/>
    <w:rsid w:val="00A67984"/>
    <w:rsid w:val="00A80C0C"/>
    <w:rsid w:val="00AA599C"/>
    <w:rsid w:val="00AB5491"/>
    <w:rsid w:val="00AE6899"/>
    <w:rsid w:val="00B31021"/>
    <w:rsid w:val="00B45105"/>
    <w:rsid w:val="00B66558"/>
    <w:rsid w:val="00B71E65"/>
    <w:rsid w:val="00BB28D9"/>
    <w:rsid w:val="00BC14AF"/>
    <w:rsid w:val="00BC1B0C"/>
    <w:rsid w:val="00BD0003"/>
    <w:rsid w:val="00BD2E1F"/>
    <w:rsid w:val="00BE2551"/>
    <w:rsid w:val="00BE4AD4"/>
    <w:rsid w:val="00BE57F7"/>
    <w:rsid w:val="00BF064B"/>
    <w:rsid w:val="00BF669A"/>
    <w:rsid w:val="00BF7B0F"/>
    <w:rsid w:val="00C41763"/>
    <w:rsid w:val="00C50A94"/>
    <w:rsid w:val="00C770DC"/>
    <w:rsid w:val="00C94ECC"/>
    <w:rsid w:val="00CD1803"/>
    <w:rsid w:val="00CE42F4"/>
    <w:rsid w:val="00CF77C6"/>
    <w:rsid w:val="00D6296A"/>
    <w:rsid w:val="00D70AB8"/>
    <w:rsid w:val="00D70D1A"/>
    <w:rsid w:val="00D70E86"/>
    <w:rsid w:val="00D77EFA"/>
    <w:rsid w:val="00D93348"/>
    <w:rsid w:val="00D957B6"/>
    <w:rsid w:val="00DA697D"/>
    <w:rsid w:val="00DB0746"/>
    <w:rsid w:val="00DD0C26"/>
    <w:rsid w:val="00DE2E5B"/>
    <w:rsid w:val="00DE4654"/>
    <w:rsid w:val="00E03DDC"/>
    <w:rsid w:val="00E1046F"/>
    <w:rsid w:val="00E106D5"/>
    <w:rsid w:val="00E13131"/>
    <w:rsid w:val="00E32A2C"/>
    <w:rsid w:val="00E36A8A"/>
    <w:rsid w:val="00E5698E"/>
    <w:rsid w:val="00E6128F"/>
    <w:rsid w:val="00E6521E"/>
    <w:rsid w:val="00E657C4"/>
    <w:rsid w:val="00E66ABD"/>
    <w:rsid w:val="00E81318"/>
    <w:rsid w:val="00E823A2"/>
    <w:rsid w:val="00E832BF"/>
    <w:rsid w:val="00E85525"/>
    <w:rsid w:val="00E96403"/>
    <w:rsid w:val="00E96F77"/>
    <w:rsid w:val="00EA1C7D"/>
    <w:rsid w:val="00EA2401"/>
    <w:rsid w:val="00ED219A"/>
    <w:rsid w:val="00EE7567"/>
    <w:rsid w:val="00F04CA7"/>
    <w:rsid w:val="00F07123"/>
    <w:rsid w:val="00F10E6F"/>
    <w:rsid w:val="00F1533A"/>
    <w:rsid w:val="00F32F21"/>
    <w:rsid w:val="00F51CA9"/>
    <w:rsid w:val="00F749E3"/>
    <w:rsid w:val="00F80AE6"/>
    <w:rsid w:val="00F94E8E"/>
    <w:rsid w:val="00F97080"/>
    <w:rsid w:val="00F972CB"/>
    <w:rsid w:val="00FA24A8"/>
    <w:rsid w:val="00FA4770"/>
    <w:rsid w:val="00FE32F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DE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BA0DE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A0DE4"/>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BA0DE4"/>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BA0DE4"/>
    <w:rPr>
      <w:sz w:val="0"/>
      <w:szCs w:val="0"/>
    </w:r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rsid w:val="00BA0DE4"/>
    <w:rPr>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BA0DE4"/>
    <w:rPr>
      <w:sz w:val="20"/>
      <w:szCs w:val="20"/>
    </w:rPr>
  </w:style>
  <w:style w:type="character" w:styleId="PageNumber">
    <w:name w:val="page number"/>
    <w:basedOn w:val="DefaultParagraphFont"/>
    <w:uiPriority w:val="99"/>
    <w:rsid w:val="001036A6"/>
  </w:style>
  <w:style w:type="character" w:customStyle="1" w:styleId="ETCar">
    <w:name w:val="ET Car"/>
    <w:basedOn w:val="DefaultParagraphFont"/>
    <w:link w:val="ET"/>
    <w:uiPriority w:val="99"/>
    <w:locked/>
    <w:rsid w:val="001036A6"/>
    <w:rPr>
      <w:b/>
      <w:bCs/>
      <w:caps/>
      <w:sz w:val="24"/>
      <w:szCs w:val="24"/>
      <w:lang w:val="fr-FR" w:eastAsia="fr-FR"/>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s>
</file>

<file path=word/webSettings.xml><?xml version="1.0" encoding="utf-8"?>
<w:webSettings xmlns:r="http://schemas.openxmlformats.org/officeDocument/2006/relationships" xmlns:w="http://schemas.openxmlformats.org/wordprocessingml/2006/main">
  <w:divs>
    <w:div w:id="69084266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2321</Words>
  <Characters>12771</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2</cp:revision>
  <cp:lastPrinted>2008-04-04T14:22:00Z</cp:lastPrinted>
  <dcterms:created xsi:type="dcterms:W3CDTF">2008-05-26T13:55:00Z</dcterms:created>
  <dcterms:modified xsi:type="dcterms:W3CDTF">2008-05-26T13:55:00Z</dcterms:modified>
</cp:coreProperties>
</file>