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F5" w:rsidRDefault="00D53DF5">
      <w:pPr>
        <w:pStyle w:val="ET"/>
      </w:pPr>
      <w:r>
        <w:t>COUR DES COMPTES</w:t>
      </w:r>
    </w:p>
    <w:p w:rsidR="00D53DF5" w:rsidRDefault="00D53DF5">
      <w:pPr>
        <w:pStyle w:val="ET"/>
      </w:pPr>
      <w:r>
        <w:tab/>
        <w:t xml:space="preserve">    ------ </w:t>
      </w:r>
    </w:p>
    <w:p w:rsidR="00D53DF5" w:rsidRDefault="00D53DF5">
      <w:pPr>
        <w:pStyle w:val="ET"/>
      </w:pPr>
      <w:r>
        <w:t>quatriemE CHAMBRE</w:t>
      </w:r>
    </w:p>
    <w:p w:rsidR="00D53DF5" w:rsidRDefault="00D53DF5" w:rsidP="000434DD">
      <w:pPr>
        <w:pStyle w:val="ET"/>
      </w:pPr>
      <w:r>
        <w:tab/>
        <w:t xml:space="preserve">    ------ </w:t>
      </w:r>
    </w:p>
    <w:p w:rsidR="00D53DF5" w:rsidRDefault="00D53DF5">
      <w:pPr>
        <w:pStyle w:val="ET"/>
      </w:pPr>
      <w:r>
        <w:t>PREMIERe SECTION</w:t>
      </w:r>
    </w:p>
    <w:p w:rsidR="00D53DF5" w:rsidRDefault="00D53DF5">
      <w:pPr>
        <w:pStyle w:val="ET"/>
      </w:pPr>
      <w:r>
        <w:tab/>
        <w:t xml:space="preserve">    ------ </w:t>
      </w:r>
    </w:p>
    <w:p w:rsidR="00D53DF5" w:rsidRPr="00947C81" w:rsidRDefault="00D53DF5" w:rsidP="000434DD">
      <w:pPr>
        <w:pStyle w:val="Header"/>
        <w:rPr>
          <w:b/>
          <w:bCs/>
          <w:i/>
          <w:iCs/>
        </w:rPr>
      </w:pPr>
      <w:r>
        <w:t xml:space="preserve">       </w:t>
      </w:r>
      <w:r w:rsidRPr="00947C81">
        <w:rPr>
          <w:b/>
          <w:bCs/>
          <w:i/>
          <w:iCs/>
        </w:rPr>
        <w:t xml:space="preserve">Arrêt n° </w:t>
      </w:r>
      <w:r>
        <w:rPr>
          <w:b/>
          <w:bCs/>
          <w:i/>
          <w:iCs/>
        </w:rPr>
        <w:t>51988</w:t>
      </w:r>
      <w:r>
        <w:fldChar w:fldCharType="begin"/>
      </w:r>
      <w:r>
        <w:fldChar w:fldCharType="end"/>
      </w:r>
    </w:p>
    <w:p w:rsidR="00D53DF5" w:rsidRDefault="00D53DF5" w:rsidP="007C6484">
      <w:pPr>
        <w:pStyle w:val="OR"/>
        <w:ind w:right="-284"/>
      </w:pPr>
      <w:r>
        <w:t>COMMUNE D’AUCHY-LA-MONTAGNE (OISE)</w:t>
      </w:r>
    </w:p>
    <w:p w:rsidR="00D53DF5" w:rsidRDefault="00D53DF5" w:rsidP="006F2EDD">
      <w:pPr>
        <w:pStyle w:val="OR"/>
      </w:pPr>
    </w:p>
    <w:p w:rsidR="00D53DF5" w:rsidRDefault="00D53DF5" w:rsidP="006F2EDD">
      <w:pPr>
        <w:pStyle w:val="OR"/>
      </w:pPr>
      <w:r>
        <w:t>Appel d’un jugement de la chambre régionale des comptes de Picardie</w:t>
      </w:r>
    </w:p>
    <w:p w:rsidR="00D53DF5" w:rsidRDefault="00D53DF5" w:rsidP="006F2EDD">
      <w:pPr>
        <w:pStyle w:val="OR"/>
      </w:pPr>
    </w:p>
    <w:p w:rsidR="00D53DF5" w:rsidRDefault="00D53DF5" w:rsidP="00894A52">
      <w:pPr>
        <w:pStyle w:val="OR"/>
      </w:pPr>
      <w:r>
        <w:t>Rapport n° 2008-265-0</w:t>
      </w:r>
    </w:p>
    <w:p w:rsidR="00D53DF5" w:rsidRDefault="00D53DF5" w:rsidP="006F2EDD">
      <w:pPr>
        <w:pStyle w:val="OR"/>
      </w:pPr>
    </w:p>
    <w:p w:rsidR="00D53DF5" w:rsidRDefault="00D53DF5" w:rsidP="006F2EDD">
      <w:pPr>
        <w:pStyle w:val="OR"/>
      </w:pPr>
      <w:r>
        <w:t>Audience du 22 mai 2008</w:t>
      </w:r>
    </w:p>
    <w:p w:rsidR="00D53DF5" w:rsidRDefault="00D53DF5" w:rsidP="006F2EDD">
      <w:pPr>
        <w:pStyle w:val="OR"/>
      </w:pPr>
    </w:p>
    <w:p w:rsidR="00D53DF5" w:rsidRDefault="00D53DF5" w:rsidP="007C6484">
      <w:pPr>
        <w:pStyle w:val="OR"/>
        <w:ind w:right="-284"/>
      </w:pPr>
      <w:r>
        <w:t>Lecture publique du 19 juin 2008</w:t>
      </w:r>
    </w:p>
    <w:p w:rsidR="00D53DF5" w:rsidRDefault="00D53DF5" w:rsidP="007C6484">
      <w:pPr>
        <w:pStyle w:val="OR"/>
        <w:ind w:right="-284"/>
      </w:pPr>
    </w:p>
    <w:p w:rsidR="00D53DF5" w:rsidRDefault="00D53DF5" w:rsidP="007C6484">
      <w:pPr>
        <w:pStyle w:val="OR"/>
        <w:ind w:right="-284"/>
      </w:pPr>
    </w:p>
    <w:p w:rsidR="00D53DF5" w:rsidRDefault="00D53DF5" w:rsidP="001704A0">
      <w:pPr>
        <w:pStyle w:val="PS"/>
        <w:spacing w:after="360"/>
        <w:ind w:firstLine="0"/>
        <w:jc w:val="center"/>
      </w:pPr>
      <w:r>
        <w:t>REPUBLIQUE FRANCAISE</w:t>
      </w:r>
    </w:p>
    <w:p w:rsidR="00D53DF5" w:rsidRDefault="00D53DF5" w:rsidP="001704A0">
      <w:pPr>
        <w:pStyle w:val="PS"/>
        <w:spacing w:after="360"/>
        <w:ind w:firstLine="0"/>
        <w:jc w:val="center"/>
      </w:pPr>
      <w:r>
        <w:t>AU NOM DU PEUPLE FRANÇAIS</w:t>
      </w:r>
    </w:p>
    <w:p w:rsidR="00D53DF5" w:rsidRDefault="00D53DF5" w:rsidP="001704A0">
      <w:pPr>
        <w:pStyle w:val="PS"/>
        <w:spacing w:after="360"/>
        <w:ind w:firstLine="0"/>
        <w:jc w:val="center"/>
      </w:pPr>
      <w:r>
        <w:t>LA COUR DES COMPTES a rendu l’arrêt suivant :</w:t>
      </w:r>
    </w:p>
    <w:p w:rsidR="00D53DF5" w:rsidRDefault="00D53DF5">
      <w:pPr>
        <w:pStyle w:val="PS"/>
      </w:pPr>
      <w:r>
        <w:t>LA COUR,</w:t>
      </w:r>
    </w:p>
    <w:p w:rsidR="00D53DF5" w:rsidRDefault="00D53DF5" w:rsidP="001704A0">
      <w:pPr>
        <w:pStyle w:val="PS"/>
        <w:spacing w:after="360"/>
      </w:pPr>
      <w:r>
        <w:t>Vu la requête, enregistrée le 3 septembre 2007 au greffe de la chambre régionale des comptes de Picardie, par laquelle M. X, comptable de la COMMUNE d’AUCHY-LA-MONTAGNE en 2000 et jusqu’au 2 janvier 2001, a élevé appel du jugement du 5 juillet 2007 par lequel ladite chambre l’a constitué débiteur des deniers de ladite commune pour la somme de 4 542,59 €, augmentée des intérêts de droit à compter du 2 janvier 2001, correspondant à des créances dues par MM. Y, Z et A pour les sommes respectivement de 4 418,19 € (loyers), 62,20 € et 62,20 € (taxes d’ordure ménagère) ;</w:t>
      </w:r>
    </w:p>
    <w:p w:rsidR="00D53DF5" w:rsidRDefault="00D53DF5" w:rsidP="001704A0">
      <w:pPr>
        <w:pStyle w:val="PS"/>
        <w:spacing w:after="360"/>
      </w:pPr>
      <w:r>
        <w:t>Vu le réquisitoire du Procureur général, en date du 3 décembre 2007, transmettant la requête précitée ;</w:t>
      </w:r>
    </w:p>
    <w:p w:rsidR="00D53DF5" w:rsidRDefault="00D53DF5" w:rsidP="001704A0">
      <w:pPr>
        <w:pStyle w:val="PS"/>
        <w:spacing w:after="360"/>
      </w:pPr>
      <w:r>
        <w:t>Vu les pièces de la procédure suivie en première instance, ensemble le jugement provisoire du 4 avril 2006 et le jugement définitif du 5 juillet 2007 dont est appel ;</w:t>
      </w:r>
    </w:p>
    <w:p w:rsidR="00D53DF5" w:rsidRDefault="00D53DF5" w:rsidP="001704A0">
      <w:pPr>
        <w:pStyle w:val="PS"/>
        <w:spacing w:after="360"/>
      </w:pPr>
      <w:r>
        <w:t>Vu le code général des collectivités territoriales ;</w:t>
      </w:r>
    </w:p>
    <w:p w:rsidR="00D53DF5" w:rsidRDefault="00D53DF5" w:rsidP="00EC18BC">
      <w:pPr>
        <w:pStyle w:val="PS"/>
      </w:pPr>
      <w:r>
        <w:t>Vu l’article 60 de la loi de finances n° 63-156 du 23 février 1963 modifiée ;</w:t>
      </w:r>
    </w:p>
    <w:p w:rsidR="00D53DF5" w:rsidRDefault="00D53DF5" w:rsidP="00EC18BC">
      <w:pPr>
        <w:pStyle w:val="IN"/>
      </w:pPr>
      <w:r>
        <w:t>MNT</w:t>
      </w:r>
    </w:p>
    <w:p w:rsidR="00D53DF5" w:rsidRDefault="00D53DF5" w:rsidP="00EC18BC">
      <w:pPr>
        <w:pStyle w:val="PS"/>
        <w:sectPr w:rsidR="00D53DF5" w:rsidSect="00EC18BC">
          <w:headerReference w:type="default" r:id="rId7"/>
          <w:pgSz w:w="11907" w:h="16840" w:code="9"/>
          <w:pgMar w:top="1134" w:right="1134" w:bottom="1134" w:left="567" w:header="720" w:footer="720" w:gutter="0"/>
          <w:cols w:space="720"/>
          <w:titlePg/>
        </w:sectPr>
      </w:pPr>
    </w:p>
    <w:p w:rsidR="00D53DF5" w:rsidRDefault="00D53DF5" w:rsidP="00EC18BC">
      <w:pPr>
        <w:pStyle w:val="PS"/>
      </w:pPr>
      <w:r>
        <w:t>Vu le décret n° 62-1587 du 29 décembre 1962 modifié portant règlement général sur la comptabilité publique ;</w:t>
      </w:r>
    </w:p>
    <w:p w:rsidR="00D53DF5" w:rsidRDefault="00D53DF5" w:rsidP="00EC18BC">
      <w:pPr>
        <w:pStyle w:val="PS"/>
      </w:pPr>
      <w:r>
        <w:t>Vu le code des juridictions financières ;</w:t>
      </w:r>
    </w:p>
    <w:p w:rsidR="00D53DF5" w:rsidRDefault="00D53DF5" w:rsidP="00EC18BC">
      <w:pPr>
        <w:pStyle w:val="PS"/>
      </w:pPr>
      <w:r>
        <w:t>Vu le rapport de Mme Démier, conseillère référendaire ;</w:t>
      </w:r>
    </w:p>
    <w:p w:rsidR="00D53DF5" w:rsidRDefault="00D53DF5" w:rsidP="00EC18BC">
      <w:pPr>
        <w:pStyle w:val="PS"/>
      </w:pPr>
      <w:r>
        <w:t>Vu les conclusions du Procureur général ;</w:t>
      </w:r>
    </w:p>
    <w:p w:rsidR="00D53DF5" w:rsidRDefault="00D53DF5" w:rsidP="00EC18BC">
      <w:pPr>
        <w:pStyle w:val="PS"/>
      </w:pPr>
      <w:r>
        <w:t>Entendu, lors de l’audience publique de ce jour, Mme Démier, rapporteur, en son rapport, M. Perrin, avocat général, en ses conclusions, l’appelant étant présent et ayant parlé en dernier ;</w:t>
      </w:r>
    </w:p>
    <w:p w:rsidR="00D53DF5" w:rsidRDefault="00D53DF5" w:rsidP="00EC18BC">
      <w:pPr>
        <w:pStyle w:val="PS"/>
      </w:pPr>
      <w:r>
        <w:t>Entendu, en délibéré, M. Moreau, conseiller maître, président de section, en ses observations ;</w:t>
      </w:r>
    </w:p>
    <w:p w:rsidR="00D53DF5" w:rsidRPr="00EC18BC" w:rsidRDefault="00D53DF5" w:rsidP="00EC18BC">
      <w:pPr>
        <w:pStyle w:val="PS"/>
        <w:rPr>
          <w:b/>
          <w:bCs/>
        </w:rPr>
      </w:pPr>
      <w:r w:rsidRPr="007168B4">
        <w:rPr>
          <w:b/>
          <w:bCs/>
          <w:u w:val="single"/>
        </w:rPr>
        <w:t xml:space="preserve">Sur la créance </w:t>
      </w:r>
      <w:r>
        <w:rPr>
          <w:b/>
          <w:bCs/>
          <w:u w:val="single"/>
        </w:rPr>
        <w:t>due par</w:t>
      </w:r>
      <w:r w:rsidRPr="007168B4">
        <w:rPr>
          <w:b/>
          <w:bCs/>
          <w:u w:val="single"/>
        </w:rPr>
        <w:t xml:space="preserve"> M. Y</w:t>
      </w:r>
      <w:r w:rsidRPr="00EC18BC">
        <w:rPr>
          <w:b/>
          <w:bCs/>
        </w:rPr>
        <w:t> :</w:t>
      </w:r>
    </w:p>
    <w:p w:rsidR="00D53DF5" w:rsidRDefault="00D53DF5" w:rsidP="00417721">
      <w:pPr>
        <w:pStyle w:val="PS"/>
      </w:pPr>
      <w:r>
        <w:t>Attendu, s’agissant de la créance due par M. Y, que, comme le soulève M. X,</w:t>
      </w:r>
      <w:r w:rsidRPr="004F6D75">
        <w:t xml:space="preserve"> le jugement </w:t>
      </w:r>
      <w:r>
        <w:t>du 5 juillet 2007 de la chambre régionale de Picardie dont est appel l’a constitué débiteur pour un montant</w:t>
      </w:r>
      <w:r w:rsidRPr="004F6D75">
        <w:t xml:space="preserve"> de </w:t>
      </w:r>
      <w:r>
        <w:t xml:space="preserve">4 418,19 € </w:t>
      </w:r>
      <w:r w:rsidRPr="004F6D75">
        <w:t>supérieur à celui de 3</w:t>
      </w:r>
      <w:r>
        <w:t> </w:t>
      </w:r>
      <w:r w:rsidRPr="004F6D75">
        <w:t>351,05</w:t>
      </w:r>
      <w:r>
        <w:t> </w:t>
      </w:r>
      <w:r w:rsidRPr="004F6D75">
        <w:t xml:space="preserve">€, </w:t>
      </w:r>
      <w:r>
        <w:t>qui a fait l’objet de l’injonction prononcée dans le jugement provisoire du 4 avril 2006 ;</w:t>
      </w:r>
    </w:p>
    <w:p w:rsidR="00D53DF5" w:rsidRDefault="00D53DF5" w:rsidP="00EC18BC">
      <w:pPr>
        <w:pStyle w:val="PS"/>
      </w:pPr>
      <w:r>
        <w:t>Attendu que la chambre régionale ne pouvait, sans méconnaître le caractère contradictoire de la procédure devant elle, constituer le comptable débiteur d’une somme supérieure à celle faisant l’objet de l’injonction, au chef des mêmes griefs ; que cette méconnaissance du contradictoire conduit nécessairement à l’annulation du jugement attaqué sur ce point ;</w:t>
      </w:r>
    </w:p>
    <w:p w:rsidR="00D53DF5" w:rsidRDefault="00D53DF5" w:rsidP="00EC18BC">
      <w:pPr>
        <w:pStyle w:val="PS"/>
      </w:pPr>
      <w:r>
        <w:t>Attendu que l’affaire est en état d’être jugée ; que la Cour peut en décider l’évocation ;</w:t>
      </w:r>
    </w:p>
    <w:p w:rsidR="00D53DF5" w:rsidRDefault="00D53DF5" w:rsidP="00EC18BC">
      <w:pPr>
        <w:pStyle w:val="PS"/>
      </w:pPr>
      <w:r>
        <w:t>Attendu que le comptable justifie de paiements encaissés au moins jusqu’au 16 octobre 1996 ; que ces paiements constituent une reconnaissance par le débiteur de sa dette et interrompent le délai de prescription ; que l’état des poursuites extérieures par voie de saisie établi le 8 août 2001 par la trésorerie de Revel atteste de commandements délivrés en 1995, 1997 et 1999, de nature à interrompre également le délai de prescription ;</w:t>
      </w:r>
    </w:p>
    <w:p w:rsidR="00D53DF5" w:rsidRDefault="00D53DF5" w:rsidP="00EC18BC">
      <w:pPr>
        <w:pStyle w:val="PS"/>
      </w:pPr>
      <w:r>
        <w:br w:type="page"/>
        <w:t>Attendu dans ces conditions qu’à la date du départ de fonctions du comptable en janvier 2001, la créance due par M. Y n’était pas prescrite et que ses diligences n’avaient pas compromis irrémédiablement son recouvrement ; qu’il y a lieu dès lors de lever l’injonction ;</w:t>
      </w:r>
    </w:p>
    <w:p w:rsidR="00D53DF5" w:rsidRPr="00EC18BC" w:rsidRDefault="00D53DF5" w:rsidP="00EC18BC">
      <w:pPr>
        <w:pStyle w:val="PS"/>
        <w:rPr>
          <w:b/>
          <w:bCs/>
        </w:rPr>
      </w:pPr>
      <w:r w:rsidRPr="00505BAF">
        <w:rPr>
          <w:b/>
          <w:bCs/>
          <w:u w:val="single"/>
        </w:rPr>
        <w:t xml:space="preserve">Sur les créances </w:t>
      </w:r>
      <w:r>
        <w:rPr>
          <w:b/>
          <w:bCs/>
          <w:u w:val="single"/>
        </w:rPr>
        <w:t xml:space="preserve">dues par </w:t>
      </w:r>
      <w:r w:rsidRPr="00505BAF">
        <w:rPr>
          <w:b/>
          <w:bCs/>
          <w:u w:val="single"/>
        </w:rPr>
        <w:t>MM. Z et A</w:t>
      </w:r>
      <w:r w:rsidRPr="00EC18BC">
        <w:rPr>
          <w:b/>
          <w:bCs/>
        </w:rPr>
        <w:t> :</w:t>
      </w:r>
    </w:p>
    <w:p w:rsidR="00D53DF5" w:rsidRDefault="00D53DF5" w:rsidP="00417721">
      <w:pPr>
        <w:pStyle w:val="PS"/>
      </w:pPr>
      <w:r>
        <w:t xml:space="preserve">Attendu que M. X rappelle qu’il a été déchargé de sa gestion pour l’exercice 1999 ; </w:t>
      </w:r>
    </w:p>
    <w:p w:rsidR="00D53DF5" w:rsidRDefault="00D53DF5" w:rsidP="00EC18BC">
      <w:pPr>
        <w:pStyle w:val="PS"/>
      </w:pPr>
      <w:r>
        <w:t>Attendu, toutefois, qu’il n’est pas démontré que les créances étaient devenues irrécouvrables au cours de cet exercice ; que dès lors, le moyen avancé est inopérant ;</w:t>
      </w:r>
    </w:p>
    <w:p w:rsidR="00D53DF5" w:rsidRPr="005A2363" w:rsidRDefault="00D53DF5" w:rsidP="00EC18BC">
      <w:pPr>
        <w:pStyle w:val="PS"/>
      </w:pPr>
      <w:r>
        <w:t>Attendu</w:t>
      </w:r>
      <w:r w:rsidRPr="005A2363">
        <w:t xml:space="preserve"> que</w:t>
      </w:r>
      <w:r>
        <w:t xml:space="preserve"> le jugement de la chambre régionale des comptes du 5 juillet 2007, dont est appel, est fondé, s’agissant des créances en cause, sur l’absence de diligences adéquates, complètes et rapides ; que,</w:t>
      </w:r>
      <w:r w:rsidRPr="005A2363">
        <w:t xml:space="preserve"> </w:t>
      </w:r>
      <w:r>
        <w:t>comme il le</w:t>
      </w:r>
      <w:r w:rsidRPr="005A2363">
        <w:t xml:space="preserve"> reconnaît lui-même</w:t>
      </w:r>
      <w:r>
        <w:t>,</w:t>
      </w:r>
      <w:r w:rsidRPr="005A2363">
        <w:t xml:space="preserve"> le comptable n’</w:t>
      </w:r>
      <w:r>
        <w:t>a</w:t>
      </w:r>
      <w:r w:rsidRPr="005A2363">
        <w:t xml:space="preserve"> pas effectué les diligences nécessaires</w:t>
      </w:r>
      <w:r>
        <w:t xml:space="preserve"> ; </w:t>
      </w:r>
    </w:p>
    <w:p w:rsidR="00D53DF5" w:rsidRDefault="00D53DF5" w:rsidP="00EC18BC">
      <w:pPr>
        <w:pStyle w:val="PS"/>
        <w:jc w:val="center"/>
      </w:pPr>
      <w:r>
        <w:t>Par ces motifs,</w:t>
      </w:r>
    </w:p>
    <w:p w:rsidR="00D53DF5" w:rsidRDefault="00D53DF5" w:rsidP="00EC18BC">
      <w:pPr>
        <w:pStyle w:val="PS"/>
        <w:jc w:val="center"/>
      </w:pPr>
      <w:r>
        <w:t>STATUANT DEFINITIVEMENT</w:t>
      </w:r>
    </w:p>
    <w:p w:rsidR="00D53DF5" w:rsidRDefault="00D53DF5" w:rsidP="00EC18BC">
      <w:pPr>
        <w:pStyle w:val="PS"/>
        <w:jc w:val="center"/>
      </w:pPr>
      <w:r>
        <w:t>ORDONNE :</w:t>
      </w:r>
    </w:p>
    <w:p w:rsidR="00D53DF5" w:rsidRDefault="00D53DF5" w:rsidP="00417721">
      <w:pPr>
        <w:pStyle w:val="PS"/>
      </w:pPr>
      <w:r>
        <w:t>Art. 1 : le jugement de la chambre régionale des comptes de Picardie en date du 5 juillet 2007 est annulé pour ce qui concerne le montant du débet de 4 418,19 € relatif à la créance due par M. Y.</w:t>
      </w:r>
    </w:p>
    <w:p w:rsidR="00D53DF5" w:rsidRDefault="00D53DF5" w:rsidP="00EC18BC">
      <w:pPr>
        <w:pStyle w:val="PS"/>
      </w:pPr>
      <w:r>
        <w:t>Art. 2 : l’affaire est évoquée.</w:t>
      </w:r>
    </w:p>
    <w:p w:rsidR="00D53DF5" w:rsidRDefault="00D53DF5" w:rsidP="00EC18BC">
      <w:pPr>
        <w:pStyle w:val="PS"/>
      </w:pPr>
      <w:r>
        <w:t>Art. 3 : l’injonction de 3 351,05 € relative à cette créance prononcée par le jugement provisoire du 4 avril 2006 est levée.</w:t>
      </w:r>
    </w:p>
    <w:p w:rsidR="00D53DF5" w:rsidRDefault="00D53DF5" w:rsidP="00663A8A">
      <w:pPr>
        <w:pStyle w:val="PS"/>
      </w:pPr>
      <w:r>
        <w:t>Art. 4 : le jugement de la chambre régionale des comptes de Picardie du 5 juillet 2007 est confirmé pour ce qui concerne les débets relatifs aux créances dues par MM. Z et A, d’un montant de 62,20 € chacun, augmenté des intérêts de droit à compter du 2 janvier 2001.</w:t>
      </w:r>
    </w:p>
    <w:p w:rsidR="00D53DF5" w:rsidRDefault="00D53DF5" w:rsidP="00150F8F">
      <w:pPr>
        <w:pStyle w:val="PS"/>
        <w:jc w:val="center"/>
      </w:pPr>
      <w:r>
        <w:t>--------</w:t>
      </w:r>
    </w:p>
    <w:p w:rsidR="00D53DF5" w:rsidRPr="00660A6D" w:rsidRDefault="00D53DF5" w:rsidP="00EC18BC">
      <w:pPr>
        <w:pStyle w:val="PS"/>
      </w:pPr>
      <w:r w:rsidRPr="002C0115">
        <w:t>Fait et jugé en la Cour des comptes, quatr</w:t>
      </w:r>
      <w:r>
        <w:t xml:space="preserve">ième chambre, première section, le vingt-deux mai deux mille huit. </w:t>
      </w:r>
      <w:r w:rsidRPr="002C0115">
        <w:t>Présents, MM</w:t>
      </w:r>
      <w:r>
        <w:t>. </w:t>
      </w:r>
      <w:r w:rsidRPr="002C0115">
        <w:t xml:space="preserve">Pichon, président, Moreau, président de section, MM. Ganser, </w:t>
      </w:r>
      <w:r>
        <w:t xml:space="preserve">Pallot, </w:t>
      </w:r>
      <w:r w:rsidRPr="002C0115">
        <w:t xml:space="preserve">Ritz, </w:t>
      </w:r>
      <w:r>
        <w:t xml:space="preserve">Bernicot, </w:t>
      </w:r>
      <w:r w:rsidRPr="002C0115">
        <w:t>Mme Gadriot-Renard, conseillers maîtres.</w:t>
      </w:r>
    </w:p>
    <w:p w:rsidR="00D53DF5" w:rsidRDefault="00D53DF5" w:rsidP="00E042B2">
      <w:pPr>
        <w:pStyle w:val="PS"/>
        <w:spacing w:after="360"/>
      </w:pPr>
      <w:r>
        <w:t>Signé : Pichon, président et Reynaud, greffier.</w:t>
      </w:r>
    </w:p>
    <w:p w:rsidR="00D53DF5" w:rsidRDefault="00D53DF5" w:rsidP="008E1C54">
      <w:pPr>
        <w:pStyle w:val="PS"/>
        <w:spacing w:after="360"/>
      </w:pPr>
      <w:r>
        <w:t>Collationné, certifié conforme à la minute étant au greffe de la Cour des comptes.</w:t>
      </w:r>
    </w:p>
    <w:p w:rsidR="00D53DF5" w:rsidRDefault="00D53DF5" w:rsidP="0064437D">
      <w:pPr>
        <w:pStyle w:val="PS"/>
        <w:spacing w:after="36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53DF5" w:rsidRDefault="00D53DF5" w:rsidP="008E1C54">
      <w:pPr>
        <w:pStyle w:val="PS"/>
        <w:spacing w:after="360"/>
      </w:pPr>
      <w:r>
        <w:t>Délivré par moi, secrétaire générale.</w:t>
      </w:r>
    </w:p>
    <w:sectPr w:rsidR="00D53DF5" w:rsidSect="00A42794">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DF5" w:rsidRDefault="00D53DF5">
      <w:r>
        <w:separator/>
      </w:r>
    </w:p>
  </w:endnote>
  <w:endnote w:type="continuationSeparator" w:id="1">
    <w:p w:rsidR="00D53DF5" w:rsidRDefault="00D53D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DF5" w:rsidRDefault="00D53DF5">
      <w:r>
        <w:separator/>
      </w:r>
    </w:p>
  </w:footnote>
  <w:footnote w:type="continuationSeparator" w:id="1">
    <w:p w:rsidR="00D53DF5" w:rsidRDefault="00D53D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DF5" w:rsidRDefault="00D53DF5" w:rsidP="00EC18B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DF5" w:rsidRDefault="00D53DF5" w:rsidP="00EC18B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0AE0"/>
    <w:rsid w:val="00061809"/>
    <w:rsid w:val="00071B4F"/>
    <w:rsid w:val="00080D6A"/>
    <w:rsid w:val="000B1355"/>
    <w:rsid w:val="000D3643"/>
    <w:rsid w:val="000E5AD4"/>
    <w:rsid w:val="000F45E5"/>
    <w:rsid w:val="000F79D0"/>
    <w:rsid w:val="001036A6"/>
    <w:rsid w:val="00114645"/>
    <w:rsid w:val="001214BF"/>
    <w:rsid w:val="00125075"/>
    <w:rsid w:val="00126E76"/>
    <w:rsid w:val="001279DA"/>
    <w:rsid w:val="00146BF4"/>
    <w:rsid w:val="00150F8F"/>
    <w:rsid w:val="001704A0"/>
    <w:rsid w:val="00171F87"/>
    <w:rsid w:val="001807C8"/>
    <w:rsid w:val="00180E2A"/>
    <w:rsid w:val="0018757B"/>
    <w:rsid w:val="001A5310"/>
    <w:rsid w:val="001D3C77"/>
    <w:rsid w:val="001E5A3D"/>
    <w:rsid w:val="001E6C9F"/>
    <w:rsid w:val="00205475"/>
    <w:rsid w:val="0021293D"/>
    <w:rsid w:val="00214D55"/>
    <w:rsid w:val="00245D17"/>
    <w:rsid w:val="0024676F"/>
    <w:rsid w:val="00267E79"/>
    <w:rsid w:val="00277770"/>
    <w:rsid w:val="0028187F"/>
    <w:rsid w:val="00285908"/>
    <w:rsid w:val="0028706B"/>
    <w:rsid w:val="00290972"/>
    <w:rsid w:val="00294E2E"/>
    <w:rsid w:val="002C0115"/>
    <w:rsid w:val="002D4E1A"/>
    <w:rsid w:val="002E3128"/>
    <w:rsid w:val="002F0052"/>
    <w:rsid w:val="002F5398"/>
    <w:rsid w:val="003042E6"/>
    <w:rsid w:val="00322D9C"/>
    <w:rsid w:val="00324068"/>
    <w:rsid w:val="00330198"/>
    <w:rsid w:val="0034238B"/>
    <w:rsid w:val="003515AF"/>
    <w:rsid w:val="0035401D"/>
    <w:rsid w:val="003624EC"/>
    <w:rsid w:val="0036320E"/>
    <w:rsid w:val="00371872"/>
    <w:rsid w:val="00384D45"/>
    <w:rsid w:val="0039241F"/>
    <w:rsid w:val="0039367E"/>
    <w:rsid w:val="003A7314"/>
    <w:rsid w:val="003B48E1"/>
    <w:rsid w:val="003E0F96"/>
    <w:rsid w:val="003E4550"/>
    <w:rsid w:val="00410939"/>
    <w:rsid w:val="00417721"/>
    <w:rsid w:val="00422310"/>
    <w:rsid w:val="004266BA"/>
    <w:rsid w:val="004302DA"/>
    <w:rsid w:val="00442764"/>
    <w:rsid w:val="00466E92"/>
    <w:rsid w:val="004761E6"/>
    <w:rsid w:val="00476BE3"/>
    <w:rsid w:val="00477082"/>
    <w:rsid w:val="004A3DE9"/>
    <w:rsid w:val="004A534F"/>
    <w:rsid w:val="004B0ADD"/>
    <w:rsid w:val="004B2E3F"/>
    <w:rsid w:val="004C3AB2"/>
    <w:rsid w:val="004E7A20"/>
    <w:rsid w:val="004F5EDC"/>
    <w:rsid w:val="004F6D75"/>
    <w:rsid w:val="00505BAF"/>
    <w:rsid w:val="005069FA"/>
    <w:rsid w:val="00507355"/>
    <w:rsid w:val="005164C7"/>
    <w:rsid w:val="005174CB"/>
    <w:rsid w:val="00534850"/>
    <w:rsid w:val="00562874"/>
    <w:rsid w:val="00575C50"/>
    <w:rsid w:val="005A2363"/>
    <w:rsid w:val="005B7707"/>
    <w:rsid w:val="005C25AC"/>
    <w:rsid w:val="005C30D7"/>
    <w:rsid w:val="005C648F"/>
    <w:rsid w:val="005D3439"/>
    <w:rsid w:val="005E0652"/>
    <w:rsid w:val="006116D8"/>
    <w:rsid w:val="00621D3A"/>
    <w:rsid w:val="00624C22"/>
    <w:rsid w:val="006359DE"/>
    <w:rsid w:val="006366F0"/>
    <w:rsid w:val="0064437D"/>
    <w:rsid w:val="006579FA"/>
    <w:rsid w:val="00660133"/>
    <w:rsid w:val="00660A6D"/>
    <w:rsid w:val="00663A8A"/>
    <w:rsid w:val="006768E5"/>
    <w:rsid w:val="0068378D"/>
    <w:rsid w:val="0069044F"/>
    <w:rsid w:val="006A0CD3"/>
    <w:rsid w:val="006B2C66"/>
    <w:rsid w:val="006B4041"/>
    <w:rsid w:val="006B64F2"/>
    <w:rsid w:val="006B674E"/>
    <w:rsid w:val="006F2EDD"/>
    <w:rsid w:val="006F7AB9"/>
    <w:rsid w:val="007168B4"/>
    <w:rsid w:val="0072249F"/>
    <w:rsid w:val="00732677"/>
    <w:rsid w:val="00756167"/>
    <w:rsid w:val="00771A06"/>
    <w:rsid w:val="007B422F"/>
    <w:rsid w:val="007B6EDE"/>
    <w:rsid w:val="007C6484"/>
    <w:rsid w:val="007E0166"/>
    <w:rsid w:val="007F2B1E"/>
    <w:rsid w:val="0080478C"/>
    <w:rsid w:val="008047BA"/>
    <w:rsid w:val="00830504"/>
    <w:rsid w:val="00840C95"/>
    <w:rsid w:val="008429C7"/>
    <w:rsid w:val="00842F54"/>
    <w:rsid w:val="00843AB2"/>
    <w:rsid w:val="00861C65"/>
    <w:rsid w:val="0086613F"/>
    <w:rsid w:val="00866B33"/>
    <w:rsid w:val="008738F8"/>
    <w:rsid w:val="00875127"/>
    <w:rsid w:val="0089447A"/>
    <w:rsid w:val="00894A52"/>
    <w:rsid w:val="008A1A1A"/>
    <w:rsid w:val="008D62AD"/>
    <w:rsid w:val="008D7208"/>
    <w:rsid w:val="008D7CD7"/>
    <w:rsid w:val="008E1C54"/>
    <w:rsid w:val="008E49C2"/>
    <w:rsid w:val="008F00D3"/>
    <w:rsid w:val="009126C5"/>
    <w:rsid w:val="00923AAA"/>
    <w:rsid w:val="009336D3"/>
    <w:rsid w:val="00947C81"/>
    <w:rsid w:val="009843F2"/>
    <w:rsid w:val="00992F7E"/>
    <w:rsid w:val="00995FF9"/>
    <w:rsid w:val="009B2B47"/>
    <w:rsid w:val="009B3858"/>
    <w:rsid w:val="009C3959"/>
    <w:rsid w:val="009C4289"/>
    <w:rsid w:val="009E6704"/>
    <w:rsid w:val="009F6F91"/>
    <w:rsid w:val="009F71A9"/>
    <w:rsid w:val="00A11BA6"/>
    <w:rsid w:val="00A24AB0"/>
    <w:rsid w:val="00A27A51"/>
    <w:rsid w:val="00A313B2"/>
    <w:rsid w:val="00A42794"/>
    <w:rsid w:val="00A45CFD"/>
    <w:rsid w:val="00A52FEF"/>
    <w:rsid w:val="00A6055F"/>
    <w:rsid w:val="00A61508"/>
    <w:rsid w:val="00A67984"/>
    <w:rsid w:val="00A80C0C"/>
    <w:rsid w:val="00AA1D3E"/>
    <w:rsid w:val="00AA599C"/>
    <w:rsid w:val="00AB5491"/>
    <w:rsid w:val="00AE6899"/>
    <w:rsid w:val="00B31021"/>
    <w:rsid w:val="00B45105"/>
    <w:rsid w:val="00B66558"/>
    <w:rsid w:val="00B71E65"/>
    <w:rsid w:val="00BB28D9"/>
    <w:rsid w:val="00BC14AF"/>
    <w:rsid w:val="00BC1B0C"/>
    <w:rsid w:val="00BD0003"/>
    <w:rsid w:val="00BD2E1F"/>
    <w:rsid w:val="00BE4AD4"/>
    <w:rsid w:val="00BE57F7"/>
    <w:rsid w:val="00BF669A"/>
    <w:rsid w:val="00BF7B0F"/>
    <w:rsid w:val="00C41763"/>
    <w:rsid w:val="00C50A94"/>
    <w:rsid w:val="00C62F98"/>
    <w:rsid w:val="00C770DC"/>
    <w:rsid w:val="00C870E2"/>
    <w:rsid w:val="00C94ECC"/>
    <w:rsid w:val="00CA4DA1"/>
    <w:rsid w:val="00CD1803"/>
    <w:rsid w:val="00D46491"/>
    <w:rsid w:val="00D53DF5"/>
    <w:rsid w:val="00D6296A"/>
    <w:rsid w:val="00D70AB8"/>
    <w:rsid w:val="00D70D1A"/>
    <w:rsid w:val="00D70E86"/>
    <w:rsid w:val="00D93348"/>
    <w:rsid w:val="00D957B6"/>
    <w:rsid w:val="00DA697D"/>
    <w:rsid w:val="00DB0746"/>
    <w:rsid w:val="00DD0C26"/>
    <w:rsid w:val="00DE2E5B"/>
    <w:rsid w:val="00DE4654"/>
    <w:rsid w:val="00E03DDC"/>
    <w:rsid w:val="00E042B2"/>
    <w:rsid w:val="00E1046F"/>
    <w:rsid w:val="00E106D5"/>
    <w:rsid w:val="00E13131"/>
    <w:rsid w:val="00E32A2C"/>
    <w:rsid w:val="00E36A8A"/>
    <w:rsid w:val="00E5698E"/>
    <w:rsid w:val="00E6128F"/>
    <w:rsid w:val="00E657C4"/>
    <w:rsid w:val="00E66ABD"/>
    <w:rsid w:val="00E823A2"/>
    <w:rsid w:val="00E832BF"/>
    <w:rsid w:val="00E85525"/>
    <w:rsid w:val="00E87A3D"/>
    <w:rsid w:val="00E932F1"/>
    <w:rsid w:val="00E96403"/>
    <w:rsid w:val="00E96F77"/>
    <w:rsid w:val="00EA2401"/>
    <w:rsid w:val="00EC18BC"/>
    <w:rsid w:val="00ED219A"/>
    <w:rsid w:val="00EE7567"/>
    <w:rsid w:val="00EF3939"/>
    <w:rsid w:val="00F04CA7"/>
    <w:rsid w:val="00F07123"/>
    <w:rsid w:val="00F10E6F"/>
    <w:rsid w:val="00F1533A"/>
    <w:rsid w:val="00F32F21"/>
    <w:rsid w:val="00F51CA9"/>
    <w:rsid w:val="00F749E3"/>
    <w:rsid w:val="00F80AE6"/>
    <w:rsid w:val="00F8281B"/>
    <w:rsid w:val="00F94E8E"/>
    <w:rsid w:val="00F97080"/>
    <w:rsid w:val="00FA24A8"/>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B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D6B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D6B31"/>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3D6B31"/>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3D6B31"/>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3D6B31"/>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3D6B31"/>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customStyle="1" w:styleId="p00">
    <w:name w:val="p0"/>
    <w:basedOn w:val="Normal"/>
    <w:uiPriority w:val="99"/>
    <w:rsid w:val="007F2B1E"/>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480127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858</Words>
  <Characters>4723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2008-06-13T12:34:00Z</cp:lastPrinted>
  <dcterms:created xsi:type="dcterms:W3CDTF">2008-07-15T10:28:00Z</dcterms:created>
  <dcterms:modified xsi:type="dcterms:W3CDTF">2008-07-15T10:28:00Z</dcterms:modified>
</cp:coreProperties>
</file>