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335" w:rsidRPr="00EB6713" w:rsidRDefault="00A41335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COUR DES COMPTES</w:t>
      </w:r>
    </w:p>
    <w:p w:rsidR="00A41335" w:rsidRPr="00EB6713" w:rsidRDefault="00A41335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A41335" w:rsidRPr="00EB6713" w:rsidRDefault="00A41335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QUATRIEME CHAMBRE</w:t>
      </w:r>
    </w:p>
    <w:p w:rsidR="00A41335" w:rsidRPr="00EB6713" w:rsidRDefault="00A41335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A41335" w:rsidRPr="00EB6713" w:rsidRDefault="00A41335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PREMIERE SECTION</w:t>
      </w:r>
    </w:p>
    <w:p w:rsidR="00A41335" w:rsidRDefault="00A41335" w:rsidP="00AD2BC6">
      <w:pPr>
        <w:jc w:val="both"/>
        <w:rPr>
          <w:sz w:val="24"/>
          <w:szCs w:val="24"/>
        </w:rPr>
      </w:pPr>
    </w:p>
    <w:p w:rsidR="00A41335" w:rsidRPr="007E653B" w:rsidRDefault="00A41335" w:rsidP="00EB6713">
      <w:pPr>
        <w:pStyle w:val="Heading1"/>
        <w:jc w:val="both"/>
        <w:rPr>
          <w:b/>
          <w:bCs/>
          <w:i/>
          <w:iCs/>
          <w:sz w:val="20"/>
          <w:szCs w:val="20"/>
        </w:rPr>
      </w:pPr>
      <w:r w:rsidRPr="007E653B">
        <w:rPr>
          <w:b/>
          <w:bCs/>
          <w:i/>
          <w:iCs/>
          <w:sz w:val="20"/>
          <w:szCs w:val="20"/>
        </w:rPr>
        <w:t>Arrêt n° 51992</w:t>
      </w:r>
    </w:p>
    <w:p w:rsidR="00A41335" w:rsidRPr="00042DE1" w:rsidRDefault="00A41335" w:rsidP="00AD2BC6">
      <w:pPr>
        <w:jc w:val="both"/>
      </w:pPr>
    </w:p>
    <w:p w:rsidR="00A41335" w:rsidRPr="00042DE1" w:rsidRDefault="00A41335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ECOLE NATIONALE SUPERIEURE DE CHIMIE DE RENNES (Ille-et-vilaine)</w:t>
      </w:r>
    </w:p>
    <w:p w:rsidR="00A41335" w:rsidRDefault="00A41335" w:rsidP="004149E8">
      <w:pPr>
        <w:ind w:left="4536"/>
        <w:jc w:val="both"/>
        <w:rPr>
          <w:sz w:val="24"/>
          <w:szCs w:val="24"/>
        </w:rPr>
      </w:pPr>
    </w:p>
    <w:p w:rsidR="00A41335" w:rsidRDefault="00A41335" w:rsidP="004149E8">
      <w:pPr>
        <w:pStyle w:val="Heading2"/>
        <w:ind w:left="4536"/>
        <w:jc w:val="both"/>
      </w:pPr>
      <w:r>
        <w:t>Appel d’un jugement de la chambre régionale des comptes de Bretagne</w:t>
      </w:r>
    </w:p>
    <w:p w:rsidR="00A41335" w:rsidRDefault="00A41335" w:rsidP="004149E8">
      <w:pPr>
        <w:ind w:left="4536"/>
        <w:jc w:val="both"/>
        <w:rPr>
          <w:sz w:val="24"/>
          <w:szCs w:val="24"/>
        </w:rPr>
      </w:pPr>
    </w:p>
    <w:p w:rsidR="00A41335" w:rsidRDefault="00A41335" w:rsidP="004149E8">
      <w:pPr>
        <w:pStyle w:val="Heading4"/>
        <w:ind w:left="4536"/>
      </w:pPr>
      <w:r>
        <w:t xml:space="preserve">Rapport n° 2008-310-0 </w:t>
      </w:r>
    </w:p>
    <w:p w:rsidR="00A41335" w:rsidRDefault="00A41335" w:rsidP="004149E8">
      <w:pPr>
        <w:ind w:left="4536"/>
        <w:jc w:val="both"/>
        <w:rPr>
          <w:sz w:val="24"/>
          <w:szCs w:val="24"/>
        </w:rPr>
      </w:pPr>
    </w:p>
    <w:p w:rsidR="00A41335" w:rsidRDefault="00A41335" w:rsidP="004149E8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Audience du </w:t>
      </w:r>
      <w:r w:rsidRPr="00992032">
        <w:rPr>
          <w:sz w:val="24"/>
          <w:szCs w:val="24"/>
        </w:rPr>
        <w:t>22 mai 2008</w:t>
      </w:r>
    </w:p>
    <w:p w:rsidR="00A41335" w:rsidRDefault="00A41335" w:rsidP="004149E8">
      <w:pPr>
        <w:ind w:left="4536"/>
        <w:jc w:val="both"/>
        <w:rPr>
          <w:sz w:val="24"/>
          <w:szCs w:val="24"/>
        </w:rPr>
      </w:pPr>
    </w:p>
    <w:p w:rsidR="00A41335" w:rsidRDefault="00A41335" w:rsidP="004149E8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Lecture publique du 19 juin 2008 </w:t>
      </w:r>
    </w:p>
    <w:p w:rsidR="00A41335" w:rsidRDefault="00A41335" w:rsidP="004149E8">
      <w:pPr>
        <w:ind w:left="4536"/>
        <w:jc w:val="both"/>
        <w:rPr>
          <w:sz w:val="24"/>
          <w:szCs w:val="24"/>
        </w:rPr>
      </w:pPr>
    </w:p>
    <w:p w:rsidR="00A41335" w:rsidRDefault="00A41335" w:rsidP="00B82C1D">
      <w:pPr>
        <w:pStyle w:val="PS"/>
        <w:ind w:left="0"/>
        <w:jc w:val="left"/>
        <w:rPr>
          <w:rFonts w:ascii="Times New Roman" w:hAnsi="Times New Roman" w:cs="Times New Roman"/>
        </w:rPr>
      </w:pPr>
    </w:p>
    <w:p w:rsidR="00A41335" w:rsidRDefault="00A41335" w:rsidP="00B82C1D">
      <w:pPr>
        <w:pStyle w:val="PS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COUR DES COMPTES a rendu l’arrêt suivant :</w:t>
      </w:r>
    </w:p>
    <w:p w:rsidR="00A41335" w:rsidRPr="00B82C1D" w:rsidRDefault="00A41335" w:rsidP="00B82C1D">
      <w:pPr>
        <w:pStyle w:val="PS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B82C1D">
        <w:rPr>
          <w:rFonts w:ascii="Times New Roman" w:hAnsi="Times New Roman" w:cs="Times New Roman"/>
        </w:rPr>
        <w:t xml:space="preserve"> COUR,</w:t>
      </w:r>
    </w:p>
    <w:p w:rsidR="00A41335" w:rsidRPr="00E14D87" w:rsidRDefault="00A41335" w:rsidP="00445E95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E14D87">
        <w:rPr>
          <w:rFonts w:ascii="Times New Roman" w:hAnsi="Times New Roman" w:cs="Times New Roman"/>
        </w:rPr>
        <w:t>Vu la requête, enregistrée le 30 novembre 2007 au greffe de la chambre régionale des comptes de Bretagne, par laquelle M.</w:t>
      </w:r>
      <w:r>
        <w:rPr>
          <w:rFonts w:ascii="Times New Roman" w:hAnsi="Times New Roman" w:cs="Times New Roman"/>
        </w:rPr>
        <w:t> </w:t>
      </w:r>
      <w:r w:rsidRPr="00E14D87">
        <w:rPr>
          <w:rFonts w:ascii="Times New Roman" w:hAnsi="Times New Roman" w:cs="Times New Roman"/>
        </w:rPr>
        <w:t>X, comptable de l’ECOLE NATIONALE SUPERIEURE DE CHIMIE DE RENNES (ENSCR) du 1</w:t>
      </w:r>
      <w:r w:rsidRPr="00E14D87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</w:rPr>
        <w:t xml:space="preserve"> octobre 2001 au 31 </w:t>
      </w:r>
      <w:r w:rsidRPr="00E14D87">
        <w:rPr>
          <w:rFonts w:ascii="Times New Roman" w:hAnsi="Times New Roman" w:cs="Times New Roman"/>
        </w:rPr>
        <w:t>décembre</w:t>
      </w:r>
      <w:r>
        <w:rPr>
          <w:rFonts w:ascii="Times New Roman" w:hAnsi="Times New Roman" w:cs="Times New Roman"/>
        </w:rPr>
        <w:t> </w:t>
      </w:r>
      <w:r w:rsidRPr="00E14D87">
        <w:rPr>
          <w:rFonts w:ascii="Times New Roman" w:hAnsi="Times New Roman" w:cs="Times New Roman"/>
        </w:rPr>
        <w:t xml:space="preserve">2004, a élevé appel du jugement du </w:t>
      </w:r>
      <w:r>
        <w:rPr>
          <w:rFonts w:ascii="Times New Roman" w:hAnsi="Times New Roman" w:cs="Times New Roman"/>
        </w:rPr>
        <w:t>26</w:t>
      </w:r>
      <w:r w:rsidRPr="00E14D87">
        <w:rPr>
          <w:rFonts w:ascii="Times New Roman" w:hAnsi="Times New Roman" w:cs="Times New Roman"/>
        </w:rPr>
        <w:t xml:space="preserve"> septembre 2007 par lequel ladite chambre l’a constitué débiteur des deniers de l’ENSCR pour la somme de 180 098,48</w:t>
      </w:r>
      <w:r>
        <w:rPr>
          <w:rFonts w:ascii="Times New Roman" w:hAnsi="Times New Roman" w:cs="Times New Roman"/>
        </w:rPr>
        <w:t> </w:t>
      </w:r>
      <w:r w:rsidRPr="00E14D87">
        <w:rPr>
          <w:rFonts w:ascii="Times New Roman" w:hAnsi="Times New Roman" w:cs="Times New Roman"/>
        </w:rPr>
        <w:t xml:space="preserve">€ augmentée des intérêts de droit à compter du 10 décembre 2004 ; </w:t>
      </w:r>
    </w:p>
    <w:p w:rsidR="00A41335" w:rsidRPr="00E14D87" w:rsidRDefault="00A41335" w:rsidP="00445E95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E14D87">
        <w:rPr>
          <w:rFonts w:ascii="Times New Roman" w:hAnsi="Times New Roman" w:cs="Times New Roman"/>
        </w:rPr>
        <w:t>Vu la requête enregistrée le même jour, par laquelle M.</w:t>
      </w:r>
      <w:r>
        <w:rPr>
          <w:rFonts w:ascii="Times New Roman" w:hAnsi="Times New Roman" w:cs="Times New Roman"/>
        </w:rPr>
        <w:t> </w:t>
      </w:r>
      <w:r w:rsidRPr="00E14D87">
        <w:rPr>
          <w:rFonts w:ascii="Times New Roman" w:hAnsi="Times New Roman" w:cs="Times New Roman"/>
        </w:rPr>
        <w:t>Y, directeur de l’ENSCR, a élevé appel du même jugement ;</w:t>
      </w:r>
    </w:p>
    <w:p w:rsidR="00A41335" w:rsidRPr="00E14D87" w:rsidRDefault="00A41335" w:rsidP="00445E95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E14D87">
        <w:rPr>
          <w:rFonts w:ascii="Times New Roman" w:hAnsi="Times New Roman" w:cs="Times New Roman"/>
        </w:rPr>
        <w:t>Vu le réquisitoire du Procureur général, en date du 20</w:t>
      </w:r>
      <w:r>
        <w:rPr>
          <w:rFonts w:ascii="Times New Roman" w:hAnsi="Times New Roman" w:cs="Times New Roman"/>
        </w:rPr>
        <w:t> </w:t>
      </w:r>
      <w:r w:rsidRPr="00E14D87">
        <w:rPr>
          <w:rFonts w:ascii="Times New Roman" w:hAnsi="Times New Roman" w:cs="Times New Roman"/>
        </w:rPr>
        <w:t>décembre</w:t>
      </w:r>
      <w:r>
        <w:rPr>
          <w:rFonts w:ascii="Times New Roman" w:hAnsi="Times New Roman" w:cs="Times New Roman"/>
        </w:rPr>
        <w:t> </w:t>
      </w:r>
      <w:r w:rsidRPr="00E14D87">
        <w:rPr>
          <w:rFonts w:ascii="Times New Roman" w:hAnsi="Times New Roman" w:cs="Times New Roman"/>
        </w:rPr>
        <w:t>2007, transmettant les requêtes précitées ;</w:t>
      </w:r>
    </w:p>
    <w:p w:rsidR="00A41335" w:rsidRPr="00B82C1D" w:rsidRDefault="00A41335" w:rsidP="00B13BF7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pièces de la procédure suivie en première instance</w:t>
      </w:r>
      <w:r>
        <w:rPr>
          <w:rFonts w:ascii="Times New Roman" w:hAnsi="Times New Roman" w:cs="Times New Roman"/>
        </w:rPr>
        <w:t xml:space="preserve">, notamment le jugement provisoire en date du 11 janvier 2007 </w:t>
      </w:r>
      <w:r w:rsidRPr="00B82C1D">
        <w:rPr>
          <w:rFonts w:ascii="Times New Roman" w:hAnsi="Times New Roman" w:cs="Times New Roman"/>
        </w:rPr>
        <w:t>;</w:t>
      </w:r>
    </w:p>
    <w:p w:rsidR="00A41335" w:rsidRDefault="00A41335" w:rsidP="00445E95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les pièces du dossier transmis à la Cour par M. X, par lettre du 18 février 2008, notamment le certificat administratif du recteur de l’académie de Rennes, et le budget initial voté pour 2004 ;</w:t>
      </w:r>
    </w:p>
    <w:p w:rsidR="00A41335" w:rsidRPr="00B82C1D" w:rsidRDefault="00A41335" w:rsidP="00445E95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Vu le code </w:t>
      </w:r>
      <w:r>
        <w:rPr>
          <w:rFonts w:ascii="Times New Roman" w:hAnsi="Times New Roman" w:cs="Times New Roman"/>
        </w:rPr>
        <w:t xml:space="preserve">de l’éducation, notamment son article L. 762-2 </w:t>
      </w:r>
      <w:r w:rsidRPr="00B82C1D">
        <w:rPr>
          <w:rFonts w:ascii="Times New Roman" w:hAnsi="Times New Roman" w:cs="Times New Roman"/>
        </w:rPr>
        <w:t>;</w:t>
      </w:r>
    </w:p>
    <w:p w:rsidR="00A41335" w:rsidRDefault="00A41335" w:rsidP="00A054E3">
      <w:pPr>
        <w:pStyle w:val="PS"/>
        <w:spacing w:before="120" w:after="120"/>
        <w:ind w:left="0" w:firstLine="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MN</w:t>
      </w:r>
    </w:p>
    <w:p w:rsidR="00A41335" w:rsidRPr="00A054E3" w:rsidRDefault="00A41335" w:rsidP="00A054E3">
      <w:pPr>
        <w:pStyle w:val="PS"/>
        <w:spacing w:before="120" w:after="120"/>
        <w:ind w:left="0" w:firstLine="0"/>
        <w:rPr>
          <w:rFonts w:ascii="Times New Roman" w:hAnsi="Times New Roman" w:cs="Times New Roman"/>
          <w:i/>
          <w:iCs/>
          <w:sz w:val="16"/>
          <w:szCs w:val="16"/>
        </w:rPr>
      </w:pPr>
    </w:p>
    <w:p w:rsidR="00A41335" w:rsidRDefault="00A41335" w:rsidP="007E653B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992032">
        <w:rPr>
          <w:rFonts w:ascii="Times New Roman" w:hAnsi="Times New Roman" w:cs="Times New Roman"/>
        </w:rPr>
        <w:t>Vu le décret n° 86-640 du 14 mars 1986 ;</w:t>
      </w:r>
    </w:p>
    <w:p w:rsidR="00A41335" w:rsidRPr="00B82C1D" w:rsidRDefault="00A41335" w:rsidP="00445E95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l’article 60 de la loi de finances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63-156 du 23 février 1963 modifiée ;</w:t>
      </w:r>
    </w:p>
    <w:p w:rsidR="00A41335" w:rsidRDefault="00A41335" w:rsidP="00B13BF7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62-1587 du 29 décembre 1962 modifié portant règlement général sur la comptabilité publique ;</w:t>
      </w:r>
    </w:p>
    <w:p w:rsidR="00A41335" w:rsidRPr="00B82C1D" w:rsidRDefault="00A41335" w:rsidP="00B13BF7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code des juridictions financières ;</w:t>
      </w:r>
    </w:p>
    <w:p w:rsidR="00A41335" w:rsidRPr="00B82C1D" w:rsidRDefault="00A41335" w:rsidP="00B13BF7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</w:t>
      </w:r>
      <w:r w:rsidRPr="00B82C1D">
        <w:rPr>
          <w:rFonts w:ascii="Times New Roman" w:hAnsi="Times New Roman" w:cs="Times New Roman"/>
        </w:rPr>
        <w:t xml:space="preserve"> le rapport de M. </w:t>
      </w:r>
      <w:r>
        <w:rPr>
          <w:rFonts w:ascii="Times New Roman" w:hAnsi="Times New Roman" w:cs="Times New Roman"/>
        </w:rPr>
        <w:t>Philippe Geoffroy, conseiller référendaire,</w:t>
      </w:r>
    </w:p>
    <w:p w:rsidR="00A41335" w:rsidRPr="00B82C1D" w:rsidRDefault="00A41335" w:rsidP="00B13BF7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conclusions du Procureur général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>;</w:t>
      </w:r>
    </w:p>
    <w:p w:rsidR="00A41335" w:rsidRPr="00B13BF7" w:rsidRDefault="00A41335" w:rsidP="00B13BF7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992032">
        <w:rPr>
          <w:rFonts w:ascii="Times New Roman" w:hAnsi="Times New Roman" w:cs="Times New Roman"/>
        </w:rPr>
        <w:t>Entendu, lors de l’audience publique de ce jour, M. Philippe Geoffroy, rapporteur, en son rapport, M. Filippini, avocat général, en ses conclusions, M. X, appelant, étant</w:t>
      </w:r>
      <w:r w:rsidRPr="00B13BF7">
        <w:rPr>
          <w:rFonts w:ascii="Times New Roman" w:hAnsi="Times New Roman" w:cs="Times New Roman"/>
        </w:rPr>
        <w:t xml:space="preserve"> présent et étant intervenu en dernier</w:t>
      </w:r>
      <w:r>
        <w:rPr>
          <w:rFonts w:ascii="Times New Roman" w:hAnsi="Times New Roman" w:cs="Times New Roman"/>
        </w:rPr>
        <w:t>,</w:t>
      </w:r>
      <w:r w:rsidRPr="00B13BF7">
        <w:rPr>
          <w:rFonts w:ascii="Times New Roman" w:hAnsi="Times New Roman" w:cs="Times New Roman"/>
        </w:rPr>
        <w:t xml:space="preserve"> M. Y, appelant, également présent</w:t>
      </w:r>
      <w:r>
        <w:rPr>
          <w:rFonts w:ascii="Times New Roman" w:hAnsi="Times New Roman" w:cs="Times New Roman"/>
        </w:rPr>
        <w:t>, n’étant pas intervenu </w:t>
      </w:r>
      <w:r w:rsidRPr="00B13BF7">
        <w:rPr>
          <w:rFonts w:ascii="Times New Roman" w:hAnsi="Times New Roman" w:cs="Times New Roman"/>
        </w:rPr>
        <w:t>;</w:t>
      </w:r>
    </w:p>
    <w:p w:rsidR="00A41335" w:rsidRDefault="00A41335" w:rsidP="0048440B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</w:t>
      </w:r>
      <w:r>
        <w:rPr>
          <w:rFonts w:ascii="Times New Roman" w:hAnsi="Times New Roman" w:cs="Times New Roman"/>
        </w:rPr>
        <w:t>en délibéré</w:t>
      </w:r>
      <w:r w:rsidRPr="00B82C1D">
        <w:rPr>
          <w:rFonts w:ascii="Times New Roman" w:hAnsi="Times New Roman" w:cs="Times New Roman"/>
        </w:rPr>
        <w:t xml:space="preserve">, M. </w:t>
      </w:r>
      <w:r>
        <w:rPr>
          <w:rFonts w:ascii="Times New Roman" w:hAnsi="Times New Roman" w:cs="Times New Roman"/>
        </w:rPr>
        <w:t xml:space="preserve">Gérard Ganser, conseiller maître, </w:t>
      </w:r>
      <w:r w:rsidRPr="00B82C1D">
        <w:rPr>
          <w:rFonts w:ascii="Times New Roman" w:hAnsi="Times New Roman" w:cs="Times New Roman"/>
        </w:rPr>
        <w:t>en ses observations ;</w:t>
      </w:r>
    </w:p>
    <w:p w:rsidR="00A41335" w:rsidRPr="00E14D87" w:rsidRDefault="00A41335" w:rsidP="0039232B">
      <w:pPr>
        <w:pStyle w:val="PS"/>
        <w:ind w:left="0" w:firstLine="1080"/>
        <w:rPr>
          <w:rFonts w:ascii="Times New Roman" w:hAnsi="Times New Roman" w:cs="Times New Roman"/>
        </w:rPr>
      </w:pPr>
      <w:r w:rsidRPr="00E14D87">
        <w:rPr>
          <w:rFonts w:ascii="Times New Roman" w:hAnsi="Times New Roman" w:cs="Times New Roman"/>
        </w:rPr>
        <w:t>Attendu que, s’agissant d’un même jugement concernant la même cause, il y a lieu de joindre les requêtes afin qu’il y soit statué par un seul et même arrêt ;</w:t>
      </w:r>
    </w:p>
    <w:p w:rsidR="00A41335" w:rsidRDefault="00A41335" w:rsidP="0048440B">
      <w:pPr>
        <w:pStyle w:val="PS"/>
        <w:ind w:left="0"/>
        <w:rPr>
          <w:rFonts w:ascii="Times New Roman" w:hAnsi="Times New Roman" w:cs="Times New Roman"/>
          <w:b/>
          <w:bCs/>
          <w:u w:val="single"/>
        </w:rPr>
      </w:pPr>
      <w:r w:rsidRPr="001B7368">
        <w:rPr>
          <w:rFonts w:ascii="Times New Roman" w:hAnsi="Times New Roman" w:cs="Times New Roman"/>
          <w:b/>
          <w:bCs/>
          <w:u w:val="single"/>
        </w:rPr>
        <w:t>Sur l</w:t>
      </w:r>
      <w:r>
        <w:rPr>
          <w:rFonts w:ascii="Times New Roman" w:hAnsi="Times New Roman" w:cs="Times New Roman"/>
          <w:b/>
          <w:bCs/>
          <w:u w:val="single"/>
        </w:rPr>
        <w:t>a régularité du jugement attaqué :</w:t>
      </w:r>
    </w:p>
    <w:p w:rsidR="00A41335" w:rsidRPr="00B345C3" w:rsidRDefault="00A41335" w:rsidP="00B13BF7">
      <w:pPr>
        <w:spacing w:before="120" w:after="120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qu’en application de l’article R.</w:t>
      </w:r>
      <w:r w:rsidRPr="00162847">
        <w:rPr>
          <w:caps/>
        </w:rPr>
        <w:t xml:space="preserve"> </w:t>
      </w:r>
      <w:r w:rsidRPr="00B345C3">
        <w:rPr>
          <w:sz w:val="24"/>
          <w:szCs w:val="24"/>
        </w:rPr>
        <w:t>231-5 du code des juridictions financières, « </w:t>
      </w:r>
      <w:r w:rsidRPr="007959D1">
        <w:rPr>
          <w:i/>
          <w:iCs/>
          <w:sz w:val="24"/>
          <w:szCs w:val="24"/>
        </w:rPr>
        <w:t>les jugements définitifs exposent succinctement et discutent les moyens développés par les parties intéressées en réponse aux jugements comportant des dispositions provisoires </w:t>
      </w:r>
      <w:r w:rsidRPr="00B345C3">
        <w:rPr>
          <w:sz w:val="24"/>
          <w:szCs w:val="24"/>
        </w:rPr>
        <w:t>» ; que le défaut de motivation d’un jugement constitue un motif d’annulation d’ordre public</w:t>
      </w:r>
      <w:r>
        <w:rPr>
          <w:sz w:val="24"/>
          <w:szCs w:val="24"/>
        </w:rPr>
        <w:t>,</w:t>
      </w:r>
      <w:r w:rsidRPr="00B345C3">
        <w:rPr>
          <w:sz w:val="24"/>
          <w:szCs w:val="24"/>
        </w:rPr>
        <w:t xml:space="preserve"> que la Cour doit relever d’office ;</w:t>
      </w:r>
    </w:p>
    <w:p w:rsidR="00A41335" w:rsidRPr="00B345C3" w:rsidRDefault="00A41335" w:rsidP="00B13BF7">
      <w:pPr>
        <w:spacing w:before="120" w:after="120"/>
        <w:ind w:firstLine="1134"/>
        <w:jc w:val="both"/>
        <w:rPr>
          <w:sz w:val="24"/>
          <w:szCs w:val="24"/>
        </w:rPr>
      </w:pPr>
      <w:r w:rsidRPr="00B345C3">
        <w:rPr>
          <w:sz w:val="24"/>
          <w:szCs w:val="24"/>
        </w:rPr>
        <w:t xml:space="preserve">Attendu que, dans </w:t>
      </w:r>
      <w:r>
        <w:rPr>
          <w:sz w:val="24"/>
          <w:szCs w:val="24"/>
        </w:rPr>
        <w:t>le</w:t>
      </w:r>
      <w:r w:rsidRPr="00B345C3">
        <w:rPr>
          <w:sz w:val="24"/>
          <w:szCs w:val="24"/>
        </w:rPr>
        <w:t xml:space="preserve"> jugement du 11 janvier 2007</w:t>
      </w:r>
      <w:r>
        <w:rPr>
          <w:sz w:val="24"/>
          <w:szCs w:val="24"/>
        </w:rPr>
        <w:t xml:space="preserve"> susvisé</w:t>
      </w:r>
      <w:r w:rsidRPr="00B345C3">
        <w:rPr>
          <w:sz w:val="24"/>
          <w:szCs w:val="24"/>
        </w:rPr>
        <w:t xml:space="preserve">, la </w:t>
      </w:r>
      <w:r>
        <w:rPr>
          <w:sz w:val="24"/>
          <w:szCs w:val="24"/>
        </w:rPr>
        <w:t>c</w:t>
      </w:r>
      <w:r w:rsidRPr="00B345C3">
        <w:rPr>
          <w:sz w:val="24"/>
          <w:szCs w:val="24"/>
        </w:rPr>
        <w:t>hambre régionale des comptes avait</w:t>
      </w:r>
      <w:r>
        <w:rPr>
          <w:sz w:val="24"/>
          <w:szCs w:val="24"/>
        </w:rPr>
        <w:t>, à titre provisoire,</w:t>
      </w:r>
      <w:r w:rsidRPr="00B345C3">
        <w:rPr>
          <w:sz w:val="24"/>
          <w:szCs w:val="24"/>
        </w:rPr>
        <w:t xml:space="preserve"> enjoint à M. X, au motif que les bâtiments et le terrain occupés par l’Ecole étaient une propriété de l’</w:t>
      </w:r>
      <w:r>
        <w:rPr>
          <w:sz w:val="24"/>
          <w:szCs w:val="24"/>
        </w:rPr>
        <w:t>Etat</w:t>
      </w:r>
      <w:r w:rsidRPr="00B345C3">
        <w:rPr>
          <w:sz w:val="24"/>
          <w:szCs w:val="24"/>
        </w:rPr>
        <w:t xml:space="preserve"> et que ceux-ci n’avaient pas été remis en affectation ou en dotation à l’établissement, d’apporter la preuve du reversement de </w:t>
      </w:r>
      <w:r>
        <w:rPr>
          <w:sz w:val="24"/>
          <w:szCs w:val="24"/>
        </w:rPr>
        <w:t xml:space="preserve">la somme de </w:t>
      </w:r>
      <w:r w:rsidRPr="00B345C3">
        <w:rPr>
          <w:sz w:val="24"/>
          <w:szCs w:val="24"/>
        </w:rPr>
        <w:t>180 098,48</w:t>
      </w:r>
      <w:r>
        <w:rPr>
          <w:sz w:val="24"/>
          <w:szCs w:val="24"/>
        </w:rPr>
        <w:t> </w:t>
      </w:r>
      <w:r w:rsidRPr="00B345C3">
        <w:rPr>
          <w:sz w:val="24"/>
          <w:szCs w:val="24"/>
        </w:rPr>
        <w:t>€ correspondant à des montants payés pou</w:t>
      </w:r>
      <w:r>
        <w:rPr>
          <w:sz w:val="24"/>
          <w:szCs w:val="24"/>
        </w:rPr>
        <w:t>r des travaux effectués sur les</w:t>
      </w:r>
      <w:r w:rsidRPr="00B345C3">
        <w:rPr>
          <w:sz w:val="24"/>
          <w:szCs w:val="24"/>
        </w:rPr>
        <w:t xml:space="preserve">dits bâtiments, augmentée des intérêts de droit, ou de produire toute </w:t>
      </w:r>
      <w:r>
        <w:rPr>
          <w:sz w:val="24"/>
          <w:szCs w:val="24"/>
        </w:rPr>
        <w:t xml:space="preserve">autre </w:t>
      </w:r>
      <w:r w:rsidRPr="00B345C3">
        <w:rPr>
          <w:sz w:val="24"/>
          <w:szCs w:val="24"/>
        </w:rPr>
        <w:t>justification à décharge ;</w:t>
      </w:r>
    </w:p>
    <w:p w:rsidR="00A41335" w:rsidRDefault="00A41335" w:rsidP="00B13BF7">
      <w:pPr>
        <w:spacing w:before="120" w:after="120"/>
        <w:ind w:firstLine="1134"/>
        <w:jc w:val="both"/>
        <w:rPr>
          <w:sz w:val="24"/>
          <w:szCs w:val="24"/>
        </w:rPr>
      </w:pPr>
      <w:r w:rsidRPr="00B345C3">
        <w:rPr>
          <w:sz w:val="24"/>
          <w:szCs w:val="24"/>
        </w:rPr>
        <w:t xml:space="preserve">Attendu que, dans sa réponse au jugement provisoire </w:t>
      </w:r>
      <w:r>
        <w:rPr>
          <w:sz w:val="24"/>
          <w:szCs w:val="24"/>
        </w:rPr>
        <w:t>précité</w:t>
      </w:r>
      <w:r w:rsidRPr="00B345C3">
        <w:rPr>
          <w:sz w:val="24"/>
          <w:szCs w:val="24"/>
        </w:rPr>
        <w:t>, M. X avait fait valoir deux arguments</w:t>
      </w:r>
      <w:r>
        <w:rPr>
          <w:sz w:val="24"/>
          <w:szCs w:val="24"/>
        </w:rPr>
        <w:t xml:space="preserve"> </w:t>
      </w:r>
      <w:r w:rsidRPr="00B345C3">
        <w:rPr>
          <w:sz w:val="24"/>
          <w:szCs w:val="24"/>
        </w:rPr>
        <w:t>; que le premier,</w:t>
      </w:r>
      <w:r>
        <w:rPr>
          <w:sz w:val="24"/>
          <w:szCs w:val="24"/>
        </w:rPr>
        <w:t xml:space="preserve"> </w:t>
      </w:r>
      <w:r w:rsidRPr="00B345C3">
        <w:rPr>
          <w:sz w:val="24"/>
          <w:szCs w:val="24"/>
        </w:rPr>
        <w:t>tiré de l’article L. 762-2 du code de l’éducation</w:t>
      </w:r>
      <w:r w:rsidRPr="00AE2CB6">
        <w:rPr>
          <w:sz w:val="24"/>
          <w:szCs w:val="24"/>
        </w:rPr>
        <w:t>, a bien été discuté par la Chambre ; mais que le second, tiré de l’article 30 du décret n°</w:t>
      </w:r>
      <w:r>
        <w:rPr>
          <w:sz w:val="24"/>
          <w:szCs w:val="24"/>
        </w:rPr>
        <w:t> </w:t>
      </w:r>
      <w:r w:rsidRPr="00AE2CB6">
        <w:rPr>
          <w:sz w:val="24"/>
          <w:szCs w:val="24"/>
        </w:rPr>
        <w:t xml:space="preserve">86-640 </w:t>
      </w:r>
      <w:r w:rsidRPr="00AE2CB6">
        <w:rPr>
          <w:rStyle w:val="Strong"/>
          <w:b w:val="0"/>
          <w:bCs w:val="0"/>
          <w:sz w:val="24"/>
          <w:szCs w:val="24"/>
        </w:rPr>
        <w:t>du 14 mars 1986 fixant les règles d'organisation et de fonctionnement de certaines écoles d'ingénieurs rattachées à un établissement public à caractère scientifique, culturel et professionnel</w:t>
      </w:r>
      <w:r w:rsidRPr="00AE2CB6">
        <w:rPr>
          <w:sz w:val="24"/>
          <w:szCs w:val="24"/>
        </w:rPr>
        <w:t>, qui dispose que « </w:t>
      </w:r>
      <w:r w:rsidRPr="007959D1">
        <w:rPr>
          <w:i/>
          <w:iCs/>
          <w:sz w:val="24"/>
          <w:szCs w:val="24"/>
        </w:rPr>
        <w:t>les dépenses de l'établissement comprennent notamment…les frais…d'équipement et toutes les dépenses nécessaires à l'activité de l'établissement</w:t>
      </w:r>
      <w:r w:rsidRPr="00B345C3">
        <w:rPr>
          <w:sz w:val="24"/>
          <w:szCs w:val="24"/>
        </w:rPr>
        <w:t xml:space="preserve"> », n’a été ni </w:t>
      </w:r>
      <w:r>
        <w:rPr>
          <w:sz w:val="24"/>
          <w:szCs w:val="24"/>
        </w:rPr>
        <w:t xml:space="preserve">exposé ni </w:t>
      </w:r>
      <w:r w:rsidRPr="00B345C3">
        <w:rPr>
          <w:sz w:val="24"/>
          <w:szCs w:val="24"/>
        </w:rPr>
        <w:t>discuté</w:t>
      </w:r>
      <w:r>
        <w:rPr>
          <w:sz w:val="24"/>
          <w:szCs w:val="24"/>
        </w:rPr>
        <w:t xml:space="preserve"> </w:t>
      </w:r>
      <w:r w:rsidRPr="00B345C3">
        <w:rPr>
          <w:sz w:val="24"/>
          <w:szCs w:val="24"/>
        </w:rPr>
        <w:t>;</w:t>
      </w:r>
    </w:p>
    <w:p w:rsidR="00A41335" w:rsidRDefault="00A41335" w:rsidP="00A73565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D12151">
        <w:rPr>
          <w:rFonts w:ascii="Times New Roman" w:hAnsi="Times New Roman" w:cs="Times New Roman"/>
        </w:rPr>
        <w:t>Atte</w:t>
      </w:r>
      <w:r>
        <w:rPr>
          <w:rFonts w:ascii="Times New Roman" w:hAnsi="Times New Roman" w:cs="Times New Roman"/>
        </w:rPr>
        <w:t>ndu que le défaut de motivation constitue un vice de forme du jugement attaqué ; que ce moyen est d’ordre public ; qu’il doit être soulevé d’office dans le cadre du présent appel ; que, dès lors, il y a lieu, sans qu’il soit besoin de soulever d’autres moyens, d’annuler ledit jugement ;</w:t>
      </w:r>
    </w:p>
    <w:p w:rsidR="00A41335" w:rsidRDefault="00A41335" w:rsidP="00A73565">
      <w:pPr>
        <w:spacing w:before="120" w:after="120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qu’en l’état du dossier, il convient d’évoquer l’affaire ;</w:t>
      </w:r>
    </w:p>
    <w:p w:rsidR="00A41335" w:rsidRDefault="00A41335" w:rsidP="00A73565">
      <w:pPr>
        <w:pStyle w:val="PS"/>
        <w:spacing w:before="360"/>
        <w:ind w:left="0"/>
        <w:rPr>
          <w:rFonts w:ascii="Times New Roman" w:hAnsi="Times New Roman" w:cs="Times New Roman"/>
          <w:b/>
          <w:bCs/>
          <w:u w:val="single"/>
        </w:rPr>
      </w:pPr>
      <w:r w:rsidRPr="001B7368">
        <w:rPr>
          <w:rFonts w:ascii="Times New Roman" w:hAnsi="Times New Roman" w:cs="Times New Roman"/>
          <w:b/>
          <w:bCs/>
          <w:u w:val="single"/>
        </w:rPr>
        <w:t>Sur l</w:t>
      </w:r>
      <w:r>
        <w:rPr>
          <w:rFonts w:ascii="Times New Roman" w:hAnsi="Times New Roman" w:cs="Times New Roman"/>
          <w:b/>
          <w:bCs/>
          <w:u w:val="single"/>
        </w:rPr>
        <w:t>e fond :</w:t>
      </w:r>
    </w:p>
    <w:p w:rsidR="00A41335" w:rsidRPr="00782897" w:rsidRDefault="00A41335" w:rsidP="007959D1">
      <w:pPr>
        <w:pStyle w:val="texte"/>
        <w:spacing w:before="120" w:beforeAutospacing="0" w:after="120" w:afterAutospacing="0"/>
        <w:ind w:left="0" w:righ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82897">
        <w:rPr>
          <w:rFonts w:ascii="Times New Roman" w:hAnsi="Times New Roman" w:cs="Times New Roman"/>
          <w:sz w:val="24"/>
          <w:szCs w:val="24"/>
        </w:rPr>
        <w:t xml:space="preserve">Attendu que les appelants font notamment valoir, comme </w:t>
      </w:r>
      <w:r>
        <w:rPr>
          <w:rFonts w:ascii="Times New Roman" w:hAnsi="Times New Roman" w:cs="Times New Roman"/>
          <w:sz w:val="24"/>
          <w:szCs w:val="24"/>
        </w:rPr>
        <w:t xml:space="preserve">le comptable l’avait déjà fait </w:t>
      </w:r>
      <w:r w:rsidRPr="00782897">
        <w:rPr>
          <w:rFonts w:ascii="Times New Roman" w:hAnsi="Times New Roman" w:cs="Times New Roman"/>
          <w:sz w:val="24"/>
          <w:szCs w:val="24"/>
        </w:rPr>
        <w:t>devant la chambre</w:t>
      </w:r>
      <w:r>
        <w:rPr>
          <w:rFonts w:ascii="Times New Roman" w:hAnsi="Times New Roman" w:cs="Times New Roman"/>
          <w:sz w:val="24"/>
          <w:szCs w:val="24"/>
        </w:rPr>
        <w:t xml:space="preserve"> régionale</w:t>
      </w:r>
      <w:r w:rsidRPr="00782897">
        <w:rPr>
          <w:rFonts w:ascii="Times New Roman" w:hAnsi="Times New Roman" w:cs="Times New Roman"/>
          <w:sz w:val="24"/>
          <w:szCs w:val="24"/>
        </w:rPr>
        <w:t>, que, selon l’article L. 762-2 du code de l’éducation</w:t>
      </w:r>
      <w:r>
        <w:rPr>
          <w:rFonts w:ascii="Times New Roman" w:hAnsi="Times New Roman" w:cs="Times New Roman"/>
          <w:sz w:val="24"/>
          <w:szCs w:val="24"/>
        </w:rPr>
        <w:t xml:space="preserve"> susvisé</w:t>
      </w:r>
      <w:r w:rsidRPr="00782897">
        <w:rPr>
          <w:rFonts w:ascii="Times New Roman" w:hAnsi="Times New Roman" w:cs="Times New Roman"/>
          <w:sz w:val="24"/>
          <w:szCs w:val="24"/>
        </w:rPr>
        <w:t>, «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82897">
        <w:rPr>
          <w:rFonts w:ascii="Times New Roman" w:hAnsi="Times New Roman" w:cs="Times New Roman"/>
          <w:i/>
          <w:iCs/>
          <w:sz w:val="24"/>
          <w:szCs w:val="24"/>
        </w:rPr>
        <w:t xml:space="preserve">les établissements publics d'enseignement supérieur peuvent se voir confier, par l'Etat, la maîtrise d'ouvrage de constructions universitaires » </w:t>
      </w:r>
      <w:r w:rsidRPr="00782897">
        <w:rPr>
          <w:rFonts w:ascii="Times New Roman" w:hAnsi="Times New Roman" w:cs="Times New Roman"/>
          <w:sz w:val="24"/>
          <w:szCs w:val="24"/>
        </w:rPr>
        <w:t>et qu’</w:t>
      </w:r>
      <w:r w:rsidRPr="00782897">
        <w:rPr>
          <w:rFonts w:ascii="Times New Roman" w:hAnsi="Times New Roman" w:cs="Times New Roman"/>
          <w:i/>
          <w:iCs/>
          <w:sz w:val="24"/>
          <w:szCs w:val="24"/>
        </w:rPr>
        <w:t xml:space="preserve"> « à l'égard de ces locaux comme de ceux qui leur sont affectés ou qui sont mis à leur disposition par l'Etat, les établissements d'enseignement supérieur relevant du ministre chargé de l'enseignement supérieur ou du ministre de l'agriculture exercent les droits et obligations du propriétaire, à l'exception du droit de disposition et d'affectation des biens »</w:t>
      </w:r>
      <w:r w:rsidRPr="00782897">
        <w:rPr>
          <w:rFonts w:ascii="Times New Roman" w:hAnsi="Times New Roman" w:cs="Times New Roman"/>
          <w:sz w:val="24"/>
          <w:szCs w:val="24"/>
        </w:rPr>
        <w:t xml:space="preserve"> ; qu’ils estiment que la portée de ce texte doit </w:t>
      </w:r>
      <w:r>
        <w:rPr>
          <w:rFonts w:ascii="Times New Roman" w:hAnsi="Times New Roman" w:cs="Times New Roman"/>
          <w:sz w:val="24"/>
          <w:szCs w:val="24"/>
        </w:rPr>
        <w:t xml:space="preserve">être </w:t>
      </w:r>
      <w:r w:rsidRPr="00782897">
        <w:rPr>
          <w:rFonts w:ascii="Times New Roman" w:hAnsi="Times New Roman" w:cs="Times New Roman"/>
          <w:sz w:val="24"/>
          <w:szCs w:val="24"/>
        </w:rPr>
        <w:t>appréciée à la lumière de ses travaux préparatoires, de l’arrêt de la Cour administrative d’appel de Paris du 13 avril 1999 « Université de Paris IX Dauphine » et de l’article 36 du décret n°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82897">
        <w:rPr>
          <w:rFonts w:ascii="Times New Roman" w:hAnsi="Times New Roman" w:cs="Times New Roman"/>
          <w:sz w:val="24"/>
          <w:szCs w:val="24"/>
        </w:rPr>
        <w:t xml:space="preserve">94-39 du 14 janvier </w:t>
      </w:r>
      <w:r w:rsidRPr="00D12151">
        <w:rPr>
          <w:rFonts w:ascii="Times New Roman" w:hAnsi="Times New Roman" w:cs="Times New Roman"/>
          <w:sz w:val="24"/>
          <w:szCs w:val="24"/>
        </w:rPr>
        <w:t>1994 relatif au budget et au régime financier des établissements publics à caractère scientifique, culturel et professionnel ;</w:t>
      </w:r>
      <w:r w:rsidRPr="00782897">
        <w:rPr>
          <w:rFonts w:ascii="Times New Roman" w:hAnsi="Times New Roman" w:cs="Times New Roman"/>
          <w:sz w:val="24"/>
          <w:szCs w:val="24"/>
        </w:rPr>
        <w:t xml:space="preserve"> qu’ils en concluent que l’ENSCR a la charge de l’entretien et de la gestion des biens immobiliers qu’elle utilise, sans qu’il soit besoin d’un acte formel portant changement d’affectation ;</w:t>
      </w:r>
    </w:p>
    <w:p w:rsidR="00A41335" w:rsidRPr="00782897" w:rsidRDefault="00A41335" w:rsidP="007959D1">
      <w:pPr>
        <w:pStyle w:val="texte"/>
        <w:spacing w:before="120" w:beforeAutospacing="0" w:after="120" w:afterAutospacing="0"/>
        <w:ind w:left="0" w:righ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82897">
        <w:rPr>
          <w:rFonts w:ascii="Times New Roman" w:hAnsi="Times New Roman" w:cs="Times New Roman"/>
          <w:sz w:val="24"/>
          <w:szCs w:val="24"/>
        </w:rPr>
        <w:t xml:space="preserve">Attendu que l’ENSCR est un établissement d’enseignement supérieur ; qu’en application à l’article </w:t>
      </w:r>
      <w:r>
        <w:rPr>
          <w:rFonts w:ascii="Times New Roman" w:hAnsi="Times New Roman" w:cs="Times New Roman"/>
          <w:sz w:val="24"/>
          <w:szCs w:val="24"/>
        </w:rPr>
        <w:t>L. 762-2 du code de l’éducation, cet établissement</w:t>
      </w:r>
      <w:r w:rsidRPr="00782897">
        <w:rPr>
          <w:rFonts w:ascii="Times New Roman" w:hAnsi="Times New Roman" w:cs="Times New Roman"/>
          <w:sz w:val="24"/>
          <w:szCs w:val="24"/>
        </w:rPr>
        <w:t xml:space="preserve"> exerce les obligations du propriétaire sur les locaux </w:t>
      </w:r>
      <w:r>
        <w:rPr>
          <w:rFonts w:ascii="Times New Roman" w:hAnsi="Times New Roman" w:cs="Times New Roman"/>
          <w:sz w:val="24"/>
          <w:szCs w:val="24"/>
        </w:rPr>
        <w:t>que</w:t>
      </w:r>
      <w:r w:rsidRPr="00782897">
        <w:rPr>
          <w:rFonts w:ascii="Times New Roman" w:hAnsi="Times New Roman" w:cs="Times New Roman"/>
          <w:sz w:val="24"/>
          <w:szCs w:val="24"/>
        </w:rPr>
        <w:t xml:space="preserve"> l’Etat</w:t>
      </w:r>
      <w:r>
        <w:rPr>
          <w:rFonts w:ascii="Times New Roman" w:hAnsi="Times New Roman" w:cs="Times New Roman"/>
          <w:sz w:val="24"/>
          <w:szCs w:val="24"/>
        </w:rPr>
        <w:t xml:space="preserve"> a mis à sa disposition</w:t>
      </w:r>
      <w:r w:rsidRPr="00782897">
        <w:rPr>
          <w:rFonts w:ascii="Times New Roman" w:hAnsi="Times New Roman" w:cs="Times New Roman"/>
          <w:sz w:val="24"/>
          <w:szCs w:val="24"/>
        </w:rPr>
        <w:t> ;</w:t>
      </w:r>
    </w:p>
    <w:p w:rsidR="00A41335" w:rsidRPr="00782897" w:rsidRDefault="00A41335" w:rsidP="007959D1">
      <w:pPr>
        <w:pStyle w:val="texte"/>
        <w:spacing w:before="120" w:beforeAutospacing="0" w:after="120" w:afterAutospacing="0"/>
        <w:ind w:left="0" w:righ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82897">
        <w:rPr>
          <w:rFonts w:ascii="Times New Roman" w:hAnsi="Times New Roman" w:cs="Times New Roman"/>
          <w:sz w:val="24"/>
          <w:szCs w:val="24"/>
        </w:rPr>
        <w:t>Attendu qu’en l’absence d’acte juridique unilatéral ou synallagmatique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2897">
        <w:rPr>
          <w:rFonts w:ascii="Times New Roman" w:hAnsi="Times New Roman" w:cs="Times New Roman"/>
          <w:sz w:val="24"/>
          <w:szCs w:val="24"/>
        </w:rPr>
        <w:t xml:space="preserve"> la consistance des locaux mis à sa disposition n’est pas définie ;</w:t>
      </w:r>
    </w:p>
    <w:p w:rsidR="00A41335" w:rsidRPr="00782897" w:rsidRDefault="00A41335" w:rsidP="007959D1">
      <w:pPr>
        <w:pStyle w:val="texte"/>
        <w:spacing w:before="120" w:beforeAutospacing="0" w:after="120" w:afterAutospacing="0"/>
        <w:ind w:left="0" w:righ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82897">
        <w:rPr>
          <w:rFonts w:ascii="Times New Roman" w:hAnsi="Times New Roman" w:cs="Times New Roman"/>
          <w:sz w:val="24"/>
          <w:szCs w:val="24"/>
        </w:rPr>
        <w:t>Attendu qu’en application de l’instruction M 9-1</w:t>
      </w:r>
      <w:r>
        <w:rPr>
          <w:rFonts w:ascii="Times New Roman" w:hAnsi="Times New Roman" w:cs="Times New Roman"/>
          <w:sz w:val="24"/>
          <w:szCs w:val="24"/>
        </w:rPr>
        <w:t xml:space="preserve"> du 30 avril 2002, </w:t>
      </w:r>
      <w:r w:rsidRPr="00782897">
        <w:rPr>
          <w:rFonts w:ascii="Times New Roman" w:hAnsi="Times New Roman" w:cs="Times New Roman"/>
          <w:sz w:val="24"/>
          <w:szCs w:val="24"/>
        </w:rPr>
        <w:t xml:space="preserve">les biens mis à disposition d’un établissement public doivent figurer à son bilan, au compte 102 au passif et, s’agissant d’immobilisations corporelles, au compte 21 à l’actif ; que le bilan de l’ENSCR </w:t>
      </w:r>
      <w:r>
        <w:rPr>
          <w:rFonts w:ascii="Times New Roman" w:hAnsi="Times New Roman" w:cs="Times New Roman"/>
          <w:sz w:val="24"/>
          <w:szCs w:val="24"/>
        </w:rPr>
        <w:t>ne fait pas apparaître que</w:t>
      </w:r>
      <w:r w:rsidRPr="00782897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82897">
        <w:rPr>
          <w:rFonts w:ascii="Times New Roman" w:hAnsi="Times New Roman" w:cs="Times New Roman"/>
          <w:sz w:val="24"/>
          <w:szCs w:val="24"/>
        </w:rPr>
        <w:t xml:space="preserve"> locaux seraient mis à sa disposition ;</w:t>
      </w:r>
    </w:p>
    <w:p w:rsidR="00A41335" w:rsidRPr="00782897" w:rsidRDefault="00A41335" w:rsidP="007959D1">
      <w:pPr>
        <w:pStyle w:val="texte"/>
        <w:spacing w:before="120" w:beforeAutospacing="0" w:after="120" w:afterAutospacing="0"/>
        <w:ind w:left="0" w:righ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82897">
        <w:rPr>
          <w:rFonts w:ascii="Times New Roman" w:hAnsi="Times New Roman" w:cs="Times New Roman"/>
          <w:sz w:val="24"/>
          <w:szCs w:val="24"/>
        </w:rPr>
        <w:t xml:space="preserve">Attendu toutefois qu’en réponse à deux enquêtes successives de la direction de l’enseignement supérieur du ministère de la jeunesse, de l’enseignement supérieur et de la recherche, sur les « données de surface », l’école a répondu notamment qu’elle assumait les charges du propriétaire sur 14 339 m² de locaux, au 31 décembre 2003, puis au 31 décembre 2004 ; que ces obligations ne sont pas contestées par l’Etat ; </w:t>
      </w:r>
    </w:p>
    <w:p w:rsidR="00A41335" w:rsidRPr="00782897" w:rsidRDefault="00A41335" w:rsidP="007959D1">
      <w:pPr>
        <w:pStyle w:val="texte"/>
        <w:spacing w:before="120" w:beforeAutospacing="0" w:after="120" w:afterAutospacing="0"/>
        <w:ind w:left="0" w:righ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82897">
        <w:rPr>
          <w:rFonts w:ascii="Times New Roman" w:hAnsi="Times New Roman" w:cs="Times New Roman"/>
          <w:sz w:val="24"/>
          <w:szCs w:val="24"/>
        </w:rPr>
        <w:t>Attendu en outre que le budget de l’école comporte des crédits pour réaliser des travaux sur les locaux qu’elle utilise ; que l’Etat verse à l’école des subventions pour réaliser ces travaux ; qu’il contribue ainsi à l’exercice</w:t>
      </w:r>
      <w:r>
        <w:rPr>
          <w:rFonts w:ascii="Times New Roman" w:hAnsi="Times New Roman" w:cs="Times New Roman"/>
          <w:sz w:val="24"/>
          <w:szCs w:val="24"/>
        </w:rPr>
        <w:t>, par l’école,</w:t>
      </w:r>
      <w:r w:rsidRPr="00782897">
        <w:rPr>
          <w:rFonts w:ascii="Times New Roman" w:hAnsi="Times New Roman" w:cs="Times New Roman"/>
          <w:sz w:val="24"/>
          <w:szCs w:val="24"/>
        </w:rPr>
        <w:t xml:space="preserve"> des obligations de propriétaire sur </w:t>
      </w:r>
      <w:r>
        <w:rPr>
          <w:rFonts w:ascii="Times New Roman" w:hAnsi="Times New Roman" w:cs="Times New Roman"/>
          <w:sz w:val="24"/>
          <w:szCs w:val="24"/>
        </w:rPr>
        <w:t>ces locaux</w:t>
      </w:r>
      <w:r w:rsidRPr="00782897">
        <w:rPr>
          <w:rFonts w:ascii="Times New Roman" w:hAnsi="Times New Roman" w:cs="Times New Roman"/>
          <w:sz w:val="24"/>
          <w:szCs w:val="24"/>
        </w:rPr>
        <w:t> ;</w:t>
      </w:r>
    </w:p>
    <w:p w:rsidR="00A41335" w:rsidRPr="00782897" w:rsidRDefault="00A41335" w:rsidP="007959D1">
      <w:pPr>
        <w:pStyle w:val="texte"/>
        <w:spacing w:before="120" w:beforeAutospacing="0" w:after="120" w:afterAutospacing="0"/>
        <w:ind w:left="0" w:righ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82897">
        <w:rPr>
          <w:rFonts w:ascii="Times New Roman" w:hAnsi="Times New Roman" w:cs="Times New Roman"/>
          <w:sz w:val="24"/>
          <w:szCs w:val="24"/>
        </w:rPr>
        <w:t>Attendu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2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dès lors, qu’en dépit de</w:t>
      </w:r>
      <w:r w:rsidRPr="00782897">
        <w:rPr>
          <w:rFonts w:ascii="Times New Roman" w:hAnsi="Times New Roman" w:cs="Times New Roman"/>
          <w:sz w:val="24"/>
          <w:szCs w:val="24"/>
        </w:rPr>
        <w:t xml:space="preserve"> l’absence </w:t>
      </w:r>
      <w:r>
        <w:rPr>
          <w:rFonts w:ascii="Times New Roman" w:hAnsi="Times New Roman" w:cs="Times New Roman"/>
          <w:sz w:val="24"/>
          <w:szCs w:val="24"/>
        </w:rPr>
        <w:t xml:space="preserve">susmentionnée </w:t>
      </w:r>
      <w:r w:rsidRPr="00782897">
        <w:rPr>
          <w:rFonts w:ascii="Times New Roman" w:hAnsi="Times New Roman" w:cs="Times New Roman"/>
          <w:sz w:val="24"/>
          <w:szCs w:val="24"/>
        </w:rPr>
        <w:t xml:space="preserve">d’acte juridique définissant précisément la consistance des locaux mis </w:t>
      </w:r>
      <w:r>
        <w:rPr>
          <w:rFonts w:ascii="Times New Roman" w:hAnsi="Times New Roman" w:cs="Times New Roman"/>
          <w:sz w:val="24"/>
          <w:szCs w:val="24"/>
        </w:rPr>
        <w:t xml:space="preserve">par l’Etat </w:t>
      </w:r>
      <w:r w:rsidRPr="00782897">
        <w:rPr>
          <w:rFonts w:ascii="Times New Roman" w:hAnsi="Times New Roman" w:cs="Times New Roman"/>
          <w:sz w:val="24"/>
          <w:szCs w:val="24"/>
        </w:rPr>
        <w:t xml:space="preserve">à disposition de l’école, on peut inférer </w:t>
      </w:r>
      <w:r>
        <w:rPr>
          <w:rFonts w:ascii="Times New Roman" w:hAnsi="Times New Roman" w:cs="Times New Roman"/>
          <w:sz w:val="24"/>
          <w:szCs w:val="24"/>
        </w:rPr>
        <w:t xml:space="preserve">en l’espèce, </w:t>
      </w:r>
      <w:r w:rsidRPr="00782897">
        <w:rPr>
          <w:rFonts w:ascii="Times New Roman" w:hAnsi="Times New Roman" w:cs="Times New Roman"/>
          <w:sz w:val="24"/>
          <w:szCs w:val="24"/>
        </w:rPr>
        <w:t xml:space="preserve">tant de l’absence de contestation par l’Etat des réponses de l’école </w:t>
      </w:r>
      <w:r>
        <w:rPr>
          <w:rFonts w:ascii="Times New Roman" w:hAnsi="Times New Roman" w:cs="Times New Roman"/>
          <w:sz w:val="24"/>
          <w:szCs w:val="24"/>
        </w:rPr>
        <w:t xml:space="preserve">aux </w:t>
      </w:r>
      <w:r w:rsidRPr="00782897">
        <w:rPr>
          <w:rFonts w:ascii="Times New Roman" w:hAnsi="Times New Roman" w:cs="Times New Roman"/>
          <w:sz w:val="24"/>
          <w:szCs w:val="24"/>
        </w:rPr>
        <w:t>enquête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82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 les « données surfaces »</w:t>
      </w:r>
      <w:r w:rsidRPr="00782897">
        <w:rPr>
          <w:rFonts w:ascii="Times New Roman" w:hAnsi="Times New Roman" w:cs="Times New Roman"/>
          <w:sz w:val="24"/>
          <w:szCs w:val="24"/>
        </w:rPr>
        <w:t xml:space="preserve"> que de sa contribution financière aux travaux,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782897">
        <w:rPr>
          <w:rFonts w:ascii="Times New Roman" w:hAnsi="Times New Roman" w:cs="Times New Roman"/>
          <w:sz w:val="24"/>
          <w:szCs w:val="24"/>
        </w:rPr>
        <w:t xml:space="preserve">les locaux </w:t>
      </w:r>
      <w:r>
        <w:rPr>
          <w:rFonts w:ascii="Times New Roman" w:hAnsi="Times New Roman" w:cs="Times New Roman"/>
          <w:sz w:val="24"/>
          <w:szCs w:val="24"/>
        </w:rPr>
        <w:t xml:space="preserve">utilisés par </w:t>
      </w:r>
      <w:r w:rsidRPr="00782897">
        <w:rPr>
          <w:rFonts w:ascii="Times New Roman" w:hAnsi="Times New Roman" w:cs="Times New Roman"/>
          <w:sz w:val="24"/>
          <w:szCs w:val="24"/>
        </w:rPr>
        <w:t xml:space="preserve">l’école </w:t>
      </w:r>
      <w:r>
        <w:rPr>
          <w:rFonts w:ascii="Times New Roman" w:hAnsi="Times New Roman" w:cs="Times New Roman"/>
          <w:sz w:val="24"/>
          <w:szCs w:val="24"/>
        </w:rPr>
        <w:t xml:space="preserve">ont tacitement été mis </w:t>
      </w:r>
      <w:r w:rsidRPr="00782897">
        <w:rPr>
          <w:rFonts w:ascii="Times New Roman" w:hAnsi="Times New Roman" w:cs="Times New Roman"/>
          <w:sz w:val="24"/>
          <w:szCs w:val="24"/>
        </w:rPr>
        <w:t>à sa disposition ; qu</w:t>
      </w:r>
      <w:r>
        <w:rPr>
          <w:rFonts w:ascii="Times New Roman" w:hAnsi="Times New Roman" w:cs="Times New Roman"/>
          <w:sz w:val="24"/>
          <w:szCs w:val="24"/>
        </w:rPr>
        <w:t xml:space="preserve">e, par conséquent, il entrait dans les missions de </w:t>
      </w:r>
      <w:r w:rsidRPr="00782897">
        <w:rPr>
          <w:rFonts w:ascii="Times New Roman" w:hAnsi="Times New Roman" w:cs="Times New Roman"/>
          <w:sz w:val="24"/>
          <w:szCs w:val="24"/>
        </w:rPr>
        <w:t xml:space="preserve">l’ENSCR </w:t>
      </w:r>
      <w:r>
        <w:rPr>
          <w:rFonts w:ascii="Times New Roman" w:hAnsi="Times New Roman" w:cs="Times New Roman"/>
          <w:sz w:val="24"/>
          <w:szCs w:val="24"/>
        </w:rPr>
        <w:t>d’</w:t>
      </w:r>
      <w:r w:rsidRPr="00782897">
        <w:rPr>
          <w:rFonts w:ascii="Times New Roman" w:hAnsi="Times New Roman" w:cs="Times New Roman"/>
          <w:sz w:val="24"/>
          <w:szCs w:val="24"/>
        </w:rPr>
        <w:t>exercer les obligations du propriétaire sur ces locaux</w:t>
      </w:r>
      <w:r>
        <w:rPr>
          <w:rFonts w:ascii="Times New Roman" w:hAnsi="Times New Roman" w:cs="Times New Roman"/>
          <w:sz w:val="24"/>
          <w:szCs w:val="24"/>
        </w:rPr>
        <w:t> ; que, dès lors, son ordonnateur avait qualité pour mandater les dépenses de travaux en cause</w:t>
      </w:r>
      <w:r w:rsidRPr="00782897">
        <w:rPr>
          <w:rFonts w:ascii="Times New Roman" w:hAnsi="Times New Roman" w:cs="Times New Roman"/>
          <w:sz w:val="24"/>
          <w:szCs w:val="24"/>
        </w:rPr>
        <w:t> ;</w:t>
      </w:r>
    </w:p>
    <w:p w:rsidR="00A41335" w:rsidRPr="007E26CE" w:rsidRDefault="00A41335" w:rsidP="00792801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Attendu, qu’en conséquence, le comptable n’a pas méconnu sa responsabilité en payant lesdites dépenses ;</w:t>
      </w:r>
    </w:p>
    <w:p w:rsidR="00A41335" w:rsidRDefault="00A41335" w:rsidP="0088407D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r w:rsidRPr="007E26CE">
        <w:rPr>
          <w:rFonts w:ascii="Times New Roman" w:hAnsi="Times New Roman" w:cs="Times New Roman"/>
        </w:rPr>
        <w:t>Par ces motifs,</w:t>
      </w:r>
    </w:p>
    <w:p w:rsidR="00A41335" w:rsidRPr="00660A6D" w:rsidRDefault="00A41335" w:rsidP="00792801">
      <w:pPr>
        <w:pStyle w:val="PS"/>
        <w:spacing w:before="480"/>
        <w:ind w:left="0" w:firstLine="0"/>
        <w:jc w:val="center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STATUANT DEFINITIVEMENT</w:t>
      </w:r>
    </w:p>
    <w:p w:rsidR="00A41335" w:rsidRPr="00660A6D" w:rsidRDefault="00A41335" w:rsidP="00327FD1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ORDONNE :</w:t>
      </w:r>
    </w:p>
    <w:p w:rsidR="00A41335" w:rsidRPr="005A3002" w:rsidRDefault="00A41335" w:rsidP="005A3002">
      <w:pPr>
        <w:pStyle w:val="PS"/>
        <w:ind w:left="0" w:firstLine="1080"/>
        <w:rPr>
          <w:rFonts w:ascii="Times New Roman" w:hAnsi="Times New Roman" w:cs="Times New Roman"/>
        </w:rPr>
      </w:pPr>
      <w:r w:rsidRPr="005A3002">
        <w:rPr>
          <w:rFonts w:ascii="Times New Roman" w:hAnsi="Times New Roman" w:cs="Times New Roman"/>
        </w:rPr>
        <w:t>Art. 1</w:t>
      </w:r>
      <w:r w:rsidRPr="005A3002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</w:rPr>
        <w:t xml:space="preserve"> : </w:t>
      </w:r>
      <w:r w:rsidRPr="005A3002">
        <w:rPr>
          <w:rFonts w:ascii="Times New Roman" w:hAnsi="Times New Roman" w:cs="Times New Roman"/>
        </w:rPr>
        <w:t xml:space="preserve">Le jugement du </w:t>
      </w:r>
      <w:r>
        <w:rPr>
          <w:rFonts w:ascii="Times New Roman" w:hAnsi="Times New Roman" w:cs="Times New Roman"/>
        </w:rPr>
        <w:t>26 </w:t>
      </w:r>
      <w:r w:rsidRPr="005A3002">
        <w:rPr>
          <w:rFonts w:ascii="Times New Roman" w:hAnsi="Times New Roman" w:cs="Times New Roman"/>
        </w:rPr>
        <w:t>septembre 2007</w:t>
      </w:r>
      <w:r>
        <w:rPr>
          <w:rFonts w:ascii="Times New Roman" w:hAnsi="Times New Roman" w:cs="Times New Roman"/>
        </w:rPr>
        <w:t xml:space="preserve"> est annulé</w:t>
      </w:r>
      <w:r w:rsidRPr="005A3002">
        <w:rPr>
          <w:rFonts w:ascii="Times New Roman" w:hAnsi="Times New Roman" w:cs="Times New Roman"/>
        </w:rPr>
        <w:t>, pour ce qui concerne l’injonction n° 2.</w:t>
      </w:r>
    </w:p>
    <w:p w:rsidR="00A41335" w:rsidRPr="005A3002" w:rsidRDefault="00A41335" w:rsidP="005A3002">
      <w:pPr>
        <w:pStyle w:val="PS"/>
        <w:ind w:left="0"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Art. 2 :</w:t>
      </w:r>
      <w:r w:rsidRPr="005A3002">
        <w:rPr>
          <w:rFonts w:ascii="Times New Roman" w:hAnsi="Times New Roman" w:cs="Times New Roman"/>
        </w:rPr>
        <w:t xml:space="preserve"> L’affaire est évoquée devant la Cour des comptes.</w:t>
      </w:r>
    </w:p>
    <w:p w:rsidR="00A41335" w:rsidRPr="005A3002" w:rsidRDefault="00A41335" w:rsidP="00445E95">
      <w:pPr>
        <w:pStyle w:val="PS"/>
        <w:spacing w:after="240"/>
        <w:ind w:left="0"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Art. 3 :</w:t>
      </w:r>
      <w:r w:rsidRPr="005A3002">
        <w:rPr>
          <w:rFonts w:ascii="Times New Roman" w:hAnsi="Times New Roman" w:cs="Times New Roman"/>
        </w:rPr>
        <w:t xml:space="preserve"> L’injonction n°</w:t>
      </w:r>
      <w:r>
        <w:rPr>
          <w:rFonts w:ascii="Times New Roman" w:hAnsi="Times New Roman" w:cs="Times New Roman"/>
        </w:rPr>
        <w:t xml:space="preserve"> </w:t>
      </w:r>
      <w:r w:rsidRPr="005A3002">
        <w:rPr>
          <w:rFonts w:ascii="Times New Roman" w:hAnsi="Times New Roman" w:cs="Times New Roman"/>
        </w:rPr>
        <w:t>2 du jugement provisoire du 11 janvier 2007 est levée.</w:t>
      </w:r>
    </w:p>
    <w:p w:rsidR="00A41335" w:rsidRPr="00617CAC" w:rsidRDefault="00A41335" w:rsidP="00445E95">
      <w:pPr>
        <w:pStyle w:val="PS"/>
        <w:spacing w:after="240"/>
        <w:ind w:left="0" w:firstLine="0"/>
        <w:jc w:val="center"/>
        <w:rPr>
          <w:rFonts w:ascii="Times New Roman" w:hAnsi="Times New Roman" w:cs="Times New Roman"/>
        </w:rPr>
      </w:pPr>
      <w:r w:rsidRPr="00617CAC">
        <w:rPr>
          <w:rFonts w:ascii="Times New Roman" w:hAnsi="Times New Roman" w:cs="Times New Roman"/>
        </w:rPr>
        <w:t>------------</w:t>
      </w:r>
    </w:p>
    <w:p w:rsidR="00A41335" w:rsidRDefault="00A41335" w:rsidP="00D42F00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2C0115">
        <w:rPr>
          <w:rFonts w:ascii="Times New Roman" w:hAnsi="Times New Roman" w:cs="Times New Roman"/>
        </w:rPr>
        <w:t>Fait et jugé en la Cour des comptes, quatrième chambre, première section. Présents, MM</w:t>
      </w:r>
      <w:r>
        <w:rPr>
          <w:rFonts w:ascii="Times New Roman" w:hAnsi="Times New Roman" w:cs="Times New Roman"/>
        </w:rPr>
        <w:t>. </w:t>
      </w:r>
      <w:r w:rsidRPr="002C0115">
        <w:rPr>
          <w:rFonts w:ascii="Times New Roman" w:hAnsi="Times New Roman" w:cs="Times New Roman"/>
        </w:rPr>
        <w:t>Pichon, président, Moreau, président de section, MM.</w:t>
      </w:r>
      <w:r>
        <w:rPr>
          <w:rFonts w:ascii="Times New Roman" w:hAnsi="Times New Roman" w:cs="Times New Roman"/>
        </w:rPr>
        <w:t> </w:t>
      </w:r>
      <w:r w:rsidRPr="002C0115">
        <w:rPr>
          <w:rFonts w:ascii="Times New Roman" w:hAnsi="Times New Roman" w:cs="Times New Roman"/>
        </w:rPr>
        <w:t xml:space="preserve">Ganser, Ritz, Pallot, </w:t>
      </w:r>
      <w:r>
        <w:rPr>
          <w:rFonts w:ascii="Times New Roman" w:hAnsi="Times New Roman" w:cs="Times New Roman"/>
        </w:rPr>
        <w:t xml:space="preserve">Bernicot, </w:t>
      </w:r>
      <w:r w:rsidRPr="002C0115">
        <w:rPr>
          <w:rFonts w:ascii="Times New Roman" w:hAnsi="Times New Roman" w:cs="Times New Roman"/>
        </w:rPr>
        <w:t>Mme Gadriot-Renard, conseillers maîtres.</w:t>
      </w:r>
    </w:p>
    <w:p w:rsidR="00A41335" w:rsidRDefault="00A41335" w:rsidP="00D42F00">
      <w:pPr>
        <w:pStyle w:val="PS"/>
        <w:spacing w:after="36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Signé : Pichon, président et Reynaud, greffier.</w:t>
      </w:r>
    </w:p>
    <w:p w:rsidR="00A41335" w:rsidRPr="00660A6D" w:rsidRDefault="00A41335" w:rsidP="00D42F00">
      <w:pPr>
        <w:pStyle w:val="PS"/>
        <w:spacing w:after="36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Collationné, certifié conforme à la minute étant au greffe de la Cour des comptes et délivré par moi, secrétaire générale.</w:t>
      </w:r>
    </w:p>
    <w:sectPr w:rsidR="00A41335" w:rsidRPr="00660A6D" w:rsidSect="000A1535">
      <w:headerReference w:type="default" r:id="rId7"/>
      <w:pgSz w:w="11906" w:h="16838"/>
      <w:pgMar w:top="1417" w:right="1417" w:bottom="1417" w:left="141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335" w:rsidRDefault="00A41335">
      <w:r>
        <w:separator/>
      </w:r>
    </w:p>
  </w:endnote>
  <w:endnote w:type="continuationSeparator" w:id="1">
    <w:p w:rsidR="00A41335" w:rsidRDefault="00A41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335" w:rsidRDefault="00A41335">
      <w:r>
        <w:separator/>
      </w:r>
    </w:p>
  </w:footnote>
  <w:footnote w:type="continuationSeparator" w:id="1">
    <w:p w:rsidR="00A41335" w:rsidRDefault="00A413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335" w:rsidRDefault="00A41335" w:rsidP="00D12151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41335" w:rsidRDefault="00A41335" w:rsidP="000A1535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D4C28"/>
    <w:multiLevelType w:val="hybridMultilevel"/>
    <w:tmpl w:val="666C9794"/>
    <w:lvl w:ilvl="0" w:tplc="BE0207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3E92"/>
    <w:rsid w:val="0000109B"/>
    <w:rsid w:val="00002923"/>
    <w:rsid w:val="00042DE1"/>
    <w:rsid w:val="00062706"/>
    <w:rsid w:val="00074849"/>
    <w:rsid w:val="000966AD"/>
    <w:rsid w:val="00097CB1"/>
    <w:rsid w:val="000A1535"/>
    <w:rsid w:val="000B1525"/>
    <w:rsid w:val="000C78C8"/>
    <w:rsid w:val="000F5742"/>
    <w:rsid w:val="0010360D"/>
    <w:rsid w:val="00103B5D"/>
    <w:rsid w:val="00120038"/>
    <w:rsid w:val="00136172"/>
    <w:rsid w:val="0013719D"/>
    <w:rsid w:val="00137E59"/>
    <w:rsid w:val="00162847"/>
    <w:rsid w:val="00172BF4"/>
    <w:rsid w:val="00173F27"/>
    <w:rsid w:val="00180908"/>
    <w:rsid w:val="00180E4F"/>
    <w:rsid w:val="00190224"/>
    <w:rsid w:val="001943B8"/>
    <w:rsid w:val="001B7368"/>
    <w:rsid w:val="001C4A33"/>
    <w:rsid w:val="001C4E87"/>
    <w:rsid w:val="001C6566"/>
    <w:rsid w:val="001D2A4A"/>
    <w:rsid w:val="001E2CBB"/>
    <w:rsid w:val="001F2730"/>
    <w:rsid w:val="001F482A"/>
    <w:rsid w:val="001F7DBA"/>
    <w:rsid w:val="0020413B"/>
    <w:rsid w:val="00211381"/>
    <w:rsid w:val="00211F06"/>
    <w:rsid w:val="00223D38"/>
    <w:rsid w:val="00243E9C"/>
    <w:rsid w:val="00262E91"/>
    <w:rsid w:val="002977C7"/>
    <w:rsid w:val="002A3420"/>
    <w:rsid w:val="002A5F51"/>
    <w:rsid w:val="002B01CB"/>
    <w:rsid w:val="002B3E62"/>
    <w:rsid w:val="002C0115"/>
    <w:rsid w:val="002D0A78"/>
    <w:rsid w:val="002E020E"/>
    <w:rsid w:val="002E1545"/>
    <w:rsid w:val="002F4064"/>
    <w:rsid w:val="002F76D8"/>
    <w:rsid w:val="00313B8C"/>
    <w:rsid w:val="00317CAF"/>
    <w:rsid w:val="003201CD"/>
    <w:rsid w:val="00325C98"/>
    <w:rsid w:val="00326EE5"/>
    <w:rsid w:val="00327FD1"/>
    <w:rsid w:val="00331626"/>
    <w:rsid w:val="003440E8"/>
    <w:rsid w:val="00346D93"/>
    <w:rsid w:val="00350E9E"/>
    <w:rsid w:val="00353439"/>
    <w:rsid w:val="00383468"/>
    <w:rsid w:val="0039232B"/>
    <w:rsid w:val="0039572C"/>
    <w:rsid w:val="003A24CE"/>
    <w:rsid w:val="003A6169"/>
    <w:rsid w:val="003B4919"/>
    <w:rsid w:val="003C72B0"/>
    <w:rsid w:val="00410A6D"/>
    <w:rsid w:val="0041218E"/>
    <w:rsid w:val="00413EE5"/>
    <w:rsid w:val="004149E8"/>
    <w:rsid w:val="00415B20"/>
    <w:rsid w:val="00421AE2"/>
    <w:rsid w:val="004268EA"/>
    <w:rsid w:val="00445E95"/>
    <w:rsid w:val="00457496"/>
    <w:rsid w:val="004648E6"/>
    <w:rsid w:val="00475C59"/>
    <w:rsid w:val="00475D4C"/>
    <w:rsid w:val="004806C4"/>
    <w:rsid w:val="00481C50"/>
    <w:rsid w:val="0048440B"/>
    <w:rsid w:val="00496FA2"/>
    <w:rsid w:val="00497A94"/>
    <w:rsid w:val="004D00C9"/>
    <w:rsid w:val="004D206B"/>
    <w:rsid w:val="004D52EB"/>
    <w:rsid w:val="004D6186"/>
    <w:rsid w:val="004E32D2"/>
    <w:rsid w:val="004F66C0"/>
    <w:rsid w:val="00501930"/>
    <w:rsid w:val="0051078B"/>
    <w:rsid w:val="00510BFE"/>
    <w:rsid w:val="00513823"/>
    <w:rsid w:val="00521414"/>
    <w:rsid w:val="00533F20"/>
    <w:rsid w:val="0054418D"/>
    <w:rsid w:val="00545E6A"/>
    <w:rsid w:val="005618A9"/>
    <w:rsid w:val="00565E05"/>
    <w:rsid w:val="00566BAE"/>
    <w:rsid w:val="005846B1"/>
    <w:rsid w:val="005847DF"/>
    <w:rsid w:val="00586186"/>
    <w:rsid w:val="00586D35"/>
    <w:rsid w:val="00597F3F"/>
    <w:rsid w:val="005A3002"/>
    <w:rsid w:val="005C14F9"/>
    <w:rsid w:val="005D1BD8"/>
    <w:rsid w:val="005D3707"/>
    <w:rsid w:val="005E5AE6"/>
    <w:rsid w:val="005E7EE8"/>
    <w:rsid w:val="005F41EA"/>
    <w:rsid w:val="005F641F"/>
    <w:rsid w:val="006003CD"/>
    <w:rsid w:val="0060163F"/>
    <w:rsid w:val="0060627C"/>
    <w:rsid w:val="00610701"/>
    <w:rsid w:val="0061419D"/>
    <w:rsid w:val="00616174"/>
    <w:rsid w:val="00617CAC"/>
    <w:rsid w:val="006236CE"/>
    <w:rsid w:val="0063019B"/>
    <w:rsid w:val="00645620"/>
    <w:rsid w:val="006534E7"/>
    <w:rsid w:val="00660A6D"/>
    <w:rsid w:val="00667421"/>
    <w:rsid w:val="00671DB5"/>
    <w:rsid w:val="00677801"/>
    <w:rsid w:val="00686802"/>
    <w:rsid w:val="00686BA5"/>
    <w:rsid w:val="006909E7"/>
    <w:rsid w:val="006A4388"/>
    <w:rsid w:val="006B005F"/>
    <w:rsid w:val="006C3E92"/>
    <w:rsid w:val="006C6EDF"/>
    <w:rsid w:val="006D476B"/>
    <w:rsid w:val="006E020C"/>
    <w:rsid w:val="006E1A1A"/>
    <w:rsid w:val="006F13C8"/>
    <w:rsid w:val="00701DFF"/>
    <w:rsid w:val="00706551"/>
    <w:rsid w:val="007438F0"/>
    <w:rsid w:val="00782897"/>
    <w:rsid w:val="00792801"/>
    <w:rsid w:val="007959D1"/>
    <w:rsid w:val="007A56E4"/>
    <w:rsid w:val="007B2171"/>
    <w:rsid w:val="007B529F"/>
    <w:rsid w:val="007C77E2"/>
    <w:rsid w:val="007D4AE2"/>
    <w:rsid w:val="007E26CE"/>
    <w:rsid w:val="007E653B"/>
    <w:rsid w:val="007F0929"/>
    <w:rsid w:val="007F1E40"/>
    <w:rsid w:val="007F2422"/>
    <w:rsid w:val="007F3AC0"/>
    <w:rsid w:val="00813BEB"/>
    <w:rsid w:val="008240D6"/>
    <w:rsid w:val="00824B43"/>
    <w:rsid w:val="00845E76"/>
    <w:rsid w:val="00847E1B"/>
    <w:rsid w:val="008617C3"/>
    <w:rsid w:val="00866D4B"/>
    <w:rsid w:val="00883D06"/>
    <w:rsid w:val="0088407D"/>
    <w:rsid w:val="00891B02"/>
    <w:rsid w:val="008A5054"/>
    <w:rsid w:val="008B5911"/>
    <w:rsid w:val="008C5F81"/>
    <w:rsid w:val="008E0C8D"/>
    <w:rsid w:val="00906B6C"/>
    <w:rsid w:val="009450CF"/>
    <w:rsid w:val="00976D12"/>
    <w:rsid w:val="00977E23"/>
    <w:rsid w:val="0099190A"/>
    <w:rsid w:val="00992032"/>
    <w:rsid w:val="009A25F6"/>
    <w:rsid w:val="009F2DB9"/>
    <w:rsid w:val="009F765D"/>
    <w:rsid w:val="00A054E3"/>
    <w:rsid w:val="00A1234D"/>
    <w:rsid w:val="00A24589"/>
    <w:rsid w:val="00A338DA"/>
    <w:rsid w:val="00A36AE2"/>
    <w:rsid w:val="00A406E5"/>
    <w:rsid w:val="00A41335"/>
    <w:rsid w:val="00A42557"/>
    <w:rsid w:val="00A44C20"/>
    <w:rsid w:val="00A73565"/>
    <w:rsid w:val="00A76E2F"/>
    <w:rsid w:val="00A95152"/>
    <w:rsid w:val="00AB0802"/>
    <w:rsid w:val="00AD146C"/>
    <w:rsid w:val="00AD2BC6"/>
    <w:rsid w:val="00AD31F8"/>
    <w:rsid w:val="00AE2CB6"/>
    <w:rsid w:val="00AF1D55"/>
    <w:rsid w:val="00AF2001"/>
    <w:rsid w:val="00AF7246"/>
    <w:rsid w:val="00B10A4C"/>
    <w:rsid w:val="00B13BF7"/>
    <w:rsid w:val="00B30F64"/>
    <w:rsid w:val="00B345C3"/>
    <w:rsid w:val="00B52EEF"/>
    <w:rsid w:val="00B62210"/>
    <w:rsid w:val="00B82C1D"/>
    <w:rsid w:val="00B85FD6"/>
    <w:rsid w:val="00B92A4C"/>
    <w:rsid w:val="00BA223E"/>
    <w:rsid w:val="00BA5580"/>
    <w:rsid w:val="00BA6A11"/>
    <w:rsid w:val="00BC5727"/>
    <w:rsid w:val="00BD01E8"/>
    <w:rsid w:val="00BD6431"/>
    <w:rsid w:val="00BD6BB4"/>
    <w:rsid w:val="00BE4CC6"/>
    <w:rsid w:val="00C10827"/>
    <w:rsid w:val="00C35A41"/>
    <w:rsid w:val="00C36F08"/>
    <w:rsid w:val="00C50E9D"/>
    <w:rsid w:val="00C72063"/>
    <w:rsid w:val="00CD06DD"/>
    <w:rsid w:val="00CE3F0F"/>
    <w:rsid w:val="00CF468A"/>
    <w:rsid w:val="00CF4D0B"/>
    <w:rsid w:val="00D05BB4"/>
    <w:rsid w:val="00D072D8"/>
    <w:rsid w:val="00D07D63"/>
    <w:rsid w:val="00D12151"/>
    <w:rsid w:val="00D22973"/>
    <w:rsid w:val="00D27E51"/>
    <w:rsid w:val="00D42F00"/>
    <w:rsid w:val="00D57ECF"/>
    <w:rsid w:val="00D969BC"/>
    <w:rsid w:val="00DA7123"/>
    <w:rsid w:val="00DB2D1C"/>
    <w:rsid w:val="00DB549E"/>
    <w:rsid w:val="00DB5EED"/>
    <w:rsid w:val="00DC263D"/>
    <w:rsid w:val="00DC41CF"/>
    <w:rsid w:val="00DC5A0B"/>
    <w:rsid w:val="00DD4C16"/>
    <w:rsid w:val="00DF26F3"/>
    <w:rsid w:val="00DF7926"/>
    <w:rsid w:val="00E14D87"/>
    <w:rsid w:val="00E73F93"/>
    <w:rsid w:val="00E81B59"/>
    <w:rsid w:val="00E86457"/>
    <w:rsid w:val="00EB6713"/>
    <w:rsid w:val="00EB739E"/>
    <w:rsid w:val="00ED36C8"/>
    <w:rsid w:val="00ED5089"/>
    <w:rsid w:val="00F36307"/>
    <w:rsid w:val="00F736D0"/>
    <w:rsid w:val="00F74ADE"/>
    <w:rsid w:val="00F818F3"/>
    <w:rsid w:val="00F8640B"/>
    <w:rsid w:val="00F949A9"/>
    <w:rsid w:val="00FA0011"/>
    <w:rsid w:val="00FA133F"/>
    <w:rsid w:val="00FB6C0A"/>
    <w:rsid w:val="00FC475F"/>
    <w:rsid w:val="00FD4177"/>
    <w:rsid w:val="00FE3DDE"/>
    <w:rsid w:val="00FE7CFC"/>
    <w:rsid w:val="00FF14A8"/>
    <w:rsid w:val="00FF6674"/>
    <w:rsid w:val="00FF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left="567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2F5E"/>
    <w:rPr>
      <w:sz w:val="20"/>
      <w:szCs w:val="20"/>
    </w:rPr>
  </w:style>
  <w:style w:type="paragraph" w:customStyle="1" w:styleId="apostille">
    <w:name w:val="apostille"/>
    <w:basedOn w:val="Normal"/>
    <w:uiPriority w:val="99"/>
    <w:pPr>
      <w:spacing w:before="120"/>
      <w:jc w:val="right"/>
    </w:pPr>
    <w:rPr>
      <w:b/>
      <w:bCs/>
      <w:i/>
      <w:iCs/>
      <w:smallCaps/>
      <w:sz w:val="24"/>
      <w:szCs w:val="24"/>
    </w:rPr>
  </w:style>
  <w:style w:type="paragraph" w:customStyle="1" w:styleId="obs">
    <w:name w:val="obs"/>
    <w:basedOn w:val="Normal"/>
    <w:uiPriority w:val="99"/>
    <w:pPr>
      <w:spacing w:before="240" w:after="120"/>
      <w:jc w:val="both"/>
    </w:pPr>
    <w:rPr>
      <w:b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32F5E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32F5E"/>
    <w:rPr>
      <w:sz w:val="20"/>
      <w:szCs w:val="20"/>
    </w:rPr>
  </w:style>
  <w:style w:type="paragraph" w:customStyle="1" w:styleId="paragraphe">
    <w:name w:val="paragraphe"/>
    <w:uiPriority w:val="99"/>
    <w:rsid w:val="00847E1B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D2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5E"/>
    <w:rPr>
      <w:sz w:val="0"/>
      <w:szCs w:val="0"/>
    </w:rPr>
  </w:style>
  <w:style w:type="paragraph" w:customStyle="1" w:styleId="PS">
    <w:name w:val="PS"/>
    <w:basedOn w:val="Normal"/>
    <w:link w:val="PSCar"/>
    <w:uiPriority w:val="99"/>
    <w:rsid w:val="00B82C1D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B82C1D"/>
    <w:rPr>
      <w:rFonts w:ascii="CG Times (WN)" w:hAnsi="CG Times (WN)" w:cs="CG Times (WN)"/>
      <w:sz w:val="24"/>
      <w:szCs w:val="24"/>
      <w:lang w:val="fr-FR" w:eastAsia="fr-FR"/>
    </w:rPr>
  </w:style>
  <w:style w:type="paragraph" w:customStyle="1" w:styleId="texte">
    <w:name w:val="texte"/>
    <w:basedOn w:val="Normal"/>
    <w:uiPriority w:val="99"/>
    <w:rsid w:val="001C4A33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character" w:styleId="Strong">
    <w:name w:val="Strong"/>
    <w:basedOn w:val="DefaultParagraphFont"/>
    <w:uiPriority w:val="99"/>
    <w:qFormat/>
    <w:rsid w:val="00AE2CB6"/>
    <w:rPr>
      <w:b/>
      <w:bCs/>
    </w:rPr>
  </w:style>
  <w:style w:type="character" w:styleId="CommentReference">
    <w:name w:val="annotation reference"/>
    <w:basedOn w:val="DefaultParagraphFont"/>
    <w:uiPriority w:val="99"/>
    <w:semiHidden/>
    <w:rsid w:val="00CE3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3F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F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3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F5E"/>
    <w:rPr>
      <w:b/>
      <w:bCs/>
    </w:rPr>
  </w:style>
  <w:style w:type="paragraph" w:styleId="Header">
    <w:name w:val="header"/>
    <w:basedOn w:val="Normal"/>
    <w:link w:val="HeaderChar"/>
    <w:uiPriority w:val="99"/>
    <w:rsid w:val="000A153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F5E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0A15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0</TotalTime>
  <Pages>3</Pages>
  <Words>1312</Words>
  <Characters>7217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subject/>
  <dc:creator>gmoreau</dc:creator>
  <cp:keywords/>
  <dc:description/>
  <cp:lastModifiedBy>Maryté Lecroisey</cp:lastModifiedBy>
  <cp:revision>2</cp:revision>
  <cp:lastPrinted>2008-06-11T13:16:00Z</cp:lastPrinted>
  <dcterms:created xsi:type="dcterms:W3CDTF">2008-07-15T10:26:00Z</dcterms:created>
  <dcterms:modified xsi:type="dcterms:W3CDTF">2008-07-15T10:26:00Z</dcterms:modified>
</cp:coreProperties>
</file>