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933" w:rsidRDefault="00BD0933">
      <w:pPr>
        <w:pStyle w:val="ET"/>
      </w:pPr>
      <w:r>
        <w:t>COUR DES COMPTES</w:t>
      </w:r>
    </w:p>
    <w:p w:rsidR="00BD0933" w:rsidRDefault="00BD0933">
      <w:pPr>
        <w:pStyle w:val="ET"/>
      </w:pPr>
      <w:r>
        <w:tab/>
        <w:t xml:space="preserve">    ------ </w:t>
      </w:r>
    </w:p>
    <w:p w:rsidR="00BD0933" w:rsidRDefault="00BD0933">
      <w:pPr>
        <w:pStyle w:val="ET"/>
      </w:pPr>
      <w:r>
        <w:t>septIEME CHAMBRE</w:t>
      </w:r>
    </w:p>
    <w:p w:rsidR="00BD0933" w:rsidRDefault="00BD0933" w:rsidP="000434DD">
      <w:pPr>
        <w:pStyle w:val="ET"/>
      </w:pPr>
      <w:r>
        <w:tab/>
        <w:t xml:space="preserve">    ------ </w:t>
      </w:r>
    </w:p>
    <w:p w:rsidR="00BD0933" w:rsidRDefault="00BD0933">
      <w:pPr>
        <w:pStyle w:val="ET"/>
      </w:pPr>
      <w:r>
        <w:t>DEUXIEMe SECTION</w:t>
      </w:r>
    </w:p>
    <w:p w:rsidR="00BD0933" w:rsidRDefault="00BD0933">
      <w:pPr>
        <w:pStyle w:val="ET"/>
      </w:pPr>
      <w:r>
        <w:tab/>
        <w:t xml:space="preserve">    ------ </w:t>
      </w:r>
    </w:p>
    <w:p w:rsidR="00BD0933" w:rsidRPr="00947C81" w:rsidRDefault="00BD0933" w:rsidP="000434DD">
      <w:pPr>
        <w:pStyle w:val="Header"/>
        <w:rPr>
          <w:b/>
          <w:bCs/>
          <w:i/>
          <w:iCs/>
        </w:rPr>
      </w:pPr>
      <w:r>
        <w:t xml:space="preserve">       </w:t>
      </w:r>
      <w:r w:rsidRPr="00947C81">
        <w:rPr>
          <w:b/>
          <w:bCs/>
          <w:i/>
          <w:iCs/>
        </w:rPr>
        <w:t xml:space="preserve">Arrêt n° </w:t>
      </w:r>
      <w:r>
        <w:rPr>
          <w:b/>
          <w:bCs/>
          <w:i/>
          <w:iCs/>
        </w:rPr>
        <w:t>52356</w:t>
      </w:r>
      <w:r>
        <w:fldChar w:fldCharType="begin"/>
      </w:r>
      <w:r>
        <w:fldChar w:fldCharType="end"/>
      </w:r>
    </w:p>
    <w:p w:rsidR="00BD0933" w:rsidRDefault="00BD0933" w:rsidP="007C6484">
      <w:pPr>
        <w:pStyle w:val="OR"/>
        <w:ind w:right="-284"/>
      </w:pPr>
      <w:r>
        <w:t>AGENCE FRANCAISE POUR LES INVESTISSEMENTS INTERNATIONAUX (AFII)</w:t>
      </w:r>
    </w:p>
    <w:p w:rsidR="00BD0933" w:rsidRDefault="00BD0933" w:rsidP="006F2EDD">
      <w:pPr>
        <w:pStyle w:val="OR"/>
      </w:pPr>
    </w:p>
    <w:p w:rsidR="00BD0933" w:rsidRDefault="00BD0933" w:rsidP="006F2EDD">
      <w:pPr>
        <w:pStyle w:val="OR"/>
      </w:pPr>
      <w:r>
        <w:t>Exercices 2002 à 2005</w:t>
      </w:r>
    </w:p>
    <w:p w:rsidR="00BD0933" w:rsidRDefault="00BD0933" w:rsidP="006F2EDD">
      <w:pPr>
        <w:pStyle w:val="OR"/>
      </w:pPr>
    </w:p>
    <w:p w:rsidR="00BD0933" w:rsidRDefault="00BD0933" w:rsidP="006F2EDD">
      <w:pPr>
        <w:pStyle w:val="OR"/>
      </w:pPr>
      <w:r>
        <w:t>Rapport n° 2008-446-0</w:t>
      </w:r>
    </w:p>
    <w:p w:rsidR="00BD0933" w:rsidRDefault="00BD0933" w:rsidP="006F2EDD">
      <w:pPr>
        <w:pStyle w:val="OR"/>
      </w:pPr>
    </w:p>
    <w:p w:rsidR="00BD0933" w:rsidRDefault="00BD0933" w:rsidP="006F2EDD">
      <w:pPr>
        <w:pStyle w:val="OR"/>
      </w:pPr>
      <w:r>
        <w:t>Audience publique et délibéré du 2 juillet 2008</w:t>
      </w:r>
    </w:p>
    <w:p w:rsidR="00BD0933" w:rsidRDefault="00BD0933" w:rsidP="006F2EDD">
      <w:pPr>
        <w:pStyle w:val="OR"/>
      </w:pPr>
    </w:p>
    <w:p w:rsidR="00BD0933" w:rsidRDefault="00BD0933" w:rsidP="007C6484">
      <w:pPr>
        <w:pStyle w:val="OR"/>
        <w:ind w:right="-284"/>
      </w:pPr>
      <w:r>
        <w:t>Lecture publique du 23 juillet 2008</w:t>
      </w:r>
    </w:p>
    <w:p w:rsidR="00BD0933" w:rsidRDefault="00BD0933" w:rsidP="00403E5C">
      <w:pPr>
        <w:pStyle w:val="P0"/>
        <w:jc w:val="center"/>
      </w:pPr>
    </w:p>
    <w:p w:rsidR="00BD0933" w:rsidRDefault="00BD0933" w:rsidP="00403E5C">
      <w:pPr>
        <w:pStyle w:val="P0"/>
        <w:jc w:val="center"/>
      </w:pPr>
    </w:p>
    <w:p w:rsidR="00BD0933" w:rsidRDefault="00BD0933" w:rsidP="00403E5C">
      <w:pPr>
        <w:pStyle w:val="P0"/>
        <w:jc w:val="center"/>
      </w:pPr>
      <w:r>
        <w:t>REPUBLIQUE FRANCAISE</w:t>
      </w:r>
    </w:p>
    <w:p w:rsidR="00BD0933" w:rsidRDefault="00BD0933" w:rsidP="00403E5C">
      <w:pPr>
        <w:pStyle w:val="P0"/>
        <w:jc w:val="center"/>
      </w:pPr>
    </w:p>
    <w:p w:rsidR="00BD0933" w:rsidRDefault="00BD0933" w:rsidP="00403E5C">
      <w:pPr>
        <w:pStyle w:val="P0"/>
        <w:jc w:val="center"/>
      </w:pPr>
      <w:r>
        <w:t>AU NOM DU PEUPLE FRANÇAIS</w:t>
      </w:r>
    </w:p>
    <w:p w:rsidR="00BD0933" w:rsidRDefault="00BD0933" w:rsidP="00403E5C">
      <w:pPr>
        <w:pStyle w:val="P0"/>
        <w:jc w:val="center"/>
      </w:pPr>
    </w:p>
    <w:p w:rsidR="00BD0933" w:rsidRDefault="00BD0933" w:rsidP="00403E5C">
      <w:pPr>
        <w:pStyle w:val="P0"/>
        <w:jc w:val="center"/>
      </w:pPr>
      <w:r>
        <w:t>LA COUR DES COMPTES a rendu l’arrêt suivant :</w:t>
      </w:r>
    </w:p>
    <w:p w:rsidR="00BD0933" w:rsidRDefault="00BD0933" w:rsidP="00403E5C">
      <w:pPr>
        <w:pStyle w:val="P0"/>
        <w:jc w:val="center"/>
      </w:pPr>
    </w:p>
    <w:p w:rsidR="00BD0933" w:rsidRDefault="00BD0933">
      <w:pPr>
        <w:pStyle w:val="PS"/>
      </w:pPr>
      <w:r>
        <w:t>LA COUR,</w:t>
      </w:r>
    </w:p>
    <w:p w:rsidR="00BD0933" w:rsidRPr="0035683B" w:rsidRDefault="00BD0933" w:rsidP="00114800">
      <w:pPr>
        <w:pStyle w:val="PS"/>
      </w:pPr>
      <w:r>
        <w:t>Vu l'arrêt n° 50055</w:t>
      </w:r>
      <w:r w:rsidRPr="00C60A6A">
        <w:t xml:space="preserve"> en date du </w:t>
      </w:r>
      <w:r>
        <w:t>6 juin</w:t>
      </w:r>
      <w:r w:rsidRPr="00C60A6A">
        <w:t xml:space="preserve"> 2007 par lequel elle a statué sur les</w:t>
      </w:r>
      <w:r>
        <w:t xml:space="preserve"> </w:t>
      </w:r>
      <w:r w:rsidRPr="00C60A6A">
        <w:t xml:space="preserve">comptes rendus en qualité de comptables publics </w:t>
      </w:r>
      <w:r>
        <w:t>de l’</w:t>
      </w:r>
      <w:r w:rsidRPr="0035683B">
        <w:t xml:space="preserve">AGENCE FRANCAISE </w:t>
      </w:r>
      <w:r>
        <w:t>POUR L</w:t>
      </w:r>
      <w:r w:rsidRPr="0035683B">
        <w:t>ES INVESTISSEMENTS INTERNATIONAUX (AFII</w:t>
      </w:r>
      <w:r>
        <w:t>) pour les exercices 2002</w:t>
      </w:r>
      <w:r w:rsidRPr="00C60A6A">
        <w:t xml:space="preserve"> à 2005, par </w:t>
      </w:r>
      <w:r>
        <w:t>M. Jean X du 1</w:t>
      </w:r>
      <w:r w:rsidRPr="0035683B">
        <w:rPr>
          <w:vertAlign w:val="superscript"/>
        </w:rPr>
        <w:t>er</w:t>
      </w:r>
      <w:r>
        <w:t> janvier 2002 au 31 décembre 2003 et Mme Viviane Y à compter du 1</w:t>
      </w:r>
      <w:r w:rsidRPr="0035683B">
        <w:rPr>
          <w:vertAlign w:val="superscript"/>
        </w:rPr>
        <w:t>er</w:t>
      </w:r>
      <w:r>
        <w:t xml:space="preserve"> janvier 2004 ;</w:t>
      </w:r>
    </w:p>
    <w:p w:rsidR="00BD0933" w:rsidRDefault="00BD0933" w:rsidP="00114800">
      <w:pPr>
        <w:pStyle w:val="PS"/>
      </w:pPr>
      <w:r w:rsidRPr="00C60A6A">
        <w:t xml:space="preserve">Vu les justifications produites en exécution dudit arrêt par </w:t>
      </w:r>
      <w:r>
        <w:t>Mme Viviane Y</w:t>
      </w:r>
      <w:r w:rsidRPr="00C60A6A">
        <w:t>, en</w:t>
      </w:r>
      <w:r>
        <w:t xml:space="preserve"> </w:t>
      </w:r>
      <w:r w:rsidRPr="00C60A6A">
        <w:t xml:space="preserve">date </w:t>
      </w:r>
      <w:r w:rsidRPr="00421E90">
        <w:t>du 14 janvier 2008, enregistrées le même jour au greffe central de la Cour</w:t>
      </w:r>
      <w:r>
        <w:t xml:space="preserve"> </w:t>
      </w:r>
      <w:r w:rsidRPr="00421E90">
        <w:t>;</w:t>
      </w:r>
    </w:p>
    <w:p w:rsidR="00BD0933" w:rsidRDefault="00BD0933" w:rsidP="00114800">
      <w:pPr>
        <w:pStyle w:val="PS"/>
      </w:pPr>
      <w:r w:rsidRPr="00C60A6A">
        <w:t>Vu l</w:t>
      </w:r>
      <w:r>
        <w:t>a lettre du président de l’AFII adressée le 16 janvier 2008 et enregistrée au greffe le 24 janvier ;</w:t>
      </w:r>
    </w:p>
    <w:p w:rsidR="00BD0933" w:rsidRDefault="00BD0933" w:rsidP="00114800">
      <w:pPr>
        <w:pStyle w:val="PS"/>
      </w:pPr>
      <w:r w:rsidRPr="00C60A6A">
        <w:t>Vu le code des juridictions financières, notamment l'article L. 111-1 ;</w:t>
      </w:r>
    </w:p>
    <w:p w:rsidR="00BD0933" w:rsidRDefault="00BD0933" w:rsidP="00114800">
      <w:pPr>
        <w:pStyle w:val="PS"/>
      </w:pPr>
      <w:r w:rsidRPr="00C60A6A">
        <w:t>Vu l'article 60 de la loi de finances du 23 février 1963</w:t>
      </w:r>
      <w:r>
        <w:t xml:space="preserve"> </w:t>
      </w:r>
      <w:r w:rsidRPr="00C60A6A">
        <w:t>;</w:t>
      </w:r>
    </w:p>
    <w:p w:rsidR="00BD0933" w:rsidRPr="00C60A6A" w:rsidRDefault="00BD0933" w:rsidP="00403E5C">
      <w:pPr>
        <w:pStyle w:val="PS"/>
        <w:spacing w:after="120"/>
      </w:pPr>
      <w:r w:rsidRPr="00C60A6A">
        <w:t>Vu les lois et règlements régissant les établissements publics à caractère</w:t>
      </w:r>
      <w:r>
        <w:t xml:space="preserve"> industriel et commercial</w:t>
      </w:r>
      <w:r w:rsidRPr="00C60A6A">
        <w:t xml:space="preserve"> et le décret n° 62-1587 du 29 décembre 1962 portant règlement général sur</w:t>
      </w:r>
      <w:r>
        <w:t xml:space="preserve"> </w:t>
      </w:r>
      <w:r w:rsidRPr="00C60A6A">
        <w:t>la comptabilité publique</w:t>
      </w:r>
      <w:r>
        <w:t xml:space="preserve"> </w:t>
      </w:r>
      <w:r w:rsidRPr="00C60A6A">
        <w:t>;</w:t>
      </w:r>
    </w:p>
    <w:p w:rsidR="00BD0933" w:rsidRDefault="00BD0933" w:rsidP="00114800">
      <w:pPr>
        <w:pStyle w:val="IN"/>
      </w:pPr>
      <w:r>
        <w:t>MNT</w:t>
      </w:r>
    </w:p>
    <w:p w:rsidR="00BD0933" w:rsidRDefault="00BD0933" w:rsidP="00114800">
      <w:pPr>
        <w:pStyle w:val="PS"/>
        <w:sectPr w:rsidR="00BD0933" w:rsidSect="00F25430">
          <w:headerReference w:type="default" r:id="rId7"/>
          <w:footerReference w:type="first" r:id="rId8"/>
          <w:pgSz w:w="11907" w:h="16840" w:code="9"/>
          <w:pgMar w:top="1134" w:right="1134" w:bottom="851" w:left="567" w:header="720" w:footer="720" w:gutter="0"/>
          <w:cols w:space="720"/>
          <w:titlePg/>
        </w:sectPr>
      </w:pPr>
    </w:p>
    <w:p w:rsidR="00BD0933" w:rsidRDefault="00BD0933" w:rsidP="00114800">
      <w:pPr>
        <w:pStyle w:val="PS"/>
      </w:pPr>
      <w:r w:rsidRPr="00C60A6A">
        <w:t xml:space="preserve">Vu la lettre du </w:t>
      </w:r>
      <w:r>
        <w:t>9 juin 2008 pa</w:t>
      </w:r>
      <w:r w:rsidRPr="00C60A6A">
        <w:t>r laquelle l</w:t>
      </w:r>
      <w:r>
        <w:t>a</w:t>
      </w:r>
      <w:r w:rsidRPr="00C60A6A">
        <w:t xml:space="preserve"> </w:t>
      </w:r>
      <w:r>
        <w:t>greffière</w:t>
      </w:r>
      <w:r w:rsidRPr="00C60A6A">
        <w:t xml:space="preserve"> de la septième</w:t>
      </w:r>
      <w:r>
        <w:t xml:space="preserve"> </w:t>
      </w:r>
      <w:r w:rsidRPr="00C60A6A">
        <w:t xml:space="preserve">chambre a informé </w:t>
      </w:r>
      <w:r>
        <w:t>Mme Viviane Y</w:t>
      </w:r>
      <w:r w:rsidRPr="00C60A6A">
        <w:t xml:space="preserve"> ainsi que le </w:t>
      </w:r>
      <w:r>
        <w:t>président de l’AFII</w:t>
      </w:r>
      <w:r w:rsidRPr="00C60A6A">
        <w:t xml:space="preserve"> de la tenue de l'audience publique de ce jour,</w:t>
      </w:r>
      <w:r>
        <w:t xml:space="preserve"> </w:t>
      </w:r>
      <w:r w:rsidRPr="00C60A6A">
        <w:t>ensemble leurs accusés de réception</w:t>
      </w:r>
      <w:r>
        <w:t xml:space="preserve"> </w:t>
      </w:r>
      <w:r w:rsidRPr="00C60A6A">
        <w:t>;</w:t>
      </w:r>
    </w:p>
    <w:p w:rsidR="00BD0933" w:rsidRDefault="00BD0933" w:rsidP="00114800">
      <w:pPr>
        <w:pStyle w:val="PS"/>
      </w:pPr>
      <w:r>
        <w:t>Vu la lettre du 19 juin 2008 par laquelle la greffière de la 7</w:t>
      </w:r>
      <w:r w:rsidRPr="003A7AEC">
        <w:rPr>
          <w:vertAlign w:val="superscript"/>
        </w:rPr>
        <w:t>ème</w:t>
      </w:r>
      <w:r>
        <w:t xml:space="preserve"> chambre a communiqué à Mme Viviane Y, à sa demande, une copie du rapport à fin de deuxième arrêt sur les comptes de l’AFII ainsi que les conclusions n° 431 du Procureur général en date du 13 juin 2008 ;</w:t>
      </w:r>
    </w:p>
    <w:p w:rsidR="00BD0933" w:rsidRDefault="00BD0933" w:rsidP="00114800">
      <w:pPr>
        <w:pStyle w:val="PS"/>
      </w:pPr>
      <w:r w:rsidRPr="00C60A6A">
        <w:t xml:space="preserve">Sur le rapport de M. </w:t>
      </w:r>
      <w:r>
        <w:t>Fosseux</w:t>
      </w:r>
      <w:r w:rsidRPr="00C60A6A">
        <w:t xml:space="preserve">, conseiller </w:t>
      </w:r>
      <w:r>
        <w:t xml:space="preserve">référendaire </w:t>
      </w:r>
      <w:r w:rsidRPr="00C60A6A">
        <w:t>;</w:t>
      </w:r>
    </w:p>
    <w:p w:rsidR="00BD0933" w:rsidRDefault="00BD0933" w:rsidP="00114800">
      <w:pPr>
        <w:pStyle w:val="PS"/>
      </w:pPr>
      <w:r>
        <w:t>Vu les conclusions n° 431 d</w:t>
      </w:r>
      <w:r w:rsidRPr="00C60A6A">
        <w:t>u Procureur général de la République en date du</w:t>
      </w:r>
      <w:r>
        <w:t xml:space="preserve"> 13 juin 2008 ;</w:t>
      </w:r>
    </w:p>
    <w:p w:rsidR="00BD0933" w:rsidRDefault="00BD0933" w:rsidP="00114800">
      <w:pPr>
        <w:pStyle w:val="PS"/>
      </w:pPr>
      <w:r w:rsidRPr="00C60A6A">
        <w:t xml:space="preserve">Entendu à l'audience publique M. </w:t>
      </w:r>
      <w:r>
        <w:t>Fosseux</w:t>
      </w:r>
      <w:r w:rsidRPr="00C60A6A">
        <w:t xml:space="preserve"> en son rapport</w:t>
      </w:r>
      <w:r>
        <w:t>,</w:t>
      </w:r>
      <w:r w:rsidRPr="00C60A6A">
        <w:t xml:space="preserve"> M. Perrin,</w:t>
      </w:r>
      <w:r>
        <w:t xml:space="preserve"> </w:t>
      </w:r>
      <w:r w:rsidRPr="00C60A6A">
        <w:t>avocat général, en ses observations orales, M</w:t>
      </w:r>
      <w:r>
        <w:t>. Maurice Z, secrétaire général de l’AFII et Mme Viviane Y, agent comptable, celle-ci ayant eu la parole en dernier ;</w:t>
      </w:r>
    </w:p>
    <w:p w:rsidR="00BD0933" w:rsidRPr="00C60A6A" w:rsidRDefault="00BD0933" w:rsidP="00114800">
      <w:pPr>
        <w:pStyle w:val="PS"/>
      </w:pPr>
      <w:r w:rsidRPr="00C60A6A">
        <w:t>Entendu à huit clos, le ministère public et</w:t>
      </w:r>
      <w:r>
        <w:t xml:space="preserve"> le rapporteur s'étant retirés, </w:t>
      </w:r>
      <w:r w:rsidRPr="00C60A6A">
        <w:t>M.</w:t>
      </w:r>
      <w:r>
        <w:t> Lebuy</w:t>
      </w:r>
      <w:r w:rsidRPr="00C60A6A">
        <w:t>, conseiller maître, contre-rapporteur, en ses observations</w:t>
      </w:r>
      <w:r>
        <w:t xml:space="preserve"> </w:t>
      </w:r>
      <w:r w:rsidRPr="00C60A6A">
        <w:t>;</w:t>
      </w:r>
    </w:p>
    <w:p w:rsidR="00BD0933" w:rsidRDefault="00BD0933" w:rsidP="00F25430">
      <w:pPr>
        <w:pStyle w:val="PS"/>
        <w:spacing w:after="360"/>
        <w:jc w:val="center"/>
      </w:pPr>
      <w:r w:rsidRPr="00C60A6A">
        <w:t>STATUANT DEFINITIVEMENT,</w:t>
      </w:r>
    </w:p>
    <w:p w:rsidR="00BD0933" w:rsidRDefault="00BD0933" w:rsidP="00F25430">
      <w:pPr>
        <w:pStyle w:val="PS"/>
        <w:spacing w:after="360"/>
        <w:jc w:val="center"/>
      </w:pPr>
      <w:r w:rsidRPr="00C60A6A">
        <w:t>ORDONNE</w:t>
      </w:r>
      <w:r>
        <w:t xml:space="preserve"> </w:t>
      </w:r>
      <w:r w:rsidRPr="00C60A6A">
        <w:t>:</w:t>
      </w:r>
    </w:p>
    <w:p w:rsidR="00BD0933" w:rsidRPr="005D6812" w:rsidRDefault="00BD0933" w:rsidP="00F25430">
      <w:pPr>
        <w:pStyle w:val="PS"/>
        <w:spacing w:after="360"/>
        <w:jc w:val="center"/>
        <w:rPr>
          <w:u w:val="single"/>
        </w:rPr>
      </w:pPr>
      <w:r w:rsidRPr="005D6812">
        <w:rPr>
          <w:u w:val="single"/>
        </w:rPr>
        <w:t xml:space="preserve">Sur l'injonction </w:t>
      </w:r>
      <w:r>
        <w:rPr>
          <w:u w:val="single"/>
        </w:rPr>
        <w:t>prononcée par</w:t>
      </w:r>
      <w:r w:rsidRPr="005D6812">
        <w:rPr>
          <w:u w:val="single"/>
        </w:rPr>
        <w:t xml:space="preserve"> l'arrêt du 6 juin 2007</w:t>
      </w:r>
    </w:p>
    <w:p w:rsidR="00BD0933" w:rsidRDefault="00BD0933" w:rsidP="00F25430">
      <w:pPr>
        <w:pStyle w:val="PS"/>
        <w:spacing w:after="360"/>
      </w:pPr>
      <w:r w:rsidRPr="00C603DA">
        <w:t xml:space="preserve">Attendu que des compléments de rémunération ont été versés en 2004 et 2005 </w:t>
      </w:r>
      <w:r>
        <w:t>à</w:t>
      </w:r>
      <w:r w:rsidRPr="00C603DA">
        <w:t xml:space="preserve"> </w:t>
      </w:r>
      <w:r>
        <w:t>trois fonctionnaires mis à disposition de l’AFII (</w:t>
      </w:r>
      <w:r w:rsidRPr="00C603DA">
        <w:t>Mme Clara A</w:t>
      </w:r>
      <w:r>
        <w:t>,</w:t>
      </w:r>
      <w:r w:rsidRPr="00C603DA">
        <w:t xml:space="preserve"> présidente, </w:t>
      </w:r>
      <w:r>
        <w:t xml:space="preserve">MM. </w:t>
      </w:r>
      <w:r w:rsidRPr="00C603DA">
        <w:t>Laurent B, directeur général</w:t>
      </w:r>
      <w:r>
        <w:t>,</w:t>
      </w:r>
      <w:r w:rsidRPr="00C603DA">
        <w:t xml:space="preserve"> et Hervé C, directeur de cabinet</w:t>
      </w:r>
      <w:r>
        <w:t>)</w:t>
      </w:r>
      <w:r w:rsidRPr="00C603DA">
        <w:t xml:space="preserve"> sans autre fondement que trois décisions de </w:t>
      </w:r>
      <w:r>
        <w:t>l’ordonnateur</w:t>
      </w:r>
      <w:r w:rsidRPr="00C603DA">
        <w:t xml:space="preserve"> visées par le contrôle</w:t>
      </w:r>
      <w:r>
        <w:t>ur</w:t>
      </w:r>
      <w:r w:rsidRPr="00C603DA">
        <w:t xml:space="preserve"> d’Etat ;</w:t>
      </w:r>
      <w:r>
        <w:t xml:space="preserve"> </w:t>
      </w:r>
      <w:r w:rsidRPr="00C603DA">
        <w:t>que le montant de ces paiements irréguliers, retracé dans le</w:t>
      </w:r>
      <w:r>
        <w:t>s deux</w:t>
      </w:r>
      <w:r w:rsidRPr="00C603DA">
        <w:t xml:space="preserve"> tableau</w:t>
      </w:r>
      <w:r>
        <w:t>x</w:t>
      </w:r>
      <w:r w:rsidRPr="00C603DA">
        <w:t xml:space="preserve"> </w:t>
      </w:r>
      <w:r>
        <w:t>suivants</w:t>
      </w:r>
      <w:r w:rsidRPr="00C603DA">
        <w:t xml:space="preserve">, s'élève à </w:t>
      </w:r>
      <w:r>
        <w:t>96 346,54</w:t>
      </w:r>
      <w:r w:rsidRPr="00C603DA">
        <w:t xml:space="preserve"> €</w:t>
      </w:r>
      <w:r>
        <w:t xml:space="preserve"> </w:t>
      </w:r>
      <w:r w:rsidRPr="00C603DA">
        <w:t>; qu'il a été enjoint à Mme Viviane Y</w:t>
      </w:r>
      <w:r>
        <w:t>, agent comptable,</w:t>
      </w:r>
      <w:r w:rsidRPr="00C603DA">
        <w:t xml:space="preserve"> de produire la preuve du reversement des montants indûment payés</w:t>
      </w:r>
      <w:r w:rsidRPr="00C60A6A">
        <w:t xml:space="preserve"> dans</w:t>
      </w:r>
      <w:r>
        <w:t xml:space="preserve"> </w:t>
      </w:r>
      <w:r w:rsidRPr="00C60A6A">
        <w:t>la caisse de l'établissement, ou à défaut, toute autre justification à décharge</w:t>
      </w:r>
      <w:r>
        <w:t xml:space="preserve"> </w:t>
      </w:r>
      <w:r w:rsidRPr="00C60A6A">
        <w:t>;</w:t>
      </w:r>
    </w:p>
    <w:p w:rsidR="00BD0933" w:rsidRDefault="00BD0933" w:rsidP="00F25430">
      <w:pPr>
        <w:pStyle w:val="PS"/>
        <w:spacing w:after="240"/>
      </w:pPr>
      <w:r>
        <w:rPr>
          <w:b/>
          <w:bCs/>
        </w:rPr>
        <w:t>Au titre de l’année 2004 un montant total de 13 516,77 euros</w:t>
      </w:r>
    </w:p>
    <w:tbl>
      <w:tblPr>
        <w:tblpPr w:leftFromText="141" w:rightFromText="141" w:vertAnchor="text" w:tblpXSpec="center" w:tblpY="1"/>
        <w:tblOverlap w:val="never"/>
        <w:tblW w:w="54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053"/>
        <w:gridCol w:w="1900"/>
        <w:gridCol w:w="1494"/>
      </w:tblGrid>
      <w:tr w:rsidR="00BD0933" w:rsidRPr="0029019F">
        <w:trPr>
          <w:trHeight w:val="255"/>
          <w:jc w:val="center"/>
        </w:trPr>
        <w:tc>
          <w:tcPr>
            <w:tcW w:w="2053" w:type="dxa"/>
            <w:vAlign w:val="center"/>
          </w:tcPr>
          <w:p w:rsidR="00BD0933" w:rsidRPr="0029019F" w:rsidRDefault="00BD0933" w:rsidP="00F25430">
            <w:pPr>
              <w:pStyle w:val="PS"/>
              <w:spacing w:after="0"/>
              <w:ind w:left="0" w:firstLine="0"/>
            </w:pPr>
            <w:r w:rsidRPr="0029019F">
              <w:t>En €</w:t>
            </w:r>
          </w:p>
        </w:tc>
        <w:tc>
          <w:tcPr>
            <w:tcW w:w="1900" w:type="dxa"/>
            <w:noWrap/>
            <w:vAlign w:val="center"/>
          </w:tcPr>
          <w:p w:rsidR="00BD0933" w:rsidRPr="0029019F" w:rsidRDefault="00BD0933" w:rsidP="00F25430">
            <w:pPr>
              <w:pStyle w:val="PS"/>
              <w:spacing w:after="0"/>
              <w:ind w:left="0" w:firstLine="0"/>
            </w:pPr>
            <w:r w:rsidRPr="0029019F">
              <w:t>date du paiement</w:t>
            </w:r>
          </w:p>
        </w:tc>
        <w:tc>
          <w:tcPr>
            <w:tcW w:w="1494" w:type="dxa"/>
            <w:noWrap/>
            <w:vAlign w:val="center"/>
          </w:tcPr>
          <w:p w:rsidR="00BD0933" w:rsidRPr="0029019F" w:rsidRDefault="00BD0933" w:rsidP="00F25430">
            <w:pPr>
              <w:pStyle w:val="PS"/>
              <w:spacing w:after="0"/>
              <w:ind w:left="0" w:firstLine="0"/>
            </w:pPr>
            <w:r w:rsidRPr="0029019F">
              <w:t>montant brut</w:t>
            </w:r>
          </w:p>
        </w:tc>
      </w:tr>
      <w:tr w:rsidR="00BD0933" w:rsidRPr="0029019F">
        <w:trPr>
          <w:trHeight w:val="255"/>
          <w:jc w:val="center"/>
        </w:trPr>
        <w:tc>
          <w:tcPr>
            <w:tcW w:w="2053" w:type="dxa"/>
            <w:tcBorders>
              <w:bottom w:val="nil"/>
            </w:tcBorders>
            <w:vAlign w:val="center"/>
          </w:tcPr>
          <w:p w:rsidR="00BD0933" w:rsidRPr="0029019F" w:rsidRDefault="00BD0933" w:rsidP="00F25430">
            <w:pPr>
              <w:pStyle w:val="PS"/>
              <w:spacing w:after="0"/>
              <w:ind w:left="0" w:firstLine="0"/>
            </w:pPr>
            <w:r w:rsidRPr="0029019F">
              <w:t>M. Hervé C</w:t>
            </w:r>
          </w:p>
        </w:tc>
        <w:tc>
          <w:tcPr>
            <w:tcW w:w="1900" w:type="dxa"/>
            <w:tcBorders>
              <w:bottom w:val="nil"/>
            </w:tcBorders>
            <w:noWrap/>
            <w:vAlign w:val="center"/>
          </w:tcPr>
          <w:p w:rsidR="00BD0933" w:rsidRPr="0029019F" w:rsidRDefault="00BD0933" w:rsidP="00F25430">
            <w:pPr>
              <w:pStyle w:val="PS"/>
              <w:spacing w:after="0"/>
              <w:ind w:left="0" w:firstLine="0"/>
            </w:pPr>
            <w:r w:rsidRPr="0029019F">
              <w:t>25/11/2004</w:t>
            </w:r>
          </w:p>
        </w:tc>
        <w:tc>
          <w:tcPr>
            <w:tcW w:w="1494" w:type="dxa"/>
            <w:tcBorders>
              <w:bottom w:val="nil"/>
            </w:tcBorders>
            <w:noWrap/>
            <w:vAlign w:val="bottom"/>
          </w:tcPr>
          <w:p w:rsidR="00BD0933" w:rsidRPr="0029019F" w:rsidRDefault="00BD0933" w:rsidP="00F25430">
            <w:pPr>
              <w:pStyle w:val="PS"/>
              <w:spacing w:after="0"/>
              <w:ind w:left="0" w:firstLine="0"/>
            </w:pPr>
            <w:r w:rsidRPr="0029019F">
              <w:t>2 700,00</w:t>
            </w:r>
          </w:p>
        </w:tc>
      </w:tr>
      <w:tr w:rsidR="00BD0933" w:rsidRPr="0029019F">
        <w:trPr>
          <w:trHeight w:val="255"/>
          <w:jc w:val="center"/>
        </w:trPr>
        <w:tc>
          <w:tcPr>
            <w:tcW w:w="2053" w:type="dxa"/>
            <w:tcBorders>
              <w:top w:val="nil"/>
              <w:bottom w:val="nil"/>
            </w:tcBorders>
            <w:vAlign w:val="center"/>
          </w:tcPr>
          <w:p w:rsidR="00BD0933" w:rsidRPr="0029019F" w:rsidRDefault="00BD0933" w:rsidP="00F25430">
            <w:pPr>
              <w:pStyle w:val="PS"/>
              <w:spacing w:after="0"/>
              <w:ind w:left="0" w:firstLine="0"/>
            </w:pPr>
            <w:r>
              <w:t xml:space="preserve"> </w:t>
            </w:r>
          </w:p>
        </w:tc>
        <w:tc>
          <w:tcPr>
            <w:tcW w:w="1900" w:type="dxa"/>
            <w:tcBorders>
              <w:top w:val="nil"/>
              <w:bottom w:val="nil"/>
            </w:tcBorders>
            <w:noWrap/>
            <w:vAlign w:val="center"/>
          </w:tcPr>
          <w:p w:rsidR="00BD0933" w:rsidRPr="0029019F" w:rsidRDefault="00BD0933" w:rsidP="00F25430">
            <w:pPr>
              <w:pStyle w:val="PS"/>
              <w:spacing w:after="0"/>
              <w:ind w:left="0" w:firstLine="0"/>
            </w:pPr>
            <w:r w:rsidRPr="0029019F">
              <w:t>25/12/2004</w:t>
            </w:r>
          </w:p>
        </w:tc>
        <w:tc>
          <w:tcPr>
            <w:tcW w:w="1494" w:type="dxa"/>
            <w:tcBorders>
              <w:top w:val="nil"/>
              <w:bottom w:val="nil"/>
            </w:tcBorders>
            <w:noWrap/>
            <w:vAlign w:val="bottom"/>
          </w:tcPr>
          <w:p w:rsidR="00BD0933" w:rsidRPr="0029019F" w:rsidRDefault="00BD0933" w:rsidP="00F25430">
            <w:pPr>
              <w:pStyle w:val="PS"/>
              <w:spacing w:after="0"/>
              <w:ind w:left="0" w:firstLine="0"/>
            </w:pPr>
            <w:r w:rsidRPr="0029019F">
              <w:t>900,00</w:t>
            </w:r>
          </w:p>
        </w:tc>
      </w:tr>
      <w:tr w:rsidR="00BD0933" w:rsidRPr="0029019F">
        <w:trPr>
          <w:trHeight w:val="255"/>
          <w:jc w:val="center"/>
        </w:trPr>
        <w:tc>
          <w:tcPr>
            <w:tcW w:w="2053" w:type="dxa"/>
            <w:tcBorders>
              <w:top w:val="nil"/>
            </w:tcBorders>
            <w:vAlign w:val="center"/>
          </w:tcPr>
          <w:p w:rsidR="00BD0933" w:rsidRPr="0029019F" w:rsidRDefault="00BD0933" w:rsidP="00F25430">
            <w:pPr>
              <w:pStyle w:val="PS"/>
              <w:spacing w:after="0"/>
              <w:ind w:left="0" w:firstLine="0"/>
            </w:pPr>
          </w:p>
        </w:tc>
        <w:tc>
          <w:tcPr>
            <w:tcW w:w="1900" w:type="dxa"/>
            <w:tcBorders>
              <w:top w:val="nil"/>
            </w:tcBorders>
            <w:noWrap/>
            <w:vAlign w:val="center"/>
          </w:tcPr>
          <w:p w:rsidR="00BD0933" w:rsidRPr="0029019F" w:rsidRDefault="00BD0933" w:rsidP="00F25430">
            <w:pPr>
              <w:pStyle w:val="PS"/>
              <w:spacing w:after="0"/>
              <w:ind w:left="0" w:firstLine="0"/>
            </w:pPr>
            <w:r w:rsidRPr="0029019F">
              <w:t>s/s total</w:t>
            </w:r>
          </w:p>
        </w:tc>
        <w:tc>
          <w:tcPr>
            <w:tcW w:w="1494" w:type="dxa"/>
            <w:tcBorders>
              <w:top w:val="nil"/>
            </w:tcBorders>
            <w:noWrap/>
            <w:vAlign w:val="bottom"/>
          </w:tcPr>
          <w:p w:rsidR="00BD0933" w:rsidRPr="0029019F" w:rsidRDefault="00BD0933" w:rsidP="00F25430">
            <w:pPr>
              <w:pStyle w:val="PS"/>
              <w:spacing w:after="0"/>
              <w:ind w:left="0" w:firstLine="0"/>
            </w:pPr>
            <w:r w:rsidRPr="0029019F">
              <w:t>3 600,00</w:t>
            </w:r>
          </w:p>
        </w:tc>
      </w:tr>
      <w:tr w:rsidR="00BD0933" w:rsidRPr="0029019F">
        <w:trPr>
          <w:trHeight w:val="255"/>
          <w:jc w:val="center"/>
        </w:trPr>
        <w:tc>
          <w:tcPr>
            <w:tcW w:w="2053" w:type="dxa"/>
            <w:tcBorders>
              <w:bottom w:val="nil"/>
            </w:tcBorders>
            <w:vAlign w:val="center"/>
          </w:tcPr>
          <w:p w:rsidR="00BD0933" w:rsidRPr="0029019F" w:rsidRDefault="00BD0933" w:rsidP="00F25430">
            <w:pPr>
              <w:pStyle w:val="PS"/>
              <w:spacing w:after="0"/>
              <w:ind w:left="0" w:firstLine="0"/>
            </w:pPr>
            <w:r w:rsidRPr="0029019F">
              <w:t>M. Laurent B</w:t>
            </w:r>
          </w:p>
        </w:tc>
        <w:tc>
          <w:tcPr>
            <w:tcW w:w="1900" w:type="dxa"/>
            <w:tcBorders>
              <w:bottom w:val="nil"/>
            </w:tcBorders>
            <w:noWrap/>
            <w:vAlign w:val="center"/>
          </w:tcPr>
          <w:p w:rsidR="00BD0933" w:rsidRPr="0029019F" w:rsidRDefault="00BD0933" w:rsidP="00F25430">
            <w:pPr>
              <w:pStyle w:val="PS"/>
              <w:spacing w:after="0"/>
              <w:ind w:left="0" w:firstLine="0"/>
            </w:pPr>
            <w:r w:rsidRPr="0029019F">
              <w:t>25/11/2004</w:t>
            </w:r>
          </w:p>
        </w:tc>
        <w:tc>
          <w:tcPr>
            <w:tcW w:w="1494" w:type="dxa"/>
            <w:tcBorders>
              <w:bottom w:val="nil"/>
            </w:tcBorders>
            <w:noWrap/>
            <w:vAlign w:val="bottom"/>
          </w:tcPr>
          <w:p w:rsidR="00BD0933" w:rsidRPr="0029019F" w:rsidRDefault="00BD0933" w:rsidP="00F25430">
            <w:pPr>
              <w:pStyle w:val="PS"/>
              <w:spacing w:after="0"/>
              <w:ind w:left="0" w:firstLine="0"/>
            </w:pPr>
            <w:r w:rsidRPr="0029019F">
              <w:t>6 611,18</w:t>
            </w:r>
          </w:p>
        </w:tc>
      </w:tr>
      <w:tr w:rsidR="00BD0933" w:rsidRPr="0029019F">
        <w:trPr>
          <w:trHeight w:val="255"/>
          <w:jc w:val="center"/>
        </w:trPr>
        <w:tc>
          <w:tcPr>
            <w:tcW w:w="2053" w:type="dxa"/>
            <w:tcBorders>
              <w:top w:val="nil"/>
              <w:bottom w:val="nil"/>
            </w:tcBorders>
            <w:vAlign w:val="center"/>
          </w:tcPr>
          <w:p w:rsidR="00BD0933" w:rsidRPr="0029019F" w:rsidRDefault="00BD0933" w:rsidP="00F25430">
            <w:pPr>
              <w:pStyle w:val="PS"/>
              <w:spacing w:after="0"/>
              <w:ind w:left="0" w:firstLine="0"/>
            </w:pPr>
          </w:p>
        </w:tc>
        <w:tc>
          <w:tcPr>
            <w:tcW w:w="1900" w:type="dxa"/>
            <w:tcBorders>
              <w:top w:val="nil"/>
              <w:bottom w:val="nil"/>
            </w:tcBorders>
            <w:noWrap/>
            <w:vAlign w:val="center"/>
          </w:tcPr>
          <w:p w:rsidR="00BD0933" w:rsidRPr="0029019F" w:rsidRDefault="00BD0933" w:rsidP="00F25430">
            <w:pPr>
              <w:pStyle w:val="PS"/>
              <w:spacing w:after="0"/>
              <w:ind w:left="0" w:firstLine="0"/>
            </w:pPr>
            <w:r w:rsidRPr="0029019F">
              <w:t>25/12/2004</w:t>
            </w:r>
          </w:p>
        </w:tc>
        <w:tc>
          <w:tcPr>
            <w:tcW w:w="1494" w:type="dxa"/>
            <w:tcBorders>
              <w:top w:val="nil"/>
              <w:bottom w:val="nil"/>
            </w:tcBorders>
            <w:noWrap/>
            <w:vAlign w:val="bottom"/>
          </w:tcPr>
          <w:p w:rsidR="00BD0933" w:rsidRPr="0029019F" w:rsidRDefault="00BD0933" w:rsidP="00F25430">
            <w:pPr>
              <w:pStyle w:val="PS"/>
              <w:spacing w:after="0"/>
              <w:ind w:left="0" w:firstLine="0"/>
            </w:pPr>
            <w:r w:rsidRPr="0029019F">
              <w:t>3 305,59</w:t>
            </w:r>
          </w:p>
        </w:tc>
      </w:tr>
      <w:tr w:rsidR="00BD0933" w:rsidRPr="0029019F">
        <w:trPr>
          <w:trHeight w:val="255"/>
          <w:jc w:val="center"/>
        </w:trPr>
        <w:tc>
          <w:tcPr>
            <w:tcW w:w="2053" w:type="dxa"/>
            <w:tcBorders>
              <w:top w:val="nil"/>
            </w:tcBorders>
            <w:vAlign w:val="center"/>
          </w:tcPr>
          <w:p w:rsidR="00BD0933" w:rsidRPr="0029019F" w:rsidRDefault="00BD0933" w:rsidP="00F25430">
            <w:pPr>
              <w:pStyle w:val="PS"/>
              <w:spacing w:after="0"/>
              <w:ind w:left="0" w:firstLine="0"/>
            </w:pPr>
          </w:p>
        </w:tc>
        <w:tc>
          <w:tcPr>
            <w:tcW w:w="1900" w:type="dxa"/>
            <w:tcBorders>
              <w:top w:val="nil"/>
            </w:tcBorders>
            <w:noWrap/>
            <w:vAlign w:val="center"/>
          </w:tcPr>
          <w:p w:rsidR="00BD0933" w:rsidRPr="0029019F" w:rsidRDefault="00BD0933" w:rsidP="00F25430">
            <w:pPr>
              <w:pStyle w:val="PS"/>
              <w:spacing w:after="0"/>
              <w:ind w:left="0" w:firstLine="0"/>
            </w:pPr>
            <w:r w:rsidRPr="0029019F">
              <w:t>s/s total</w:t>
            </w:r>
          </w:p>
        </w:tc>
        <w:tc>
          <w:tcPr>
            <w:tcW w:w="1494" w:type="dxa"/>
            <w:tcBorders>
              <w:top w:val="nil"/>
            </w:tcBorders>
            <w:noWrap/>
            <w:vAlign w:val="bottom"/>
          </w:tcPr>
          <w:p w:rsidR="00BD0933" w:rsidRPr="0029019F" w:rsidRDefault="00BD0933" w:rsidP="00F25430">
            <w:pPr>
              <w:pStyle w:val="PS"/>
              <w:spacing w:after="0"/>
              <w:ind w:left="0" w:firstLine="0"/>
            </w:pPr>
            <w:r w:rsidRPr="0029019F">
              <w:t>9 916,77</w:t>
            </w:r>
          </w:p>
        </w:tc>
      </w:tr>
    </w:tbl>
    <w:p w:rsidR="00BD0933" w:rsidRDefault="00BD0933" w:rsidP="00114800">
      <w:pPr>
        <w:pStyle w:val="PS"/>
      </w:pPr>
    </w:p>
    <w:p w:rsidR="00BD0933" w:rsidRDefault="00BD0933" w:rsidP="00F25430">
      <w:pPr>
        <w:pStyle w:val="PS"/>
        <w:rPr>
          <w:b/>
          <w:bCs/>
        </w:rPr>
      </w:pPr>
    </w:p>
    <w:p w:rsidR="00BD0933" w:rsidRDefault="00BD0933" w:rsidP="0073753B">
      <w:pPr>
        <w:pStyle w:val="PS"/>
        <w:spacing w:after="0"/>
        <w:rPr>
          <w:b/>
          <w:bCs/>
        </w:rPr>
      </w:pPr>
    </w:p>
    <w:p w:rsidR="00BD0933" w:rsidRDefault="00BD0933" w:rsidP="00F25430">
      <w:pPr>
        <w:pStyle w:val="PS"/>
      </w:pPr>
      <w:r>
        <w:rPr>
          <w:b/>
          <w:bCs/>
        </w:rPr>
        <w:t>Au titre de l’année 2005 un montant total de 82 829,77 euros</w:t>
      </w:r>
    </w:p>
    <w:tbl>
      <w:tblPr>
        <w:tblW w:w="5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300"/>
        <w:gridCol w:w="1900"/>
        <w:gridCol w:w="1494"/>
      </w:tblGrid>
      <w:tr w:rsidR="00BD0933" w:rsidRPr="0029019F">
        <w:trPr>
          <w:trHeight w:val="255"/>
          <w:jc w:val="center"/>
        </w:trPr>
        <w:tc>
          <w:tcPr>
            <w:tcW w:w="2300" w:type="dxa"/>
            <w:vAlign w:val="center"/>
          </w:tcPr>
          <w:p w:rsidR="00BD0933" w:rsidRPr="0029019F" w:rsidRDefault="00BD0933" w:rsidP="00F25430">
            <w:pPr>
              <w:pStyle w:val="PS"/>
              <w:spacing w:after="0"/>
              <w:ind w:left="0" w:firstLine="0"/>
              <w:jc w:val="left"/>
            </w:pPr>
            <w:r w:rsidRPr="0029019F">
              <w:t>En €</w:t>
            </w:r>
          </w:p>
        </w:tc>
        <w:tc>
          <w:tcPr>
            <w:tcW w:w="1900" w:type="dxa"/>
            <w:noWrap/>
            <w:vAlign w:val="bottom"/>
          </w:tcPr>
          <w:p w:rsidR="00BD0933" w:rsidRPr="0029019F" w:rsidRDefault="00BD0933" w:rsidP="00F25430">
            <w:pPr>
              <w:pStyle w:val="PS"/>
              <w:spacing w:after="0"/>
              <w:ind w:left="0" w:firstLine="0"/>
              <w:jc w:val="left"/>
            </w:pPr>
            <w:r w:rsidRPr="0029019F">
              <w:t>date du paiement</w:t>
            </w:r>
          </w:p>
        </w:tc>
        <w:tc>
          <w:tcPr>
            <w:tcW w:w="1494" w:type="dxa"/>
            <w:noWrap/>
            <w:vAlign w:val="bottom"/>
          </w:tcPr>
          <w:p w:rsidR="00BD0933" w:rsidRPr="0029019F" w:rsidRDefault="00BD0933" w:rsidP="00F25430">
            <w:pPr>
              <w:pStyle w:val="PS"/>
              <w:spacing w:after="0"/>
              <w:ind w:left="0" w:firstLine="0"/>
              <w:jc w:val="left"/>
            </w:pPr>
            <w:r w:rsidRPr="0029019F">
              <w:t>montant brut</w:t>
            </w:r>
          </w:p>
        </w:tc>
      </w:tr>
      <w:tr w:rsidR="00BD0933" w:rsidRPr="0029019F">
        <w:trPr>
          <w:trHeight w:val="255"/>
          <w:jc w:val="center"/>
        </w:trPr>
        <w:tc>
          <w:tcPr>
            <w:tcW w:w="2300" w:type="dxa"/>
            <w:tcBorders>
              <w:bottom w:val="nil"/>
            </w:tcBorders>
            <w:vAlign w:val="center"/>
          </w:tcPr>
          <w:p w:rsidR="00BD0933" w:rsidRPr="0029019F" w:rsidRDefault="00BD0933" w:rsidP="00F25430">
            <w:pPr>
              <w:pStyle w:val="PS"/>
              <w:spacing w:after="0"/>
              <w:ind w:left="0" w:firstLine="0"/>
              <w:jc w:val="left"/>
            </w:pPr>
            <w:r w:rsidRPr="0029019F">
              <w:t>Mme Clara A</w:t>
            </w:r>
          </w:p>
        </w:tc>
        <w:tc>
          <w:tcPr>
            <w:tcW w:w="1900" w:type="dxa"/>
            <w:tcBorders>
              <w:bottom w:val="nil"/>
            </w:tcBorders>
            <w:noWrap/>
            <w:vAlign w:val="center"/>
          </w:tcPr>
          <w:p w:rsidR="00BD0933" w:rsidRPr="0029019F" w:rsidRDefault="00BD0933" w:rsidP="00F25430">
            <w:pPr>
              <w:pStyle w:val="PS"/>
              <w:spacing w:after="0"/>
              <w:ind w:left="0" w:firstLine="0"/>
              <w:jc w:val="left"/>
            </w:pPr>
            <w:r w:rsidRPr="0029019F">
              <w:t>25/01/2005</w:t>
            </w:r>
          </w:p>
        </w:tc>
        <w:tc>
          <w:tcPr>
            <w:tcW w:w="1494" w:type="dxa"/>
            <w:tcBorders>
              <w:bottom w:val="nil"/>
            </w:tcBorders>
            <w:noWrap/>
            <w:vAlign w:val="center"/>
          </w:tcPr>
          <w:p w:rsidR="00BD0933" w:rsidRPr="0029019F" w:rsidRDefault="00BD0933" w:rsidP="00F25430">
            <w:pPr>
              <w:pStyle w:val="PS"/>
              <w:spacing w:after="0"/>
              <w:ind w:left="0" w:firstLine="0"/>
              <w:jc w:val="left"/>
            </w:pPr>
            <w:r w:rsidRPr="0029019F">
              <w:t>10 000,00</w:t>
            </w:r>
          </w:p>
        </w:tc>
      </w:tr>
      <w:tr w:rsidR="00BD0933" w:rsidRPr="0029019F">
        <w:trPr>
          <w:trHeight w:val="255"/>
          <w:jc w:val="center"/>
        </w:trPr>
        <w:tc>
          <w:tcPr>
            <w:tcW w:w="2300" w:type="dxa"/>
            <w:tcBorders>
              <w:top w:val="nil"/>
              <w:bottom w:val="nil"/>
            </w:tcBorders>
            <w:vAlign w:val="center"/>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25/02/2005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2 000,00</w:t>
            </w:r>
          </w:p>
        </w:tc>
      </w:tr>
      <w:tr w:rsidR="00BD0933" w:rsidRPr="0029019F">
        <w:trPr>
          <w:trHeight w:val="255"/>
          <w:jc w:val="center"/>
        </w:trPr>
        <w:tc>
          <w:tcPr>
            <w:tcW w:w="2300" w:type="dxa"/>
            <w:tcBorders>
              <w:top w:val="nil"/>
              <w:bottom w:val="nil"/>
            </w:tcBorders>
            <w:vAlign w:val="center"/>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25/03/2005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2 000,00</w:t>
            </w:r>
          </w:p>
        </w:tc>
      </w:tr>
      <w:tr w:rsidR="00BD0933" w:rsidRPr="0029019F">
        <w:trPr>
          <w:trHeight w:val="255"/>
          <w:jc w:val="center"/>
        </w:trPr>
        <w:tc>
          <w:tcPr>
            <w:tcW w:w="2300" w:type="dxa"/>
            <w:tcBorders>
              <w:top w:val="nil"/>
              <w:bottom w:val="nil"/>
            </w:tcBorders>
            <w:vAlign w:val="center"/>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25/04/2005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2 000,00</w:t>
            </w:r>
          </w:p>
        </w:tc>
      </w:tr>
      <w:tr w:rsidR="00BD0933" w:rsidRPr="0029019F">
        <w:trPr>
          <w:trHeight w:val="255"/>
          <w:jc w:val="center"/>
        </w:trPr>
        <w:tc>
          <w:tcPr>
            <w:tcW w:w="2300" w:type="dxa"/>
            <w:tcBorders>
              <w:top w:val="nil"/>
              <w:bottom w:val="nil"/>
            </w:tcBorders>
            <w:vAlign w:val="center"/>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25/05/2005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2 000,00</w:t>
            </w:r>
          </w:p>
        </w:tc>
      </w:tr>
      <w:tr w:rsidR="00BD0933" w:rsidRPr="0029019F">
        <w:trPr>
          <w:trHeight w:val="255"/>
          <w:jc w:val="center"/>
        </w:trPr>
        <w:tc>
          <w:tcPr>
            <w:tcW w:w="2300" w:type="dxa"/>
            <w:tcBorders>
              <w:top w:val="nil"/>
              <w:bottom w:val="nil"/>
            </w:tcBorders>
            <w:vAlign w:val="center"/>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25/06/2005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2 000,00</w:t>
            </w:r>
          </w:p>
        </w:tc>
      </w:tr>
      <w:tr w:rsidR="00BD0933" w:rsidRPr="0029019F">
        <w:trPr>
          <w:trHeight w:val="255"/>
          <w:jc w:val="center"/>
        </w:trPr>
        <w:tc>
          <w:tcPr>
            <w:tcW w:w="2300" w:type="dxa"/>
            <w:tcBorders>
              <w:top w:val="nil"/>
              <w:bottom w:val="nil"/>
            </w:tcBorders>
            <w:vAlign w:val="center"/>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25/07/2005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2 000,00</w:t>
            </w:r>
          </w:p>
        </w:tc>
      </w:tr>
      <w:tr w:rsidR="00BD0933" w:rsidRPr="0029019F">
        <w:trPr>
          <w:trHeight w:val="255"/>
          <w:jc w:val="center"/>
        </w:trPr>
        <w:tc>
          <w:tcPr>
            <w:tcW w:w="2300" w:type="dxa"/>
            <w:tcBorders>
              <w:top w:val="nil"/>
              <w:bottom w:val="nil"/>
            </w:tcBorders>
            <w:vAlign w:val="center"/>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25/08/2005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2 000,00</w:t>
            </w:r>
          </w:p>
        </w:tc>
      </w:tr>
      <w:tr w:rsidR="00BD0933" w:rsidRPr="0029019F">
        <w:trPr>
          <w:trHeight w:val="255"/>
          <w:jc w:val="center"/>
        </w:trPr>
        <w:tc>
          <w:tcPr>
            <w:tcW w:w="2300" w:type="dxa"/>
            <w:tcBorders>
              <w:top w:val="nil"/>
              <w:bottom w:val="nil"/>
            </w:tcBorders>
            <w:vAlign w:val="center"/>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25/09/2005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2 000,00</w:t>
            </w:r>
          </w:p>
        </w:tc>
      </w:tr>
      <w:tr w:rsidR="00BD0933" w:rsidRPr="0029019F">
        <w:trPr>
          <w:trHeight w:val="255"/>
          <w:jc w:val="center"/>
        </w:trPr>
        <w:tc>
          <w:tcPr>
            <w:tcW w:w="2300" w:type="dxa"/>
            <w:tcBorders>
              <w:top w:val="nil"/>
              <w:bottom w:val="nil"/>
            </w:tcBorders>
            <w:vAlign w:val="center"/>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25/10/2005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2 000,00</w:t>
            </w:r>
          </w:p>
        </w:tc>
      </w:tr>
      <w:tr w:rsidR="00BD0933" w:rsidRPr="0029019F">
        <w:trPr>
          <w:trHeight w:val="255"/>
          <w:jc w:val="center"/>
        </w:trPr>
        <w:tc>
          <w:tcPr>
            <w:tcW w:w="2300" w:type="dxa"/>
            <w:tcBorders>
              <w:top w:val="nil"/>
              <w:bottom w:val="nil"/>
            </w:tcBorders>
            <w:vAlign w:val="center"/>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25/11/2005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2 000,00</w:t>
            </w:r>
          </w:p>
        </w:tc>
      </w:tr>
      <w:tr w:rsidR="00BD0933" w:rsidRPr="0029019F">
        <w:trPr>
          <w:trHeight w:val="255"/>
          <w:jc w:val="center"/>
        </w:trPr>
        <w:tc>
          <w:tcPr>
            <w:tcW w:w="2300" w:type="dxa"/>
            <w:tcBorders>
              <w:top w:val="nil"/>
              <w:bottom w:val="nil"/>
            </w:tcBorders>
            <w:vAlign w:val="center"/>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25/12/2005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2 000,00</w:t>
            </w:r>
          </w:p>
        </w:tc>
      </w:tr>
      <w:tr w:rsidR="00BD0933" w:rsidRPr="0029019F">
        <w:trPr>
          <w:trHeight w:val="255"/>
          <w:jc w:val="center"/>
        </w:trPr>
        <w:tc>
          <w:tcPr>
            <w:tcW w:w="2300" w:type="dxa"/>
            <w:tcBorders>
              <w:top w:val="nil"/>
            </w:tcBorders>
            <w:vAlign w:val="center"/>
          </w:tcPr>
          <w:p w:rsidR="00BD0933" w:rsidRPr="0029019F" w:rsidRDefault="00BD0933" w:rsidP="00F25430">
            <w:pPr>
              <w:pStyle w:val="PS"/>
              <w:spacing w:after="0"/>
              <w:ind w:left="0" w:firstLine="0"/>
              <w:jc w:val="left"/>
            </w:pPr>
          </w:p>
        </w:tc>
        <w:tc>
          <w:tcPr>
            <w:tcW w:w="1900" w:type="dxa"/>
            <w:tcBorders>
              <w:top w:val="nil"/>
            </w:tcBorders>
            <w:noWrap/>
            <w:vAlign w:val="center"/>
          </w:tcPr>
          <w:p w:rsidR="00BD0933" w:rsidRPr="0029019F" w:rsidRDefault="00BD0933" w:rsidP="00F25430">
            <w:pPr>
              <w:pStyle w:val="PS"/>
              <w:spacing w:after="0"/>
              <w:ind w:left="0" w:firstLine="0"/>
              <w:jc w:val="left"/>
            </w:pPr>
            <w:r w:rsidRPr="0029019F">
              <w:t>s/s total 2005</w:t>
            </w:r>
          </w:p>
        </w:tc>
        <w:tc>
          <w:tcPr>
            <w:tcW w:w="1494" w:type="dxa"/>
            <w:tcBorders>
              <w:top w:val="nil"/>
            </w:tcBorders>
            <w:noWrap/>
            <w:vAlign w:val="center"/>
          </w:tcPr>
          <w:p w:rsidR="00BD0933" w:rsidRPr="0029019F" w:rsidRDefault="00BD0933" w:rsidP="00F25430">
            <w:pPr>
              <w:pStyle w:val="PS"/>
              <w:spacing w:after="0"/>
              <w:ind w:left="0" w:firstLine="0"/>
              <w:jc w:val="left"/>
            </w:pPr>
            <w:r w:rsidRPr="0029019F">
              <w:t>32 000,00</w:t>
            </w:r>
          </w:p>
        </w:tc>
      </w:tr>
      <w:tr w:rsidR="00BD0933" w:rsidRPr="0029019F">
        <w:trPr>
          <w:trHeight w:val="255"/>
          <w:jc w:val="center"/>
        </w:trPr>
        <w:tc>
          <w:tcPr>
            <w:tcW w:w="2300" w:type="dxa"/>
            <w:tcBorders>
              <w:bottom w:val="nil"/>
            </w:tcBorders>
            <w:vAlign w:val="center"/>
          </w:tcPr>
          <w:p w:rsidR="00BD0933" w:rsidRPr="0029019F" w:rsidRDefault="00BD0933" w:rsidP="00F25430">
            <w:pPr>
              <w:pStyle w:val="PS"/>
              <w:spacing w:after="0"/>
              <w:ind w:left="0" w:firstLine="0"/>
              <w:jc w:val="left"/>
            </w:pPr>
            <w:r w:rsidRPr="0029019F">
              <w:t>M Laurent B</w:t>
            </w:r>
          </w:p>
        </w:tc>
        <w:tc>
          <w:tcPr>
            <w:tcW w:w="1900" w:type="dxa"/>
            <w:tcBorders>
              <w:bottom w:val="nil"/>
            </w:tcBorders>
            <w:noWrap/>
            <w:vAlign w:val="center"/>
          </w:tcPr>
          <w:p w:rsidR="00BD0933" w:rsidRPr="0029019F" w:rsidRDefault="00BD0933" w:rsidP="00F25430">
            <w:pPr>
              <w:pStyle w:val="PS"/>
              <w:spacing w:after="0"/>
              <w:ind w:left="0" w:firstLine="0"/>
              <w:jc w:val="left"/>
            </w:pPr>
            <w:r w:rsidRPr="0029019F">
              <w:t>25/01/2005</w:t>
            </w:r>
          </w:p>
        </w:tc>
        <w:tc>
          <w:tcPr>
            <w:tcW w:w="1494" w:type="dxa"/>
            <w:tcBorders>
              <w:bottom w:val="nil"/>
            </w:tcBorders>
            <w:noWrap/>
            <w:vAlign w:val="center"/>
          </w:tcPr>
          <w:p w:rsidR="00BD0933" w:rsidRPr="0029019F" w:rsidRDefault="00BD0933" w:rsidP="00F25430">
            <w:pPr>
              <w:pStyle w:val="PS"/>
              <w:spacing w:after="0"/>
              <w:ind w:left="0" w:firstLine="0"/>
              <w:jc w:val="left"/>
            </w:pPr>
            <w:r w:rsidRPr="0029019F">
              <w:t>3 305,60</w:t>
            </w:r>
          </w:p>
        </w:tc>
      </w:tr>
      <w:tr w:rsidR="00BD0933" w:rsidRPr="0029019F">
        <w:trPr>
          <w:trHeight w:val="255"/>
          <w:jc w:val="center"/>
        </w:trPr>
        <w:tc>
          <w:tcPr>
            <w:tcW w:w="2300" w:type="dxa"/>
            <w:tcBorders>
              <w:top w:val="nil"/>
              <w:bottom w:val="nil"/>
            </w:tcBorders>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25/02/2005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3 322,14</w:t>
            </w:r>
          </w:p>
        </w:tc>
      </w:tr>
      <w:tr w:rsidR="00BD0933" w:rsidRPr="0029019F">
        <w:trPr>
          <w:trHeight w:val="255"/>
          <w:jc w:val="center"/>
        </w:trPr>
        <w:tc>
          <w:tcPr>
            <w:tcW w:w="2300" w:type="dxa"/>
            <w:tcBorders>
              <w:top w:val="nil"/>
              <w:bottom w:val="nil"/>
            </w:tcBorders>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25/03/2005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3 322,14</w:t>
            </w:r>
          </w:p>
        </w:tc>
      </w:tr>
      <w:tr w:rsidR="00BD0933" w:rsidRPr="0029019F">
        <w:trPr>
          <w:trHeight w:val="255"/>
          <w:jc w:val="center"/>
        </w:trPr>
        <w:tc>
          <w:tcPr>
            <w:tcW w:w="2300" w:type="dxa"/>
            <w:tcBorders>
              <w:top w:val="nil"/>
              <w:bottom w:val="nil"/>
            </w:tcBorders>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25/04/2005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3 322,14</w:t>
            </w:r>
          </w:p>
        </w:tc>
      </w:tr>
      <w:tr w:rsidR="00BD0933" w:rsidRPr="0029019F">
        <w:trPr>
          <w:trHeight w:val="255"/>
          <w:jc w:val="center"/>
        </w:trPr>
        <w:tc>
          <w:tcPr>
            <w:tcW w:w="2300" w:type="dxa"/>
            <w:tcBorders>
              <w:top w:val="nil"/>
              <w:bottom w:val="nil"/>
            </w:tcBorders>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25/05/2005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3 322,14</w:t>
            </w:r>
          </w:p>
        </w:tc>
      </w:tr>
      <w:tr w:rsidR="00BD0933" w:rsidRPr="0029019F">
        <w:trPr>
          <w:trHeight w:val="255"/>
          <w:jc w:val="center"/>
        </w:trPr>
        <w:tc>
          <w:tcPr>
            <w:tcW w:w="2300" w:type="dxa"/>
            <w:tcBorders>
              <w:top w:val="nil"/>
              <w:bottom w:val="nil"/>
            </w:tcBorders>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25/06/2005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3 322,14</w:t>
            </w:r>
          </w:p>
        </w:tc>
      </w:tr>
      <w:tr w:rsidR="00BD0933" w:rsidRPr="0029019F">
        <w:trPr>
          <w:trHeight w:val="255"/>
          <w:jc w:val="center"/>
        </w:trPr>
        <w:tc>
          <w:tcPr>
            <w:tcW w:w="2300" w:type="dxa"/>
            <w:tcBorders>
              <w:top w:val="nil"/>
              <w:bottom w:val="nil"/>
            </w:tcBorders>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25/07/2005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3 338,75</w:t>
            </w:r>
          </w:p>
        </w:tc>
      </w:tr>
      <w:tr w:rsidR="00BD0933" w:rsidRPr="0029019F">
        <w:trPr>
          <w:trHeight w:val="255"/>
          <w:jc w:val="center"/>
        </w:trPr>
        <w:tc>
          <w:tcPr>
            <w:tcW w:w="2300" w:type="dxa"/>
            <w:tcBorders>
              <w:top w:val="nil"/>
              <w:bottom w:val="nil"/>
            </w:tcBorders>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25/08/2005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3 338,75</w:t>
            </w:r>
          </w:p>
        </w:tc>
      </w:tr>
      <w:tr w:rsidR="00BD0933" w:rsidRPr="0029019F">
        <w:trPr>
          <w:trHeight w:val="255"/>
          <w:jc w:val="center"/>
        </w:trPr>
        <w:tc>
          <w:tcPr>
            <w:tcW w:w="2300" w:type="dxa"/>
            <w:tcBorders>
              <w:top w:val="nil"/>
              <w:bottom w:val="nil"/>
            </w:tcBorders>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25/09/2005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3 338,75</w:t>
            </w:r>
          </w:p>
        </w:tc>
      </w:tr>
      <w:tr w:rsidR="00BD0933" w:rsidRPr="0029019F">
        <w:trPr>
          <w:trHeight w:val="255"/>
          <w:jc w:val="center"/>
        </w:trPr>
        <w:tc>
          <w:tcPr>
            <w:tcW w:w="2300" w:type="dxa"/>
            <w:tcBorders>
              <w:top w:val="nil"/>
              <w:bottom w:val="nil"/>
            </w:tcBorders>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25/10/2005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3 347,90</w:t>
            </w:r>
          </w:p>
        </w:tc>
      </w:tr>
      <w:tr w:rsidR="00BD0933" w:rsidRPr="0029019F">
        <w:trPr>
          <w:trHeight w:val="255"/>
          <w:jc w:val="center"/>
        </w:trPr>
        <w:tc>
          <w:tcPr>
            <w:tcW w:w="2300" w:type="dxa"/>
            <w:tcBorders>
              <w:top w:val="nil"/>
              <w:bottom w:val="nil"/>
            </w:tcBorders>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25/11/2005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3 374,66</w:t>
            </w:r>
          </w:p>
        </w:tc>
      </w:tr>
      <w:tr w:rsidR="00BD0933" w:rsidRPr="0029019F">
        <w:trPr>
          <w:trHeight w:val="255"/>
          <w:jc w:val="center"/>
        </w:trPr>
        <w:tc>
          <w:tcPr>
            <w:tcW w:w="2300" w:type="dxa"/>
            <w:tcBorders>
              <w:top w:val="nil"/>
              <w:bottom w:val="nil"/>
            </w:tcBorders>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25/12/2005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3 374,66</w:t>
            </w:r>
          </w:p>
        </w:tc>
      </w:tr>
      <w:tr w:rsidR="00BD0933" w:rsidRPr="0029019F">
        <w:trPr>
          <w:trHeight w:val="255"/>
          <w:jc w:val="center"/>
        </w:trPr>
        <w:tc>
          <w:tcPr>
            <w:tcW w:w="2300" w:type="dxa"/>
            <w:tcBorders>
              <w:top w:val="nil"/>
            </w:tcBorders>
          </w:tcPr>
          <w:p w:rsidR="00BD0933" w:rsidRPr="0029019F" w:rsidRDefault="00BD0933" w:rsidP="00F25430">
            <w:pPr>
              <w:pStyle w:val="PS"/>
              <w:spacing w:after="0"/>
              <w:ind w:left="0" w:firstLine="0"/>
              <w:jc w:val="left"/>
            </w:pPr>
          </w:p>
        </w:tc>
        <w:tc>
          <w:tcPr>
            <w:tcW w:w="1900" w:type="dxa"/>
            <w:tcBorders>
              <w:top w:val="nil"/>
            </w:tcBorders>
            <w:noWrap/>
            <w:vAlign w:val="center"/>
          </w:tcPr>
          <w:p w:rsidR="00BD0933" w:rsidRPr="0029019F" w:rsidRDefault="00BD0933" w:rsidP="00F25430">
            <w:pPr>
              <w:pStyle w:val="PS"/>
              <w:spacing w:after="0"/>
              <w:ind w:left="0" w:firstLine="0"/>
              <w:jc w:val="left"/>
            </w:pPr>
            <w:r w:rsidRPr="0029019F">
              <w:t>s/s total 2005</w:t>
            </w:r>
          </w:p>
        </w:tc>
        <w:tc>
          <w:tcPr>
            <w:tcW w:w="1494" w:type="dxa"/>
            <w:tcBorders>
              <w:top w:val="nil"/>
            </w:tcBorders>
            <w:noWrap/>
            <w:vAlign w:val="bottom"/>
          </w:tcPr>
          <w:p w:rsidR="00BD0933" w:rsidRPr="0029019F" w:rsidRDefault="00BD0933" w:rsidP="00F25430">
            <w:pPr>
              <w:pStyle w:val="PS"/>
              <w:spacing w:after="0"/>
              <w:ind w:left="0" w:firstLine="0"/>
              <w:jc w:val="left"/>
            </w:pPr>
            <w:r w:rsidRPr="0029019F">
              <w:t>40 029,77</w:t>
            </w:r>
          </w:p>
        </w:tc>
      </w:tr>
      <w:tr w:rsidR="00BD0933" w:rsidRPr="0029019F">
        <w:trPr>
          <w:trHeight w:val="255"/>
          <w:jc w:val="center"/>
        </w:trPr>
        <w:tc>
          <w:tcPr>
            <w:tcW w:w="2300" w:type="dxa"/>
            <w:tcBorders>
              <w:bottom w:val="nil"/>
            </w:tcBorders>
            <w:vAlign w:val="bottom"/>
          </w:tcPr>
          <w:p w:rsidR="00BD0933" w:rsidRPr="0029019F" w:rsidRDefault="00BD0933" w:rsidP="00F25430">
            <w:pPr>
              <w:pStyle w:val="PS"/>
              <w:spacing w:after="0"/>
              <w:ind w:left="0" w:firstLine="0"/>
              <w:jc w:val="left"/>
            </w:pPr>
            <w:r w:rsidRPr="0029019F">
              <w:t>M. Hervé C</w:t>
            </w:r>
          </w:p>
        </w:tc>
        <w:tc>
          <w:tcPr>
            <w:tcW w:w="1900" w:type="dxa"/>
            <w:tcBorders>
              <w:bottom w:val="nil"/>
            </w:tcBorders>
            <w:noWrap/>
            <w:vAlign w:val="center"/>
          </w:tcPr>
          <w:p w:rsidR="00BD0933" w:rsidRPr="0029019F" w:rsidRDefault="00BD0933" w:rsidP="00F25430">
            <w:pPr>
              <w:pStyle w:val="PS"/>
              <w:spacing w:after="0"/>
              <w:ind w:left="0" w:firstLine="0"/>
              <w:jc w:val="left"/>
            </w:pPr>
            <w:r w:rsidRPr="0029019F">
              <w:t>25/01/2005</w:t>
            </w:r>
          </w:p>
        </w:tc>
        <w:tc>
          <w:tcPr>
            <w:tcW w:w="1494" w:type="dxa"/>
            <w:tcBorders>
              <w:bottom w:val="nil"/>
            </w:tcBorders>
            <w:noWrap/>
            <w:vAlign w:val="center"/>
          </w:tcPr>
          <w:p w:rsidR="00BD0933" w:rsidRPr="0029019F" w:rsidRDefault="00BD0933" w:rsidP="00F25430">
            <w:pPr>
              <w:pStyle w:val="PS"/>
              <w:spacing w:after="0"/>
              <w:ind w:left="0" w:firstLine="0"/>
              <w:jc w:val="left"/>
            </w:pPr>
            <w:r w:rsidRPr="0029019F">
              <w:t>900,00</w:t>
            </w:r>
          </w:p>
        </w:tc>
      </w:tr>
      <w:tr w:rsidR="00BD0933" w:rsidRPr="0029019F">
        <w:trPr>
          <w:trHeight w:val="255"/>
          <w:jc w:val="center"/>
        </w:trPr>
        <w:tc>
          <w:tcPr>
            <w:tcW w:w="2300" w:type="dxa"/>
            <w:tcBorders>
              <w:top w:val="nil"/>
              <w:bottom w:val="nil"/>
            </w:tcBorders>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25/02/2005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900,00</w:t>
            </w:r>
          </w:p>
        </w:tc>
      </w:tr>
      <w:tr w:rsidR="00BD0933" w:rsidRPr="0029019F">
        <w:trPr>
          <w:trHeight w:val="255"/>
          <w:jc w:val="center"/>
        </w:trPr>
        <w:tc>
          <w:tcPr>
            <w:tcW w:w="2300" w:type="dxa"/>
            <w:tcBorders>
              <w:top w:val="nil"/>
              <w:bottom w:val="nil"/>
            </w:tcBorders>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25/03/2005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900,00</w:t>
            </w:r>
          </w:p>
        </w:tc>
      </w:tr>
      <w:tr w:rsidR="00BD0933" w:rsidRPr="0029019F">
        <w:trPr>
          <w:trHeight w:val="255"/>
          <w:jc w:val="center"/>
        </w:trPr>
        <w:tc>
          <w:tcPr>
            <w:tcW w:w="2300" w:type="dxa"/>
            <w:tcBorders>
              <w:top w:val="nil"/>
              <w:bottom w:val="nil"/>
            </w:tcBorders>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25/04/2005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900,00</w:t>
            </w:r>
          </w:p>
        </w:tc>
      </w:tr>
      <w:tr w:rsidR="00BD0933" w:rsidRPr="0029019F">
        <w:trPr>
          <w:trHeight w:val="255"/>
          <w:jc w:val="center"/>
        </w:trPr>
        <w:tc>
          <w:tcPr>
            <w:tcW w:w="2300" w:type="dxa"/>
            <w:tcBorders>
              <w:top w:val="nil"/>
              <w:bottom w:val="nil"/>
            </w:tcBorders>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25/05/2005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900,00</w:t>
            </w:r>
          </w:p>
        </w:tc>
      </w:tr>
      <w:tr w:rsidR="00BD0933" w:rsidRPr="0029019F">
        <w:trPr>
          <w:trHeight w:val="255"/>
          <w:jc w:val="center"/>
        </w:trPr>
        <w:tc>
          <w:tcPr>
            <w:tcW w:w="2300" w:type="dxa"/>
            <w:tcBorders>
              <w:top w:val="nil"/>
              <w:bottom w:val="nil"/>
            </w:tcBorders>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25/06/2005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900,00</w:t>
            </w:r>
          </w:p>
        </w:tc>
      </w:tr>
      <w:tr w:rsidR="00BD0933" w:rsidRPr="0029019F">
        <w:trPr>
          <w:trHeight w:val="255"/>
          <w:jc w:val="center"/>
        </w:trPr>
        <w:tc>
          <w:tcPr>
            <w:tcW w:w="2300" w:type="dxa"/>
            <w:tcBorders>
              <w:top w:val="nil"/>
              <w:bottom w:val="nil"/>
            </w:tcBorders>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25/07/2005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900,00</w:t>
            </w:r>
          </w:p>
        </w:tc>
      </w:tr>
      <w:tr w:rsidR="00BD0933" w:rsidRPr="0029019F">
        <w:trPr>
          <w:trHeight w:val="255"/>
          <w:jc w:val="center"/>
        </w:trPr>
        <w:tc>
          <w:tcPr>
            <w:tcW w:w="2300" w:type="dxa"/>
            <w:tcBorders>
              <w:top w:val="nil"/>
              <w:bottom w:val="nil"/>
            </w:tcBorders>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25/08/2005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900,00</w:t>
            </w:r>
          </w:p>
        </w:tc>
      </w:tr>
      <w:tr w:rsidR="00BD0933" w:rsidRPr="0029019F">
        <w:trPr>
          <w:trHeight w:val="255"/>
          <w:jc w:val="center"/>
        </w:trPr>
        <w:tc>
          <w:tcPr>
            <w:tcW w:w="2300" w:type="dxa"/>
            <w:tcBorders>
              <w:top w:val="nil"/>
              <w:bottom w:val="nil"/>
            </w:tcBorders>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25/09/2005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900,00</w:t>
            </w:r>
          </w:p>
        </w:tc>
      </w:tr>
      <w:tr w:rsidR="00BD0933" w:rsidRPr="0029019F">
        <w:trPr>
          <w:trHeight w:val="255"/>
          <w:jc w:val="center"/>
        </w:trPr>
        <w:tc>
          <w:tcPr>
            <w:tcW w:w="2300" w:type="dxa"/>
            <w:tcBorders>
              <w:top w:val="nil"/>
              <w:bottom w:val="nil"/>
            </w:tcBorders>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25/10/2005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900,00</w:t>
            </w:r>
          </w:p>
        </w:tc>
      </w:tr>
      <w:tr w:rsidR="00BD0933" w:rsidRPr="0029019F">
        <w:trPr>
          <w:trHeight w:val="255"/>
          <w:jc w:val="center"/>
        </w:trPr>
        <w:tc>
          <w:tcPr>
            <w:tcW w:w="2300" w:type="dxa"/>
            <w:tcBorders>
              <w:top w:val="nil"/>
              <w:bottom w:val="nil"/>
            </w:tcBorders>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25/11/2005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900,00</w:t>
            </w:r>
          </w:p>
        </w:tc>
      </w:tr>
      <w:tr w:rsidR="00BD0933" w:rsidRPr="0029019F">
        <w:trPr>
          <w:trHeight w:val="255"/>
          <w:jc w:val="center"/>
        </w:trPr>
        <w:tc>
          <w:tcPr>
            <w:tcW w:w="2300" w:type="dxa"/>
            <w:tcBorders>
              <w:top w:val="nil"/>
              <w:bottom w:val="nil"/>
            </w:tcBorders>
          </w:tcPr>
          <w:p w:rsidR="00BD0933" w:rsidRPr="0029019F" w:rsidRDefault="00BD0933" w:rsidP="00F25430">
            <w:pPr>
              <w:pStyle w:val="PS"/>
              <w:spacing w:after="0"/>
              <w:ind w:left="0" w:firstLine="0"/>
              <w:jc w:val="left"/>
            </w:pPr>
          </w:p>
        </w:tc>
        <w:tc>
          <w:tcPr>
            <w:tcW w:w="1900" w:type="dxa"/>
            <w:tcBorders>
              <w:top w:val="nil"/>
              <w:bottom w:val="nil"/>
            </w:tcBorders>
            <w:noWrap/>
            <w:vAlign w:val="center"/>
          </w:tcPr>
          <w:p w:rsidR="00BD0933" w:rsidRPr="0029019F" w:rsidRDefault="00BD0933" w:rsidP="00F25430">
            <w:pPr>
              <w:pStyle w:val="PS"/>
              <w:spacing w:after="0"/>
              <w:ind w:left="0" w:firstLine="0"/>
              <w:jc w:val="left"/>
            </w:pPr>
            <w:r w:rsidRPr="0029019F">
              <w:t>25/12/2005</w:t>
            </w:r>
          </w:p>
        </w:tc>
        <w:tc>
          <w:tcPr>
            <w:tcW w:w="1494" w:type="dxa"/>
            <w:tcBorders>
              <w:top w:val="nil"/>
              <w:bottom w:val="nil"/>
            </w:tcBorders>
            <w:noWrap/>
            <w:vAlign w:val="center"/>
          </w:tcPr>
          <w:p w:rsidR="00BD0933" w:rsidRPr="0029019F" w:rsidRDefault="00BD0933" w:rsidP="00F25430">
            <w:pPr>
              <w:pStyle w:val="PS"/>
              <w:spacing w:after="0"/>
              <w:ind w:left="0" w:firstLine="0"/>
              <w:jc w:val="left"/>
            </w:pPr>
            <w:r w:rsidRPr="0029019F">
              <w:t>900,00</w:t>
            </w:r>
          </w:p>
        </w:tc>
      </w:tr>
      <w:tr w:rsidR="00BD0933" w:rsidRPr="0029019F">
        <w:trPr>
          <w:trHeight w:val="255"/>
          <w:jc w:val="center"/>
        </w:trPr>
        <w:tc>
          <w:tcPr>
            <w:tcW w:w="2300" w:type="dxa"/>
            <w:tcBorders>
              <w:top w:val="nil"/>
            </w:tcBorders>
          </w:tcPr>
          <w:p w:rsidR="00BD0933" w:rsidRPr="0029019F" w:rsidRDefault="00BD0933" w:rsidP="00F25430">
            <w:pPr>
              <w:pStyle w:val="PS"/>
              <w:spacing w:after="0"/>
              <w:ind w:left="0" w:firstLine="0"/>
              <w:jc w:val="left"/>
            </w:pPr>
          </w:p>
        </w:tc>
        <w:tc>
          <w:tcPr>
            <w:tcW w:w="1900" w:type="dxa"/>
            <w:tcBorders>
              <w:top w:val="nil"/>
            </w:tcBorders>
            <w:noWrap/>
            <w:vAlign w:val="center"/>
          </w:tcPr>
          <w:p w:rsidR="00BD0933" w:rsidRPr="0029019F" w:rsidRDefault="00BD0933" w:rsidP="00F25430">
            <w:pPr>
              <w:pStyle w:val="PS"/>
              <w:spacing w:after="0"/>
              <w:ind w:left="0" w:firstLine="0"/>
              <w:jc w:val="left"/>
            </w:pPr>
            <w:r w:rsidRPr="0029019F">
              <w:t>s/s total</w:t>
            </w:r>
          </w:p>
        </w:tc>
        <w:tc>
          <w:tcPr>
            <w:tcW w:w="1494" w:type="dxa"/>
            <w:tcBorders>
              <w:top w:val="nil"/>
            </w:tcBorders>
            <w:noWrap/>
            <w:vAlign w:val="center"/>
          </w:tcPr>
          <w:p w:rsidR="00BD0933" w:rsidRPr="0029019F" w:rsidRDefault="00BD0933" w:rsidP="00F25430">
            <w:pPr>
              <w:pStyle w:val="PS"/>
              <w:spacing w:after="0"/>
              <w:ind w:left="0" w:firstLine="0"/>
              <w:jc w:val="left"/>
            </w:pPr>
            <w:r w:rsidRPr="0029019F">
              <w:t>10 800,00</w:t>
            </w:r>
          </w:p>
        </w:tc>
      </w:tr>
      <w:tr w:rsidR="00BD0933" w:rsidRPr="0029019F">
        <w:trPr>
          <w:trHeight w:val="255"/>
          <w:jc w:val="center"/>
        </w:trPr>
        <w:tc>
          <w:tcPr>
            <w:tcW w:w="4200" w:type="dxa"/>
            <w:gridSpan w:val="2"/>
            <w:vAlign w:val="center"/>
          </w:tcPr>
          <w:p w:rsidR="00BD0933" w:rsidRPr="0029019F" w:rsidRDefault="00BD0933" w:rsidP="00F25430">
            <w:pPr>
              <w:pStyle w:val="PS"/>
              <w:spacing w:after="0"/>
              <w:ind w:left="0" w:firstLine="0"/>
              <w:jc w:val="left"/>
            </w:pPr>
            <w:r w:rsidRPr="0029019F">
              <w:t>total 2005</w:t>
            </w:r>
          </w:p>
        </w:tc>
        <w:tc>
          <w:tcPr>
            <w:tcW w:w="1494" w:type="dxa"/>
            <w:noWrap/>
            <w:vAlign w:val="center"/>
          </w:tcPr>
          <w:p w:rsidR="00BD0933" w:rsidRPr="0029019F" w:rsidRDefault="00BD0933" w:rsidP="00F25430">
            <w:pPr>
              <w:pStyle w:val="PS"/>
              <w:spacing w:after="0"/>
              <w:ind w:left="0" w:firstLine="0"/>
              <w:jc w:val="left"/>
            </w:pPr>
            <w:r w:rsidRPr="0029019F">
              <w:t>82 829,77</w:t>
            </w:r>
          </w:p>
        </w:tc>
      </w:tr>
      <w:tr w:rsidR="00BD0933" w:rsidRPr="0029019F">
        <w:trPr>
          <w:trHeight w:val="255"/>
          <w:jc w:val="center"/>
        </w:trPr>
        <w:tc>
          <w:tcPr>
            <w:tcW w:w="4200" w:type="dxa"/>
            <w:gridSpan w:val="2"/>
            <w:vAlign w:val="center"/>
          </w:tcPr>
          <w:p w:rsidR="00BD0933" w:rsidRPr="00557FE5" w:rsidRDefault="00BD0933" w:rsidP="00F25430">
            <w:pPr>
              <w:pStyle w:val="PS"/>
              <w:spacing w:after="0"/>
              <w:ind w:left="0" w:firstLine="0"/>
              <w:jc w:val="left"/>
              <w:rPr>
                <w:b/>
                <w:bCs/>
              </w:rPr>
            </w:pPr>
            <w:r w:rsidRPr="00557FE5">
              <w:rPr>
                <w:b/>
                <w:bCs/>
              </w:rPr>
              <w:t>total général 2004-2005 (en €)</w:t>
            </w:r>
          </w:p>
        </w:tc>
        <w:tc>
          <w:tcPr>
            <w:tcW w:w="1494" w:type="dxa"/>
            <w:noWrap/>
            <w:vAlign w:val="center"/>
          </w:tcPr>
          <w:p w:rsidR="00BD0933" w:rsidRPr="00557FE5" w:rsidRDefault="00BD0933" w:rsidP="00F25430">
            <w:pPr>
              <w:pStyle w:val="PS"/>
              <w:spacing w:after="0"/>
              <w:ind w:left="0" w:firstLine="0"/>
              <w:jc w:val="left"/>
              <w:rPr>
                <w:b/>
                <w:bCs/>
              </w:rPr>
            </w:pPr>
            <w:r w:rsidRPr="00557FE5">
              <w:rPr>
                <w:b/>
                <w:bCs/>
              </w:rPr>
              <w:t>96 346,54</w:t>
            </w:r>
          </w:p>
        </w:tc>
      </w:tr>
    </w:tbl>
    <w:p w:rsidR="00BD0933" w:rsidRDefault="00BD0933" w:rsidP="00114800">
      <w:pPr>
        <w:pStyle w:val="PS"/>
      </w:pPr>
    </w:p>
    <w:p w:rsidR="00BD0933" w:rsidRDefault="00BD0933" w:rsidP="00114800">
      <w:pPr>
        <w:pStyle w:val="PS"/>
      </w:pPr>
    </w:p>
    <w:p w:rsidR="00BD0933" w:rsidRDefault="00BD0933" w:rsidP="00114800">
      <w:pPr>
        <w:pStyle w:val="PS"/>
      </w:pPr>
      <w:r>
        <w:t>Attendu qu’aux termes des articles 41 à 44 de la loi n° 84-16 du 11 janvier 2004 modifiée relative à la fonction publique de l’Etat et du décret n° 85-986 du 16 septembre 1985 modifié, la mise à disposition est la situation du fonctionnaire qui demeure dans son corps d’origine, est réputé occuper son emploi, continue à percevoir la rémunération correspondante, mais qui effectue son service dans une autre administration que la sienne ;</w:t>
      </w:r>
    </w:p>
    <w:p w:rsidR="00BD0933" w:rsidRPr="005B6226" w:rsidRDefault="00BD0933" w:rsidP="00114800">
      <w:pPr>
        <w:pStyle w:val="PS"/>
      </w:pPr>
      <w:r>
        <w:t>Attendu que le fonctionnaire mis à disposition ne peut percevoir aucun complément de rémunération, ce qui n’interdit pas l’indemnisation des frais et sujétions auxquels il s’expose dans l’exercice de ses fonctions ; qu’en conséquence, aux termes de l’article 20 de la loi du 13 juillet 1983 portant droits et obligations des fonctionnaires et de l’article 2 du décret du 17 juillet 1985, « </w:t>
      </w:r>
      <w:r>
        <w:rPr>
          <w:i/>
          <w:iCs/>
        </w:rPr>
        <w:t>les fonctionnaires mentionnés à l’article 1</w:t>
      </w:r>
      <w:r w:rsidRPr="005B6226">
        <w:rPr>
          <w:i/>
          <w:iCs/>
          <w:vertAlign w:val="superscript"/>
        </w:rPr>
        <w:t>er</w:t>
      </w:r>
      <w:r>
        <w:rPr>
          <w:i/>
          <w:iCs/>
        </w:rPr>
        <w:t xml:space="preserve"> ci-dessus ne peuvent bénéficier d’aucune indemnité autre que celles fixées par une loi ou un décret (…)</w:t>
      </w:r>
      <w:r>
        <w:t> » ;</w:t>
      </w:r>
    </w:p>
    <w:p w:rsidR="00BD0933" w:rsidRDefault="00BD0933" w:rsidP="00114800">
      <w:pPr>
        <w:pStyle w:val="PS"/>
      </w:pPr>
      <w:r>
        <w:t xml:space="preserve">Attendu que </w:t>
      </w:r>
      <w:r w:rsidRPr="00CE3422">
        <w:t xml:space="preserve">si </w:t>
      </w:r>
      <w:r>
        <w:t>l</w:t>
      </w:r>
      <w:r w:rsidRPr="00CE3422">
        <w:t xml:space="preserve">es décisions </w:t>
      </w:r>
      <w:r>
        <w:t xml:space="preserve">sus-mentionnées </w:t>
      </w:r>
      <w:r w:rsidRPr="00CE3422">
        <w:t>justifiaient le versement de compléments de</w:t>
      </w:r>
      <w:r>
        <w:t xml:space="preserve"> </w:t>
      </w:r>
      <w:r w:rsidRPr="00CE3422">
        <w:t>rémunération aux trois bénéficiaires par des astreintes de disponibilité ou par des</w:t>
      </w:r>
      <w:r>
        <w:t xml:space="preserve"> </w:t>
      </w:r>
      <w:r w:rsidRPr="00CE3422">
        <w:t>obligations de représentation et de responsabilité liées à leurs fonctions, elles ne</w:t>
      </w:r>
      <w:r>
        <w:t xml:space="preserve"> pouvaient se fonder</w:t>
      </w:r>
      <w:r w:rsidRPr="00CE3422">
        <w:t xml:space="preserve"> sur aucun texte réglementaire ni sur aucune délibération du conseil</w:t>
      </w:r>
      <w:r>
        <w:t xml:space="preserve"> </w:t>
      </w:r>
      <w:r w:rsidRPr="00CE3422">
        <w:t>d</w:t>
      </w:r>
      <w:r>
        <w:t>’</w:t>
      </w:r>
      <w:r w:rsidRPr="00CE3422">
        <w:t>administration détaillant les fonctions et les sujétions qui pouvaient justifier ce</w:t>
      </w:r>
      <w:r>
        <w:t xml:space="preserve">s versements ;  </w:t>
      </w:r>
    </w:p>
    <w:p w:rsidR="00BD0933" w:rsidRDefault="00BD0933" w:rsidP="00114800">
      <w:pPr>
        <w:pStyle w:val="PS"/>
      </w:pPr>
      <w:r>
        <w:t>Attendu que la convention du personnel, qui prévoit la possibilité de verser des indemnités de sujétion à certains agents sans préciser quelles fonctions ouvraient un tel droit, n’est entrée en vigueur qu’en décembre 2005, soit à une date postérieure aux trois décisions visées ;</w:t>
      </w:r>
    </w:p>
    <w:p w:rsidR="00BD0933" w:rsidRPr="006373F0" w:rsidRDefault="00BD0933" w:rsidP="00114800">
      <w:pPr>
        <w:pStyle w:val="PS"/>
      </w:pPr>
      <w:r w:rsidRPr="00373C27">
        <w:t>Attendu que la</w:t>
      </w:r>
      <w:r>
        <w:t xml:space="preserve"> comptable fait valoir que</w:t>
      </w:r>
      <w:r w:rsidRPr="006373F0">
        <w:t xml:space="preserve"> les pièces justificatives sur </w:t>
      </w:r>
      <w:r>
        <w:t>le fondement desquel</w:t>
      </w:r>
      <w:r w:rsidRPr="006373F0">
        <w:t>s elle a payé les compléments de rémunération relevés par la Cour</w:t>
      </w:r>
      <w:r>
        <w:t xml:space="preserve"> sont les suivantes :</w:t>
      </w:r>
    </w:p>
    <w:p w:rsidR="00BD0933" w:rsidRPr="00373C27" w:rsidRDefault="00BD0933" w:rsidP="00114800">
      <w:pPr>
        <w:pStyle w:val="PS"/>
      </w:pPr>
      <w:r>
        <w:t>- p</w:t>
      </w:r>
      <w:r w:rsidRPr="00373C27">
        <w:t xml:space="preserve">our le paiement effectué au bénéfice du directeur de cabinet de la présidente, une décision de l’ordonnateur visée </w:t>
      </w:r>
      <w:r>
        <w:t>par le</w:t>
      </w:r>
      <w:r w:rsidRPr="00373C27">
        <w:t xml:space="preserve"> contrôle</w:t>
      </w:r>
      <w:r>
        <w:t>ur</w:t>
      </w:r>
      <w:r w:rsidRPr="00373C27">
        <w:t xml:space="preserve"> </w:t>
      </w:r>
      <w:r>
        <w:t>d’Etat</w:t>
      </w:r>
      <w:r w:rsidRPr="00373C27">
        <w:t xml:space="preserve"> </w:t>
      </w:r>
      <w:r>
        <w:t xml:space="preserve">qui </w:t>
      </w:r>
      <w:r w:rsidRPr="00373C27">
        <w:t xml:space="preserve">prévoit </w:t>
      </w:r>
      <w:r>
        <w:t>le versement d’</w:t>
      </w:r>
      <w:r w:rsidRPr="00373C27">
        <w:t>une indemnité de sujétion pour tenir compte des astreintes de disponibilité, y compris le week</w:t>
      </w:r>
      <w:r>
        <w:t>-</w:t>
      </w:r>
      <w:r w:rsidRPr="00373C27">
        <w:t>end, du temps de travail e</w:t>
      </w:r>
      <w:r>
        <w:t>t de représentation de l’agence ;</w:t>
      </w:r>
    </w:p>
    <w:p w:rsidR="00BD0933" w:rsidRPr="00373C27" w:rsidRDefault="00BD0933" w:rsidP="00114800">
      <w:pPr>
        <w:pStyle w:val="PS"/>
      </w:pPr>
      <w:r>
        <w:t>- p</w:t>
      </w:r>
      <w:r w:rsidRPr="00373C27">
        <w:t>our le paiement effectué au bénéfice du directeur général, une convention</w:t>
      </w:r>
      <w:r>
        <w:t>,</w:t>
      </w:r>
      <w:r w:rsidRPr="0082541B">
        <w:t xml:space="preserve"> </w:t>
      </w:r>
      <w:r w:rsidRPr="00373C27">
        <w:t>passée le 6</w:t>
      </w:r>
      <w:r>
        <w:t> </w:t>
      </w:r>
      <w:r w:rsidRPr="00373C27">
        <w:t>octobre 2004 entre l’inspection générale des finances et l’AFII</w:t>
      </w:r>
      <w:r>
        <w:t>,</w:t>
      </w:r>
      <w:r w:rsidRPr="00373C27">
        <w:t xml:space="preserve"> le mettant à disposition de l’agence et prévoyan</w:t>
      </w:r>
      <w:r>
        <w:t>t un complément de rémunération</w:t>
      </w:r>
      <w:r w:rsidRPr="00373C27">
        <w:t xml:space="preserve">. </w:t>
      </w:r>
      <w:r>
        <w:t xml:space="preserve">Cette convention </w:t>
      </w:r>
      <w:r w:rsidRPr="00373C27">
        <w:t>est signée par le chef de service de l’inspection générale des finances, la présidente et le contrôle</w:t>
      </w:r>
      <w:r>
        <w:t>ur d’Etat ;</w:t>
      </w:r>
    </w:p>
    <w:p w:rsidR="00BD0933" w:rsidRPr="00373C27" w:rsidRDefault="00BD0933" w:rsidP="00114800">
      <w:pPr>
        <w:pStyle w:val="PS"/>
      </w:pPr>
      <w:r>
        <w:t>- p</w:t>
      </w:r>
      <w:r w:rsidRPr="00373C27">
        <w:t>our la présidente, u</w:t>
      </w:r>
      <w:r>
        <w:t>ne décision du 14 novembre 2004,</w:t>
      </w:r>
      <w:r w:rsidRPr="00373C27">
        <w:t xml:space="preserve"> </w:t>
      </w:r>
      <w:r>
        <w:t>visée</w:t>
      </w:r>
      <w:r w:rsidRPr="00373C27">
        <w:t xml:space="preserve"> </w:t>
      </w:r>
      <w:r>
        <w:t>par le</w:t>
      </w:r>
      <w:r w:rsidRPr="00373C27">
        <w:t xml:space="preserve"> contrôle</w:t>
      </w:r>
      <w:r>
        <w:t xml:space="preserve">ur d’Etat, et signée du secrétaire général de l’AFII, qui </w:t>
      </w:r>
      <w:r w:rsidRPr="00373C27">
        <w:t>prévoit une indemnité de sujétion en compensation des astreintes de la fonction</w:t>
      </w:r>
      <w:r>
        <w:t> ;</w:t>
      </w:r>
    </w:p>
    <w:p w:rsidR="00BD0933" w:rsidRDefault="00BD0933" w:rsidP="00114800">
      <w:pPr>
        <w:pStyle w:val="PS"/>
      </w:pPr>
      <w:r>
        <w:t>Considérant que si les sommes versées ne visaient, comme le prévoit l’article 12 du décret n° 85-986 du 16 septembre 1985 relatif au régime particulier de certaines positions de fonctionnaires de l’Etat et à certaines modalités de cessation définitive de fonctions dans sa version à l’époque des faits, qu’à l’indemnisation de frais et sujétions, l’établissement aurait dû être en mesure de fournir des justificatifs correspondant aux remboursements effectués ; que la fixation forfaitaire de leur montant les fait apparaître comme de véritables compléments de rémunération ; qu’enfin l’ordonnateur, en l’absence de texte réglementaire, n’était pas compétent pour instituer de telles indemnités au profit d’agents de l’Etat mis à disposition de l’AFII ;</w:t>
      </w:r>
    </w:p>
    <w:p w:rsidR="00BD0933" w:rsidRDefault="00BD0933" w:rsidP="00114800">
      <w:pPr>
        <w:pStyle w:val="PS"/>
      </w:pPr>
      <w:r>
        <w:t xml:space="preserve">Considérant qu’en procédant au paiement de ces compléments de rémunération en l’absence de fondement réglementaire attesté par une pièce justificative, la comptable n’a pas exercé le contrôle sur la validité de la créance prévu à l’article 12 du décret du 29 décembre 1962, et notamment n’a pas fait porter son contrôle sur « la production des justifications » exigée à l’article 13 </w:t>
      </w:r>
      <w:r w:rsidRPr="009F430B">
        <w:t xml:space="preserve">; </w:t>
      </w:r>
      <w:r w:rsidRPr="005F4E03">
        <w:t>qu'il lui appartenait de s</w:t>
      </w:r>
      <w:r>
        <w:t>urseoir au paiement des mandats</w:t>
      </w:r>
      <w:r w:rsidRPr="005F4E03">
        <w:t xml:space="preserve"> ; qu'à défaut de l'avoir fait, Mme Viviane Y se trouve dans le cas prévu par</w:t>
      </w:r>
      <w:r>
        <w:t xml:space="preserve"> </w:t>
      </w:r>
      <w:r w:rsidRPr="005F4E03">
        <w:t>les paragraphes I et IV de l'article 60 de la loi du 23 février 1963 et du décret susvisé du 29 décembre 1962</w:t>
      </w:r>
      <w:r>
        <w:t xml:space="preserve"> </w:t>
      </w:r>
      <w:r w:rsidRPr="005F4E03">
        <w:t>;</w:t>
      </w:r>
      <w:r>
        <w:t xml:space="preserve"> </w:t>
      </w:r>
      <w:r w:rsidRPr="005F4E03">
        <w:t>qu'il y</w:t>
      </w:r>
      <w:r w:rsidRPr="009F430B">
        <w:t xml:space="preserve"> a donc lieu de lever l'injonction et de la constituer débitrice de L’AGENCE FRANCAISE </w:t>
      </w:r>
      <w:r>
        <w:t>POUR LES</w:t>
      </w:r>
      <w:r w:rsidRPr="009F430B">
        <w:t xml:space="preserve"> INVESTISSEMENTS INTERNATIONAUX (AFII) pour la somme de</w:t>
      </w:r>
      <w:r>
        <w:t xml:space="preserve"> 96 346,54 </w:t>
      </w:r>
      <w:r w:rsidRPr="009F430B">
        <w:t>€</w:t>
      </w:r>
      <w:r>
        <w:t> ;</w:t>
      </w:r>
    </w:p>
    <w:p w:rsidR="00BD0933" w:rsidRDefault="00BD0933" w:rsidP="00114800">
      <w:pPr>
        <w:pStyle w:val="PS"/>
      </w:pPr>
      <w:r w:rsidRPr="00C60A6A">
        <w:t>- L'injonction est levée</w:t>
      </w:r>
      <w:r>
        <w:t>.</w:t>
      </w:r>
    </w:p>
    <w:p w:rsidR="00BD0933" w:rsidRDefault="00BD0933" w:rsidP="00114800">
      <w:pPr>
        <w:pStyle w:val="PS"/>
      </w:pPr>
      <w:r w:rsidRPr="00C60A6A">
        <w:t>- M</w:t>
      </w:r>
      <w:r>
        <w:t>me Viviane Y</w:t>
      </w:r>
      <w:r w:rsidRPr="00C60A6A">
        <w:t xml:space="preserve"> est constitué</w:t>
      </w:r>
      <w:r>
        <w:t>e</w:t>
      </w:r>
      <w:r w:rsidRPr="00C60A6A">
        <w:t xml:space="preserve"> débit</w:t>
      </w:r>
      <w:r>
        <w:t>rice</w:t>
      </w:r>
      <w:r w:rsidRPr="00C60A6A">
        <w:t xml:space="preserve"> de </w:t>
      </w:r>
      <w:r>
        <w:t>L’</w:t>
      </w:r>
      <w:r w:rsidRPr="0035683B">
        <w:t xml:space="preserve">AGENCE FRANCAISE </w:t>
      </w:r>
      <w:r>
        <w:t>POUR LES</w:t>
      </w:r>
      <w:r w:rsidRPr="0035683B">
        <w:t xml:space="preserve"> INVESTISSEMENTS INTERNATIONAUX (AFII</w:t>
      </w:r>
      <w:r>
        <w:t>)</w:t>
      </w:r>
      <w:r w:rsidRPr="00C60A6A">
        <w:t xml:space="preserve"> pour la somme de </w:t>
      </w:r>
      <w:r>
        <w:t xml:space="preserve">96 346,54 € </w:t>
      </w:r>
      <w:r w:rsidRPr="00C60A6A">
        <w:t>augmentée des intérêts de droit à compter du</w:t>
      </w:r>
      <w:r>
        <w:t xml:space="preserve"> 25 décembre 2005</w:t>
      </w:r>
      <w:r w:rsidRPr="00C60A6A">
        <w:t>.</w:t>
      </w:r>
    </w:p>
    <w:p w:rsidR="00BD0933" w:rsidRDefault="00BD0933" w:rsidP="00114800">
      <w:pPr>
        <w:pStyle w:val="PS"/>
      </w:pPr>
      <w:r w:rsidRPr="00C60A6A">
        <w:t>Dans l'attente de l'apurement du débet ci-dessus prononcé,</w:t>
      </w:r>
    </w:p>
    <w:p w:rsidR="00BD0933" w:rsidRPr="00C60A6A" w:rsidRDefault="00BD0933" w:rsidP="00114800">
      <w:pPr>
        <w:pStyle w:val="PS"/>
      </w:pPr>
      <w:r w:rsidRPr="00C60A6A">
        <w:t>Le sursis à décharge de M</w:t>
      </w:r>
      <w:r>
        <w:t>me Viviane Y</w:t>
      </w:r>
      <w:r w:rsidRPr="00C60A6A">
        <w:t xml:space="preserve"> pour sa gestion </w:t>
      </w:r>
      <w:r>
        <w:t>du 1</w:t>
      </w:r>
      <w:r w:rsidRPr="009A07A4">
        <w:rPr>
          <w:vertAlign w:val="superscript"/>
        </w:rPr>
        <w:t>er</w:t>
      </w:r>
      <w:r>
        <w:t xml:space="preserve"> janvier 2004 au 31 décembre 2005 </w:t>
      </w:r>
      <w:r w:rsidRPr="00C60A6A">
        <w:t>est maintenu.</w:t>
      </w:r>
    </w:p>
    <w:p w:rsidR="00BD0933" w:rsidRDefault="00BD0933" w:rsidP="00042107">
      <w:pPr>
        <w:pStyle w:val="PS"/>
        <w:jc w:val="center"/>
      </w:pPr>
      <w:r>
        <w:t>--------</w:t>
      </w:r>
    </w:p>
    <w:p w:rsidR="00BD0933" w:rsidRDefault="00BD0933" w:rsidP="00114800">
      <w:pPr>
        <w:pStyle w:val="PS"/>
      </w:pPr>
      <w:r w:rsidRPr="00C60A6A">
        <w:t xml:space="preserve">Fait et jugé en la Cour des comptes, septième chambre, </w:t>
      </w:r>
      <w:r>
        <w:t>deuxi</w:t>
      </w:r>
      <w:r w:rsidRPr="00C60A6A">
        <w:t>ème section, le</w:t>
      </w:r>
      <w:r>
        <w:t xml:space="preserve"> deux juillet deux mil huit. </w:t>
      </w:r>
      <w:r w:rsidRPr="00C60A6A">
        <w:t>Présents</w:t>
      </w:r>
      <w:r>
        <w:t xml:space="preserve"> </w:t>
      </w:r>
      <w:r w:rsidRPr="00C60A6A">
        <w:t xml:space="preserve">: M. Descheemaeker, président, M. </w:t>
      </w:r>
      <w:r>
        <w:t>Lebuy</w:t>
      </w:r>
      <w:r w:rsidRPr="00C60A6A">
        <w:t>,</w:t>
      </w:r>
      <w:r>
        <w:t xml:space="preserve"> </w:t>
      </w:r>
      <w:r w:rsidRPr="00C60A6A">
        <w:t xml:space="preserve">président de section, MM. </w:t>
      </w:r>
      <w:r>
        <w:t>Hespel, Richard, Devaux, Pannier, Lévy, Doyelle et Zérah, con</w:t>
      </w:r>
      <w:r w:rsidRPr="00C60A6A">
        <w:t>seillers</w:t>
      </w:r>
      <w:r>
        <w:t xml:space="preserve"> </w:t>
      </w:r>
      <w:r w:rsidRPr="00C60A6A">
        <w:t>maîtres.</w:t>
      </w:r>
    </w:p>
    <w:p w:rsidR="00BD0933" w:rsidRDefault="00BD0933" w:rsidP="00114800">
      <w:pPr>
        <w:pStyle w:val="PS"/>
      </w:pPr>
      <w:r>
        <w:br w:type="page"/>
      </w:r>
      <w:r w:rsidRPr="00C60A6A">
        <w:t>Signé</w:t>
      </w:r>
      <w:r>
        <w:t xml:space="preserve"> </w:t>
      </w:r>
      <w:r w:rsidRPr="00C60A6A">
        <w:t>: Descheemaeker, président, et Jouhaud, greffière.</w:t>
      </w:r>
    </w:p>
    <w:p w:rsidR="00BD0933" w:rsidRDefault="00BD0933" w:rsidP="00114800">
      <w:pPr>
        <w:pStyle w:val="PS"/>
      </w:pPr>
      <w:r w:rsidRPr="00C60A6A">
        <w:t>Collationné, certifié conforme à la minute étant au greffe de la Cour des</w:t>
      </w:r>
      <w:r>
        <w:t xml:space="preserve"> c</w:t>
      </w:r>
      <w:r w:rsidRPr="00C60A6A">
        <w:t>omptes.</w:t>
      </w:r>
    </w:p>
    <w:p w:rsidR="00BD0933" w:rsidRDefault="00BD0933" w:rsidP="00114800">
      <w:pPr>
        <w:pStyle w:val="PS"/>
      </w:pPr>
      <w:r w:rsidRPr="00C60A6A">
        <w:t>En conséquence, la République mande et ordonne à tous huissiers de justice,</w:t>
      </w:r>
      <w:r>
        <w:t xml:space="preserve"> </w:t>
      </w:r>
      <w:r w:rsidRPr="00C60A6A">
        <w:t>sur ce requis, de mettre ledit arrêt à exécution, aux procureurs généraux et aux</w:t>
      </w:r>
      <w:r>
        <w:t xml:space="preserve"> </w:t>
      </w:r>
      <w:r w:rsidRPr="00C60A6A">
        <w:t>procureurs de la République près les tribunaux de grande instance, d'y tenir la main, à</w:t>
      </w:r>
      <w:r>
        <w:t xml:space="preserve"> </w:t>
      </w:r>
      <w:r w:rsidRPr="00C60A6A">
        <w:t>tous commandants et officiers de la force publique, de prêter main-forte, lorsqu'ils en</w:t>
      </w:r>
      <w:r>
        <w:t xml:space="preserve"> </w:t>
      </w:r>
      <w:r w:rsidRPr="00C60A6A">
        <w:t>seront légalement requis.</w:t>
      </w:r>
    </w:p>
    <w:p w:rsidR="00BD0933" w:rsidRPr="00C60A6A" w:rsidRDefault="00BD0933" w:rsidP="00114800">
      <w:pPr>
        <w:pStyle w:val="PS"/>
      </w:pPr>
      <w:r w:rsidRPr="00C60A6A">
        <w:t>Délivré par moi, secrétaire générale.</w:t>
      </w:r>
    </w:p>
    <w:sectPr w:rsidR="00BD0933" w:rsidRPr="00C60A6A" w:rsidSect="00114800">
      <w:headerReference w:type="first" r:id="rId9"/>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0933" w:rsidRDefault="00BD0933">
      <w:r>
        <w:separator/>
      </w:r>
    </w:p>
  </w:endnote>
  <w:endnote w:type="continuationSeparator" w:id="1">
    <w:p w:rsidR="00BD0933" w:rsidRDefault="00BD09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933" w:rsidRDefault="00BD0933" w:rsidP="0073753B">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0933" w:rsidRDefault="00BD0933">
      <w:r>
        <w:separator/>
      </w:r>
    </w:p>
  </w:footnote>
  <w:footnote w:type="continuationSeparator" w:id="1">
    <w:p w:rsidR="00BD0933" w:rsidRDefault="00BD09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933" w:rsidRDefault="00BD0933" w:rsidP="0073753B">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933" w:rsidRDefault="00BD0933" w:rsidP="00114800">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2149"/>
        </w:tabs>
        <w:ind w:left="2149" w:hanging="360"/>
      </w:pPr>
      <w:rPr>
        <w:rFonts w:ascii="Courier New" w:hAnsi="Courier New" w:cs="Courier New" w:hint="default"/>
      </w:rPr>
    </w:lvl>
    <w:lvl w:ilvl="2" w:tplc="040C0005">
      <w:start w:val="1"/>
      <w:numFmt w:val="bullet"/>
      <w:lvlText w:val=""/>
      <w:lvlJc w:val="left"/>
      <w:pPr>
        <w:tabs>
          <w:tab w:val="num" w:pos="2869"/>
        </w:tabs>
        <w:ind w:left="2869" w:hanging="360"/>
      </w:pPr>
      <w:rPr>
        <w:rFonts w:ascii="Wingdings" w:hAnsi="Wingdings" w:cs="Wingdings" w:hint="default"/>
      </w:rPr>
    </w:lvl>
    <w:lvl w:ilvl="3" w:tplc="040C0001">
      <w:start w:val="1"/>
      <w:numFmt w:val="bullet"/>
      <w:lvlText w:val=""/>
      <w:lvlJc w:val="left"/>
      <w:pPr>
        <w:tabs>
          <w:tab w:val="num" w:pos="3589"/>
        </w:tabs>
        <w:ind w:left="3589" w:hanging="360"/>
      </w:pPr>
      <w:rPr>
        <w:rFonts w:ascii="Symbol" w:hAnsi="Symbol" w:cs="Symbol" w:hint="default"/>
      </w:rPr>
    </w:lvl>
    <w:lvl w:ilvl="4" w:tplc="040C0003">
      <w:start w:val="1"/>
      <w:numFmt w:val="bullet"/>
      <w:lvlText w:val="o"/>
      <w:lvlJc w:val="left"/>
      <w:pPr>
        <w:tabs>
          <w:tab w:val="num" w:pos="4309"/>
        </w:tabs>
        <w:ind w:left="4309" w:hanging="360"/>
      </w:pPr>
      <w:rPr>
        <w:rFonts w:ascii="Courier New" w:hAnsi="Courier New" w:cs="Courier New" w:hint="default"/>
      </w:rPr>
    </w:lvl>
    <w:lvl w:ilvl="5" w:tplc="040C0005">
      <w:start w:val="1"/>
      <w:numFmt w:val="bullet"/>
      <w:lvlText w:val=""/>
      <w:lvlJc w:val="left"/>
      <w:pPr>
        <w:tabs>
          <w:tab w:val="num" w:pos="5029"/>
        </w:tabs>
        <w:ind w:left="5029" w:hanging="360"/>
      </w:pPr>
      <w:rPr>
        <w:rFonts w:ascii="Wingdings" w:hAnsi="Wingdings" w:cs="Wingdings" w:hint="default"/>
      </w:rPr>
    </w:lvl>
    <w:lvl w:ilvl="6" w:tplc="040C0001">
      <w:start w:val="1"/>
      <w:numFmt w:val="bullet"/>
      <w:lvlText w:val=""/>
      <w:lvlJc w:val="left"/>
      <w:pPr>
        <w:tabs>
          <w:tab w:val="num" w:pos="5749"/>
        </w:tabs>
        <w:ind w:left="5749" w:hanging="360"/>
      </w:pPr>
      <w:rPr>
        <w:rFonts w:ascii="Symbol" w:hAnsi="Symbol" w:cs="Symbol" w:hint="default"/>
      </w:rPr>
    </w:lvl>
    <w:lvl w:ilvl="7" w:tplc="040C0003">
      <w:start w:val="1"/>
      <w:numFmt w:val="bullet"/>
      <w:lvlText w:val="o"/>
      <w:lvlJc w:val="left"/>
      <w:pPr>
        <w:tabs>
          <w:tab w:val="num" w:pos="6469"/>
        </w:tabs>
        <w:ind w:left="6469" w:hanging="360"/>
      </w:pPr>
      <w:rPr>
        <w:rFonts w:ascii="Courier New" w:hAnsi="Courier New" w:cs="Courier New" w:hint="default"/>
      </w:rPr>
    </w:lvl>
    <w:lvl w:ilvl="8" w:tplc="040C0005">
      <w:start w:val="1"/>
      <w:numFmt w:val="bullet"/>
      <w:lvlText w:val=""/>
      <w:lvlJc w:val="left"/>
      <w:pPr>
        <w:tabs>
          <w:tab w:val="num" w:pos="7189"/>
        </w:tabs>
        <w:ind w:left="7189" w:hanging="360"/>
      </w:pPr>
      <w:rPr>
        <w:rFonts w:ascii="Wingdings" w:hAnsi="Wingdings" w:cs="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hint="default"/>
      </w:rPr>
    </w:lvl>
    <w:lvl w:ilvl="1" w:tplc="040C0019">
      <w:start w:val="1"/>
      <w:numFmt w:val="lowerLetter"/>
      <w:lvlText w:val="%2."/>
      <w:lvlJc w:val="left"/>
      <w:pPr>
        <w:tabs>
          <w:tab w:val="num" w:pos="2880"/>
        </w:tabs>
        <w:ind w:left="2880" w:hanging="360"/>
      </w:pPr>
    </w:lvl>
    <w:lvl w:ilvl="2" w:tplc="040C001B">
      <w:start w:val="1"/>
      <w:numFmt w:val="lowerRoman"/>
      <w:lvlText w:val="%3."/>
      <w:lvlJc w:val="right"/>
      <w:pPr>
        <w:tabs>
          <w:tab w:val="num" w:pos="3600"/>
        </w:tabs>
        <w:ind w:left="3600" w:hanging="180"/>
      </w:pPr>
    </w:lvl>
    <w:lvl w:ilvl="3" w:tplc="040C000F">
      <w:start w:val="1"/>
      <w:numFmt w:val="decimal"/>
      <w:lvlText w:val="%4."/>
      <w:lvlJc w:val="left"/>
      <w:pPr>
        <w:tabs>
          <w:tab w:val="num" w:pos="4320"/>
        </w:tabs>
        <w:ind w:left="4320" w:hanging="360"/>
      </w:pPr>
    </w:lvl>
    <w:lvl w:ilvl="4" w:tplc="040C0019">
      <w:start w:val="1"/>
      <w:numFmt w:val="lowerLetter"/>
      <w:lvlText w:val="%5."/>
      <w:lvlJc w:val="left"/>
      <w:pPr>
        <w:tabs>
          <w:tab w:val="num" w:pos="5040"/>
        </w:tabs>
        <w:ind w:left="5040" w:hanging="360"/>
      </w:pPr>
    </w:lvl>
    <w:lvl w:ilvl="5" w:tplc="040C001B">
      <w:start w:val="1"/>
      <w:numFmt w:val="lowerRoman"/>
      <w:lvlText w:val="%6."/>
      <w:lvlJc w:val="right"/>
      <w:pPr>
        <w:tabs>
          <w:tab w:val="num" w:pos="5760"/>
        </w:tabs>
        <w:ind w:left="5760" w:hanging="180"/>
      </w:pPr>
    </w:lvl>
    <w:lvl w:ilvl="6" w:tplc="040C000F">
      <w:start w:val="1"/>
      <w:numFmt w:val="decimal"/>
      <w:lvlText w:val="%7."/>
      <w:lvlJc w:val="left"/>
      <w:pPr>
        <w:tabs>
          <w:tab w:val="num" w:pos="6480"/>
        </w:tabs>
        <w:ind w:left="6480" w:hanging="360"/>
      </w:pPr>
    </w:lvl>
    <w:lvl w:ilvl="7" w:tplc="040C0019">
      <w:start w:val="1"/>
      <w:numFmt w:val="lowerLetter"/>
      <w:lvlText w:val="%8."/>
      <w:lvlJc w:val="left"/>
      <w:pPr>
        <w:tabs>
          <w:tab w:val="num" w:pos="7200"/>
        </w:tabs>
        <w:ind w:left="7200" w:hanging="360"/>
      </w:pPr>
    </w:lvl>
    <w:lvl w:ilvl="8" w:tplc="040C001B">
      <w:start w:val="1"/>
      <w:numFmt w:val="lowerRoman"/>
      <w:lvlText w:val="%9."/>
      <w:lvlJc w:val="right"/>
      <w:pPr>
        <w:tabs>
          <w:tab w:val="num" w:pos="7920"/>
        </w:tabs>
        <w:ind w:left="7920" w:hanging="180"/>
      </w:p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cs="Symbol" w:hint="default"/>
      </w:rPr>
    </w:lvl>
    <w:lvl w:ilvl="1" w:tplc="040C0003">
      <w:start w:val="1"/>
      <w:numFmt w:val="bullet"/>
      <w:lvlText w:val="o"/>
      <w:lvlJc w:val="left"/>
      <w:pPr>
        <w:tabs>
          <w:tab w:val="num" w:pos="4275"/>
        </w:tabs>
        <w:ind w:left="4275" w:hanging="360"/>
      </w:pPr>
      <w:rPr>
        <w:rFonts w:ascii="Courier New" w:hAnsi="Courier New" w:cs="Courier New" w:hint="default"/>
      </w:rPr>
    </w:lvl>
    <w:lvl w:ilvl="2" w:tplc="040C0005">
      <w:start w:val="1"/>
      <w:numFmt w:val="bullet"/>
      <w:lvlText w:val=""/>
      <w:lvlJc w:val="left"/>
      <w:pPr>
        <w:tabs>
          <w:tab w:val="num" w:pos="4995"/>
        </w:tabs>
        <w:ind w:left="4995" w:hanging="360"/>
      </w:pPr>
      <w:rPr>
        <w:rFonts w:ascii="Wingdings" w:hAnsi="Wingdings" w:cs="Wingdings" w:hint="default"/>
      </w:rPr>
    </w:lvl>
    <w:lvl w:ilvl="3" w:tplc="040C0001">
      <w:start w:val="1"/>
      <w:numFmt w:val="bullet"/>
      <w:lvlText w:val=""/>
      <w:lvlJc w:val="left"/>
      <w:pPr>
        <w:tabs>
          <w:tab w:val="num" w:pos="5715"/>
        </w:tabs>
        <w:ind w:left="5715" w:hanging="360"/>
      </w:pPr>
      <w:rPr>
        <w:rFonts w:ascii="Symbol" w:hAnsi="Symbol" w:cs="Symbol" w:hint="default"/>
      </w:rPr>
    </w:lvl>
    <w:lvl w:ilvl="4" w:tplc="040C0003">
      <w:start w:val="1"/>
      <w:numFmt w:val="bullet"/>
      <w:lvlText w:val="o"/>
      <w:lvlJc w:val="left"/>
      <w:pPr>
        <w:tabs>
          <w:tab w:val="num" w:pos="6435"/>
        </w:tabs>
        <w:ind w:left="6435" w:hanging="360"/>
      </w:pPr>
      <w:rPr>
        <w:rFonts w:ascii="Courier New" w:hAnsi="Courier New" w:cs="Courier New" w:hint="default"/>
      </w:rPr>
    </w:lvl>
    <w:lvl w:ilvl="5" w:tplc="040C0005">
      <w:start w:val="1"/>
      <w:numFmt w:val="bullet"/>
      <w:lvlText w:val=""/>
      <w:lvlJc w:val="left"/>
      <w:pPr>
        <w:tabs>
          <w:tab w:val="num" w:pos="7155"/>
        </w:tabs>
        <w:ind w:left="7155" w:hanging="360"/>
      </w:pPr>
      <w:rPr>
        <w:rFonts w:ascii="Wingdings" w:hAnsi="Wingdings" w:cs="Wingdings" w:hint="default"/>
      </w:rPr>
    </w:lvl>
    <w:lvl w:ilvl="6" w:tplc="040C0001">
      <w:start w:val="1"/>
      <w:numFmt w:val="bullet"/>
      <w:lvlText w:val=""/>
      <w:lvlJc w:val="left"/>
      <w:pPr>
        <w:tabs>
          <w:tab w:val="num" w:pos="7875"/>
        </w:tabs>
        <w:ind w:left="7875" w:hanging="360"/>
      </w:pPr>
      <w:rPr>
        <w:rFonts w:ascii="Symbol" w:hAnsi="Symbol" w:cs="Symbol" w:hint="default"/>
      </w:rPr>
    </w:lvl>
    <w:lvl w:ilvl="7" w:tplc="040C0003">
      <w:start w:val="1"/>
      <w:numFmt w:val="bullet"/>
      <w:lvlText w:val="o"/>
      <w:lvlJc w:val="left"/>
      <w:pPr>
        <w:tabs>
          <w:tab w:val="num" w:pos="8595"/>
        </w:tabs>
        <w:ind w:left="8595" w:hanging="360"/>
      </w:pPr>
      <w:rPr>
        <w:rFonts w:ascii="Courier New" w:hAnsi="Courier New" w:cs="Courier New" w:hint="default"/>
      </w:rPr>
    </w:lvl>
    <w:lvl w:ilvl="8" w:tplc="040C0005">
      <w:start w:val="1"/>
      <w:numFmt w:val="bullet"/>
      <w:lvlText w:val=""/>
      <w:lvlJc w:val="left"/>
      <w:pPr>
        <w:tabs>
          <w:tab w:val="num" w:pos="9315"/>
        </w:tabs>
        <w:ind w:left="9315" w:hanging="360"/>
      </w:pPr>
      <w:rPr>
        <w:rFonts w:ascii="Wingdings" w:hAnsi="Wingdings" w:cs="Wingdings" w:hint="default"/>
      </w:rPr>
    </w:lvl>
  </w:abstractNum>
  <w:abstractNum w:abstractNumId="3">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abstractNum w:abstractNumId="4">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start w:val="1"/>
      <w:numFmt w:val="bullet"/>
      <w:lvlText w:val="o"/>
      <w:lvlJc w:val="left"/>
      <w:pPr>
        <w:tabs>
          <w:tab w:val="num" w:pos="2520"/>
        </w:tabs>
        <w:ind w:left="2520" w:hanging="360"/>
      </w:pPr>
      <w:rPr>
        <w:rFonts w:ascii="Courier New" w:hAnsi="Courier New" w:cs="Courier New" w:hint="default"/>
      </w:rPr>
    </w:lvl>
    <w:lvl w:ilvl="2" w:tplc="040C0005">
      <w:start w:val="1"/>
      <w:numFmt w:val="bullet"/>
      <w:lvlText w:val=""/>
      <w:lvlJc w:val="left"/>
      <w:pPr>
        <w:tabs>
          <w:tab w:val="num" w:pos="3240"/>
        </w:tabs>
        <w:ind w:left="3240" w:hanging="360"/>
      </w:pPr>
      <w:rPr>
        <w:rFonts w:ascii="Wingdings" w:hAnsi="Wingdings" w:cs="Wingdings" w:hint="default"/>
      </w:rPr>
    </w:lvl>
    <w:lvl w:ilvl="3" w:tplc="040C0001">
      <w:start w:val="1"/>
      <w:numFmt w:val="bullet"/>
      <w:lvlText w:val=""/>
      <w:lvlJc w:val="left"/>
      <w:pPr>
        <w:tabs>
          <w:tab w:val="num" w:pos="3960"/>
        </w:tabs>
        <w:ind w:left="3960" w:hanging="360"/>
      </w:pPr>
      <w:rPr>
        <w:rFonts w:ascii="Symbol" w:hAnsi="Symbol" w:cs="Symbol" w:hint="default"/>
      </w:rPr>
    </w:lvl>
    <w:lvl w:ilvl="4" w:tplc="040C0003">
      <w:start w:val="1"/>
      <w:numFmt w:val="bullet"/>
      <w:lvlText w:val="o"/>
      <w:lvlJc w:val="left"/>
      <w:pPr>
        <w:tabs>
          <w:tab w:val="num" w:pos="4680"/>
        </w:tabs>
        <w:ind w:left="4680" w:hanging="360"/>
      </w:pPr>
      <w:rPr>
        <w:rFonts w:ascii="Courier New" w:hAnsi="Courier New" w:cs="Courier New" w:hint="default"/>
      </w:rPr>
    </w:lvl>
    <w:lvl w:ilvl="5" w:tplc="040C0005">
      <w:start w:val="1"/>
      <w:numFmt w:val="bullet"/>
      <w:lvlText w:val=""/>
      <w:lvlJc w:val="left"/>
      <w:pPr>
        <w:tabs>
          <w:tab w:val="num" w:pos="5400"/>
        </w:tabs>
        <w:ind w:left="5400" w:hanging="360"/>
      </w:pPr>
      <w:rPr>
        <w:rFonts w:ascii="Wingdings" w:hAnsi="Wingdings" w:cs="Wingdings" w:hint="default"/>
      </w:rPr>
    </w:lvl>
    <w:lvl w:ilvl="6" w:tplc="040C0001">
      <w:start w:val="1"/>
      <w:numFmt w:val="bullet"/>
      <w:lvlText w:val=""/>
      <w:lvlJc w:val="left"/>
      <w:pPr>
        <w:tabs>
          <w:tab w:val="num" w:pos="6120"/>
        </w:tabs>
        <w:ind w:left="6120" w:hanging="360"/>
      </w:pPr>
      <w:rPr>
        <w:rFonts w:ascii="Symbol" w:hAnsi="Symbol" w:cs="Symbol" w:hint="default"/>
      </w:rPr>
    </w:lvl>
    <w:lvl w:ilvl="7" w:tplc="040C0003">
      <w:start w:val="1"/>
      <w:numFmt w:val="bullet"/>
      <w:lvlText w:val="o"/>
      <w:lvlJc w:val="left"/>
      <w:pPr>
        <w:tabs>
          <w:tab w:val="num" w:pos="6840"/>
        </w:tabs>
        <w:ind w:left="6840" w:hanging="360"/>
      </w:pPr>
      <w:rPr>
        <w:rFonts w:ascii="Courier New" w:hAnsi="Courier New" w:cs="Courier New" w:hint="default"/>
      </w:rPr>
    </w:lvl>
    <w:lvl w:ilvl="8" w:tplc="040C0005">
      <w:start w:val="1"/>
      <w:numFmt w:val="bullet"/>
      <w:lvlText w:val=""/>
      <w:lvlJc w:val="left"/>
      <w:pPr>
        <w:tabs>
          <w:tab w:val="num" w:pos="7560"/>
        </w:tabs>
        <w:ind w:left="7560" w:hanging="360"/>
      </w:pPr>
      <w:rPr>
        <w:rFonts w:ascii="Wingdings" w:hAnsi="Wingdings" w:cs="Wingdings" w:hint="default"/>
      </w:rPr>
    </w:lvl>
  </w:abstractNum>
  <w:abstractNum w:abstractNumId="5">
    <w:nsid w:val="57E232DB"/>
    <w:multiLevelType w:val="hybridMultilevel"/>
    <w:tmpl w:val="1012D334"/>
    <w:lvl w:ilvl="0" w:tplc="C1C40222">
      <w:start w:val="2"/>
      <w:numFmt w:val="bullet"/>
      <w:lvlText w:val="-"/>
      <w:lvlJc w:val="left"/>
      <w:pPr>
        <w:tabs>
          <w:tab w:val="num" w:pos="3195"/>
        </w:tabs>
        <w:ind w:left="3195" w:hanging="36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50"/>
  <w:printFractionalCharacterWidth/>
  <w:embedSystemFonts/>
  <w:attachedTemplate r:id="rId1"/>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31E54"/>
    <w:rsid w:val="00042107"/>
    <w:rsid w:val="000434DD"/>
    <w:rsid w:val="00051744"/>
    <w:rsid w:val="00052A8C"/>
    <w:rsid w:val="00061809"/>
    <w:rsid w:val="00067294"/>
    <w:rsid w:val="00071B4F"/>
    <w:rsid w:val="0007535F"/>
    <w:rsid w:val="000B1355"/>
    <w:rsid w:val="000D3643"/>
    <w:rsid w:val="000E5AD4"/>
    <w:rsid w:val="000F79D0"/>
    <w:rsid w:val="001036A6"/>
    <w:rsid w:val="00114645"/>
    <w:rsid w:val="00114800"/>
    <w:rsid w:val="00125075"/>
    <w:rsid w:val="00126E76"/>
    <w:rsid w:val="001279DA"/>
    <w:rsid w:val="00146BF4"/>
    <w:rsid w:val="00171F87"/>
    <w:rsid w:val="001807C8"/>
    <w:rsid w:val="0018757B"/>
    <w:rsid w:val="00196C08"/>
    <w:rsid w:val="001A5310"/>
    <w:rsid w:val="001B50E2"/>
    <w:rsid w:val="001D3C77"/>
    <w:rsid w:val="001E37A4"/>
    <w:rsid w:val="001E5A3D"/>
    <w:rsid w:val="001E6C9F"/>
    <w:rsid w:val="00205475"/>
    <w:rsid w:val="0021293D"/>
    <w:rsid w:val="00245D17"/>
    <w:rsid w:val="0024676F"/>
    <w:rsid w:val="00267E79"/>
    <w:rsid w:val="00277770"/>
    <w:rsid w:val="0028187F"/>
    <w:rsid w:val="00285908"/>
    <w:rsid w:val="0029019F"/>
    <w:rsid w:val="00290972"/>
    <w:rsid w:val="00294E2E"/>
    <w:rsid w:val="002A02C7"/>
    <w:rsid w:val="002C75D7"/>
    <w:rsid w:val="002D4E1A"/>
    <w:rsid w:val="002E3128"/>
    <w:rsid w:val="002F0052"/>
    <w:rsid w:val="002F5398"/>
    <w:rsid w:val="003042E6"/>
    <w:rsid w:val="00322D9C"/>
    <w:rsid w:val="00324068"/>
    <w:rsid w:val="00330198"/>
    <w:rsid w:val="0034238B"/>
    <w:rsid w:val="003515AF"/>
    <w:rsid w:val="0035401D"/>
    <w:rsid w:val="0035683B"/>
    <w:rsid w:val="003624EC"/>
    <w:rsid w:val="0036320E"/>
    <w:rsid w:val="0036369F"/>
    <w:rsid w:val="00371872"/>
    <w:rsid w:val="00373C27"/>
    <w:rsid w:val="00384D45"/>
    <w:rsid w:val="00387124"/>
    <w:rsid w:val="0039241F"/>
    <w:rsid w:val="0039367E"/>
    <w:rsid w:val="003A3D37"/>
    <w:rsid w:val="003A7314"/>
    <w:rsid w:val="003A7AEC"/>
    <w:rsid w:val="003B48E1"/>
    <w:rsid w:val="003E0F96"/>
    <w:rsid w:val="003E4550"/>
    <w:rsid w:val="003F7EE5"/>
    <w:rsid w:val="00403E5C"/>
    <w:rsid w:val="00410939"/>
    <w:rsid w:val="00421E90"/>
    <w:rsid w:val="00422310"/>
    <w:rsid w:val="004266BA"/>
    <w:rsid w:val="004302DA"/>
    <w:rsid w:val="0044236F"/>
    <w:rsid w:val="00442764"/>
    <w:rsid w:val="00466E92"/>
    <w:rsid w:val="004761E6"/>
    <w:rsid w:val="00476BE3"/>
    <w:rsid w:val="00477082"/>
    <w:rsid w:val="004A3DE9"/>
    <w:rsid w:val="004A534F"/>
    <w:rsid w:val="004B0ADD"/>
    <w:rsid w:val="004B2E3F"/>
    <w:rsid w:val="004C3AB2"/>
    <w:rsid w:val="004E7A20"/>
    <w:rsid w:val="004F5EDC"/>
    <w:rsid w:val="005069FA"/>
    <w:rsid w:val="00507355"/>
    <w:rsid w:val="005164C7"/>
    <w:rsid w:val="005174CB"/>
    <w:rsid w:val="00532CD5"/>
    <w:rsid w:val="00557FE5"/>
    <w:rsid w:val="00575C50"/>
    <w:rsid w:val="005B6226"/>
    <w:rsid w:val="005B7707"/>
    <w:rsid w:val="005C1A53"/>
    <w:rsid w:val="005C25AC"/>
    <w:rsid w:val="005C30D7"/>
    <w:rsid w:val="005C648F"/>
    <w:rsid w:val="005D3439"/>
    <w:rsid w:val="005D353C"/>
    <w:rsid w:val="005D6812"/>
    <w:rsid w:val="005E0652"/>
    <w:rsid w:val="005F4E03"/>
    <w:rsid w:val="00621D3A"/>
    <w:rsid w:val="00624C22"/>
    <w:rsid w:val="00626233"/>
    <w:rsid w:val="006359DE"/>
    <w:rsid w:val="00635BAE"/>
    <w:rsid w:val="006366F0"/>
    <w:rsid w:val="006373F0"/>
    <w:rsid w:val="00660133"/>
    <w:rsid w:val="00666690"/>
    <w:rsid w:val="006768E5"/>
    <w:rsid w:val="00681F73"/>
    <w:rsid w:val="0068378D"/>
    <w:rsid w:val="0069044F"/>
    <w:rsid w:val="006A0CD3"/>
    <w:rsid w:val="006B2C66"/>
    <w:rsid w:val="006B49E7"/>
    <w:rsid w:val="006B64F2"/>
    <w:rsid w:val="006C6EBC"/>
    <w:rsid w:val="006E5E23"/>
    <w:rsid w:val="006F2EDD"/>
    <w:rsid w:val="006F7AB9"/>
    <w:rsid w:val="0072249F"/>
    <w:rsid w:val="00732677"/>
    <w:rsid w:val="0073753B"/>
    <w:rsid w:val="00756167"/>
    <w:rsid w:val="007B6EDE"/>
    <w:rsid w:val="007C6484"/>
    <w:rsid w:val="007E0166"/>
    <w:rsid w:val="0080478C"/>
    <w:rsid w:val="008047BA"/>
    <w:rsid w:val="0082541B"/>
    <w:rsid w:val="00830504"/>
    <w:rsid w:val="00840C95"/>
    <w:rsid w:val="008429C7"/>
    <w:rsid w:val="00842F54"/>
    <w:rsid w:val="00843AB2"/>
    <w:rsid w:val="00861C65"/>
    <w:rsid w:val="0086613F"/>
    <w:rsid w:val="00866B33"/>
    <w:rsid w:val="008738F8"/>
    <w:rsid w:val="00875127"/>
    <w:rsid w:val="00880CDC"/>
    <w:rsid w:val="008A1A1A"/>
    <w:rsid w:val="008D62AD"/>
    <w:rsid w:val="008D7208"/>
    <w:rsid w:val="008D7CD7"/>
    <w:rsid w:val="008E49C2"/>
    <w:rsid w:val="008F00D3"/>
    <w:rsid w:val="009126C5"/>
    <w:rsid w:val="00923AAA"/>
    <w:rsid w:val="009336D3"/>
    <w:rsid w:val="00947C81"/>
    <w:rsid w:val="009843F2"/>
    <w:rsid w:val="00995FF9"/>
    <w:rsid w:val="009A07A4"/>
    <w:rsid w:val="009B2B47"/>
    <w:rsid w:val="009B3858"/>
    <w:rsid w:val="009C3959"/>
    <w:rsid w:val="009C4289"/>
    <w:rsid w:val="009E0B42"/>
    <w:rsid w:val="009E6704"/>
    <w:rsid w:val="009F430B"/>
    <w:rsid w:val="009F6F91"/>
    <w:rsid w:val="009F71A9"/>
    <w:rsid w:val="00A24AB0"/>
    <w:rsid w:val="00A27A51"/>
    <w:rsid w:val="00A45CFD"/>
    <w:rsid w:val="00A52FEF"/>
    <w:rsid w:val="00A6055F"/>
    <w:rsid w:val="00A61508"/>
    <w:rsid w:val="00A80C0C"/>
    <w:rsid w:val="00AA599C"/>
    <w:rsid w:val="00AB5491"/>
    <w:rsid w:val="00AE6899"/>
    <w:rsid w:val="00B31021"/>
    <w:rsid w:val="00B45105"/>
    <w:rsid w:val="00B66558"/>
    <w:rsid w:val="00B71E65"/>
    <w:rsid w:val="00BA671B"/>
    <w:rsid w:val="00BB28D9"/>
    <w:rsid w:val="00BC14AF"/>
    <w:rsid w:val="00BC1B0C"/>
    <w:rsid w:val="00BD0003"/>
    <w:rsid w:val="00BD0933"/>
    <w:rsid w:val="00BD2E1F"/>
    <w:rsid w:val="00BE4AD4"/>
    <w:rsid w:val="00BE57F7"/>
    <w:rsid w:val="00BF669A"/>
    <w:rsid w:val="00BF7B0F"/>
    <w:rsid w:val="00C41763"/>
    <w:rsid w:val="00C50A94"/>
    <w:rsid w:val="00C603DA"/>
    <w:rsid w:val="00C60A6A"/>
    <w:rsid w:val="00C770DC"/>
    <w:rsid w:val="00C94ECC"/>
    <w:rsid w:val="00CD1803"/>
    <w:rsid w:val="00CE2B48"/>
    <w:rsid w:val="00CE3422"/>
    <w:rsid w:val="00CF6238"/>
    <w:rsid w:val="00D6296A"/>
    <w:rsid w:val="00D70AB8"/>
    <w:rsid w:val="00D70D1A"/>
    <w:rsid w:val="00D70E86"/>
    <w:rsid w:val="00D72927"/>
    <w:rsid w:val="00D93348"/>
    <w:rsid w:val="00D957B6"/>
    <w:rsid w:val="00DA697D"/>
    <w:rsid w:val="00DD0C26"/>
    <w:rsid w:val="00DE2E5B"/>
    <w:rsid w:val="00DE4654"/>
    <w:rsid w:val="00E03DDC"/>
    <w:rsid w:val="00E1046F"/>
    <w:rsid w:val="00E106D5"/>
    <w:rsid w:val="00E13131"/>
    <w:rsid w:val="00E32A2C"/>
    <w:rsid w:val="00E36A8A"/>
    <w:rsid w:val="00E5698E"/>
    <w:rsid w:val="00E6128F"/>
    <w:rsid w:val="00E657C4"/>
    <w:rsid w:val="00E66ABD"/>
    <w:rsid w:val="00E823A2"/>
    <w:rsid w:val="00E832BF"/>
    <w:rsid w:val="00E85525"/>
    <w:rsid w:val="00E96403"/>
    <w:rsid w:val="00E96F77"/>
    <w:rsid w:val="00EA2401"/>
    <w:rsid w:val="00ED219A"/>
    <w:rsid w:val="00EE7567"/>
    <w:rsid w:val="00F07123"/>
    <w:rsid w:val="00F10E6F"/>
    <w:rsid w:val="00F1533A"/>
    <w:rsid w:val="00F25430"/>
    <w:rsid w:val="00F32F21"/>
    <w:rsid w:val="00F511CA"/>
    <w:rsid w:val="00F51CA9"/>
    <w:rsid w:val="00F749E3"/>
    <w:rsid w:val="00F80AE6"/>
    <w:rsid w:val="00F94E8E"/>
    <w:rsid w:val="00F97080"/>
    <w:rsid w:val="00FA477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4E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004E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004E5"/>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F004E5"/>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F004E5"/>
    <w:rPr>
      <w:sz w:val="0"/>
      <w:szCs w:val="0"/>
    </w:r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rsid w:val="00F004E5"/>
    <w:rPr>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F004E5"/>
    <w:rPr>
      <w:sz w:val="20"/>
      <w:szCs w:val="20"/>
    </w:rPr>
  </w:style>
  <w:style w:type="character" w:styleId="PageNumber">
    <w:name w:val="page number"/>
    <w:basedOn w:val="DefaultParagraphFont"/>
    <w:uiPriority w:val="99"/>
    <w:rsid w:val="001036A6"/>
  </w:style>
  <w:style w:type="character" w:customStyle="1" w:styleId="ETCar">
    <w:name w:val="ET Car"/>
    <w:basedOn w:val="DefaultParagraphFont"/>
    <w:link w:val="ET"/>
    <w:uiPriority w:val="99"/>
    <w:locked/>
    <w:rsid w:val="001036A6"/>
    <w:rPr>
      <w:b/>
      <w:bCs/>
      <w:caps/>
      <w:sz w:val="24"/>
      <w:szCs w:val="24"/>
      <w:lang w:val="fr-FR" w:eastAsia="fr-FR"/>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NormalWeb">
    <w:name w:val="Normal (Web)"/>
    <w:basedOn w:val="Normal"/>
    <w:uiPriority w:val="99"/>
    <w:rsid w:val="005C1A53"/>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211833229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1544</Words>
  <Characters>8492</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2</cp:revision>
  <cp:lastPrinted>2008-07-02T11:18:00Z</cp:lastPrinted>
  <dcterms:created xsi:type="dcterms:W3CDTF">2008-09-04T12:46:00Z</dcterms:created>
  <dcterms:modified xsi:type="dcterms:W3CDTF">2008-09-04T12:46:00Z</dcterms:modified>
</cp:coreProperties>
</file>