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4AB" w:rsidRDefault="003574AB">
      <w:pPr>
        <w:pStyle w:val="ET"/>
      </w:pPr>
      <w:r>
        <w:t>COUR DES COMPTES</w:t>
      </w:r>
    </w:p>
    <w:p w:rsidR="003574AB" w:rsidRDefault="003574AB">
      <w:pPr>
        <w:pStyle w:val="ET"/>
      </w:pPr>
      <w:r>
        <w:tab/>
        <w:t xml:space="preserve">    ------ </w:t>
      </w:r>
    </w:p>
    <w:p w:rsidR="003574AB" w:rsidRDefault="003574AB">
      <w:pPr>
        <w:pStyle w:val="ET"/>
      </w:pPr>
      <w:r>
        <w:t>septIEME CHAMBRE</w:t>
      </w:r>
    </w:p>
    <w:p w:rsidR="003574AB" w:rsidRDefault="003574AB" w:rsidP="000434DD">
      <w:pPr>
        <w:pStyle w:val="ET"/>
      </w:pPr>
      <w:r>
        <w:tab/>
        <w:t xml:space="preserve">    ------ </w:t>
      </w:r>
    </w:p>
    <w:p w:rsidR="003574AB" w:rsidRDefault="003574AB">
      <w:pPr>
        <w:pStyle w:val="ET"/>
      </w:pPr>
      <w:r>
        <w:t>TROISIEMe SECTION</w:t>
      </w:r>
    </w:p>
    <w:p w:rsidR="003574AB" w:rsidRDefault="003574AB">
      <w:pPr>
        <w:pStyle w:val="ET"/>
      </w:pPr>
      <w:r>
        <w:tab/>
        <w:t xml:space="preserve">    ------ </w:t>
      </w:r>
    </w:p>
    <w:p w:rsidR="003574AB" w:rsidRPr="00947C81" w:rsidRDefault="003574AB" w:rsidP="000434DD">
      <w:pPr>
        <w:pStyle w:val="Header"/>
        <w:rPr>
          <w:b/>
          <w:bCs/>
          <w:i/>
          <w:iCs/>
        </w:rPr>
      </w:pPr>
      <w:r>
        <w:t xml:space="preserve">       </w:t>
      </w:r>
      <w:r w:rsidRPr="00947C81">
        <w:rPr>
          <w:b/>
          <w:bCs/>
          <w:i/>
          <w:iCs/>
        </w:rPr>
        <w:t xml:space="preserve">Arrêt n° </w:t>
      </w:r>
      <w:r>
        <w:rPr>
          <w:b/>
          <w:bCs/>
          <w:i/>
          <w:iCs/>
        </w:rPr>
        <w:t>52398</w:t>
      </w:r>
      <w:r>
        <w:fldChar w:fldCharType="begin"/>
      </w:r>
      <w:r>
        <w:fldChar w:fldCharType="end"/>
      </w:r>
    </w:p>
    <w:p w:rsidR="003574AB" w:rsidRDefault="003574AB" w:rsidP="007C6484">
      <w:pPr>
        <w:pStyle w:val="OR"/>
        <w:ind w:right="-284"/>
      </w:pPr>
      <w:r>
        <w:t>CHAMBRE DEPARTEMENTALE D’AGRICULTURE DU DOUBS</w:t>
      </w:r>
    </w:p>
    <w:p w:rsidR="003574AB" w:rsidRDefault="003574AB" w:rsidP="006F2EDD">
      <w:pPr>
        <w:pStyle w:val="OR"/>
      </w:pPr>
    </w:p>
    <w:p w:rsidR="003574AB" w:rsidRDefault="003574AB" w:rsidP="006F2EDD">
      <w:pPr>
        <w:pStyle w:val="OR"/>
      </w:pPr>
      <w:r>
        <w:t>Exercices 1999 à 2002</w:t>
      </w:r>
    </w:p>
    <w:p w:rsidR="003574AB" w:rsidRDefault="003574AB" w:rsidP="006F2EDD">
      <w:pPr>
        <w:pStyle w:val="OR"/>
      </w:pPr>
    </w:p>
    <w:p w:rsidR="003574AB" w:rsidRDefault="003574AB" w:rsidP="006F2EDD">
      <w:pPr>
        <w:pStyle w:val="OR"/>
      </w:pPr>
      <w:r>
        <w:t>Rapport n° 2008-425-0</w:t>
      </w:r>
    </w:p>
    <w:p w:rsidR="003574AB" w:rsidRDefault="003574AB" w:rsidP="006F2EDD">
      <w:pPr>
        <w:pStyle w:val="OR"/>
      </w:pPr>
    </w:p>
    <w:p w:rsidR="003574AB" w:rsidRDefault="003574AB" w:rsidP="006F2EDD">
      <w:pPr>
        <w:pStyle w:val="OR"/>
      </w:pPr>
      <w:r>
        <w:t>Audience publique et délibéré du 2 juillet 2008</w:t>
      </w:r>
    </w:p>
    <w:p w:rsidR="003574AB" w:rsidRDefault="003574AB" w:rsidP="006F2EDD">
      <w:pPr>
        <w:pStyle w:val="OR"/>
      </w:pPr>
    </w:p>
    <w:p w:rsidR="003574AB" w:rsidRDefault="003574AB" w:rsidP="007C6484">
      <w:pPr>
        <w:pStyle w:val="OR"/>
        <w:ind w:right="-284"/>
      </w:pPr>
      <w:r>
        <w:t>Lecture publique du 23 juillet 2008</w:t>
      </w:r>
    </w:p>
    <w:p w:rsidR="003574AB" w:rsidRDefault="003574AB" w:rsidP="00C01BA2">
      <w:pPr>
        <w:pStyle w:val="P0"/>
        <w:jc w:val="center"/>
      </w:pPr>
    </w:p>
    <w:p w:rsidR="003574AB" w:rsidRDefault="003574AB" w:rsidP="00C01BA2">
      <w:pPr>
        <w:pStyle w:val="P0"/>
        <w:jc w:val="center"/>
      </w:pPr>
    </w:p>
    <w:p w:rsidR="003574AB" w:rsidRDefault="003574AB" w:rsidP="00C01BA2">
      <w:pPr>
        <w:pStyle w:val="P0"/>
        <w:jc w:val="center"/>
      </w:pPr>
      <w:r>
        <w:t>REPUBLIQUE FRANCAISE</w:t>
      </w:r>
    </w:p>
    <w:p w:rsidR="003574AB" w:rsidRDefault="003574AB" w:rsidP="00C01BA2">
      <w:pPr>
        <w:pStyle w:val="P0"/>
        <w:jc w:val="center"/>
      </w:pPr>
    </w:p>
    <w:p w:rsidR="003574AB" w:rsidRDefault="003574AB" w:rsidP="00C01BA2">
      <w:pPr>
        <w:pStyle w:val="P0"/>
        <w:jc w:val="center"/>
      </w:pPr>
      <w:r>
        <w:t>AU NOM DU PEUPLE FRANÇAIS</w:t>
      </w:r>
    </w:p>
    <w:p w:rsidR="003574AB" w:rsidRDefault="003574AB" w:rsidP="00C01BA2">
      <w:pPr>
        <w:pStyle w:val="P0"/>
        <w:jc w:val="center"/>
      </w:pPr>
    </w:p>
    <w:p w:rsidR="003574AB" w:rsidRDefault="003574AB" w:rsidP="00C01BA2">
      <w:pPr>
        <w:pStyle w:val="P0"/>
        <w:jc w:val="center"/>
      </w:pPr>
      <w:r>
        <w:t xml:space="preserve">LA COUR DES COMPTES a rendu l’arrêt suivant : </w:t>
      </w:r>
    </w:p>
    <w:p w:rsidR="003574AB" w:rsidRDefault="003574AB" w:rsidP="00C01BA2">
      <w:pPr>
        <w:pStyle w:val="P0"/>
        <w:jc w:val="center"/>
      </w:pPr>
    </w:p>
    <w:p w:rsidR="003574AB" w:rsidRDefault="003574AB">
      <w:pPr>
        <w:pStyle w:val="PS"/>
      </w:pPr>
      <w:r>
        <w:t>LA COUR,</w:t>
      </w:r>
    </w:p>
    <w:p w:rsidR="003574AB" w:rsidRPr="003E3592" w:rsidRDefault="003574AB" w:rsidP="00A136B1">
      <w:pPr>
        <w:pStyle w:val="PS"/>
      </w:pPr>
      <w:r w:rsidRPr="003E3592">
        <w:t>Vu l'arrêt n° </w:t>
      </w:r>
      <w:r>
        <w:t xml:space="preserve">41004 </w:t>
      </w:r>
      <w:r w:rsidRPr="003E3592">
        <w:t>en date du 24 novembre 2004</w:t>
      </w:r>
      <w:r>
        <w:t xml:space="preserve"> par lequel</w:t>
      </w:r>
      <w:r w:rsidRPr="003E3592">
        <w:t xml:space="preserve"> elle a statué sur les comptes</w:t>
      </w:r>
      <w:r>
        <w:t xml:space="preserve"> rendus, en qualité de comptable de la CHAMBRE DEPARTEMENTALE d’AGRICULTURE DU DOUBS </w:t>
      </w:r>
      <w:r w:rsidRPr="003E3592">
        <w:t xml:space="preserve">pour les exercices 1999 à </w:t>
      </w:r>
      <w:r>
        <w:t>2002</w:t>
      </w:r>
      <w:r w:rsidRPr="003E3592">
        <w:rPr>
          <w:i/>
          <w:iCs/>
        </w:rPr>
        <w:t xml:space="preserve"> </w:t>
      </w:r>
      <w:r w:rsidRPr="003E3592">
        <w:t>par</w:t>
      </w:r>
      <w:r>
        <w:rPr>
          <w:i/>
          <w:iCs/>
        </w:rPr>
        <w:t xml:space="preserve"> </w:t>
      </w:r>
      <w:r>
        <w:t>M. Jean-Claude X</w:t>
      </w:r>
      <w:r w:rsidRPr="003E3592">
        <w:t> ;</w:t>
      </w:r>
    </w:p>
    <w:p w:rsidR="003574AB" w:rsidRDefault="003574AB" w:rsidP="00A136B1">
      <w:pPr>
        <w:pStyle w:val="PS"/>
      </w:pPr>
      <w:r w:rsidRPr="003E3592">
        <w:t>Vu les justifica</w:t>
      </w:r>
      <w:r>
        <w:t>tions produites en exécution du</w:t>
      </w:r>
      <w:r w:rsidRPr="003E3592">
        <w:t>dit</w:t>
      </w:r>
      <w:r>
        <w:rPr>
          <w:i/>
          <w:iCs/>
        </w:rPr>
        <w:t xml:space="preserve"> </w:t>
      </w:r>
      <w:r w:rsidRPr="003E3592">
        <w:t>arrêt ;</w:t>
      </w:r>
    </w:p>
    <w:p w:rsidR="003574AB" w:rsidRDefault="003574AB" w:rsidP="00A136B1">
      <w:pPr>
        <w:pStyle w:val="PS"/>
      </w:pPr>
      <w:r w:rsidRPr="003E3592">
        <w:t xml:space="preserve">Vu le code des juridictions financières </w:t>
      </w:r>
      <w:r>
        <w:t>et le code rural ;</w:t>
      </w:r>
    </w:p>
    <w:p w:rsidR="003574AB" w:rsidRDefault="003574AB" w:rsidP="00A136B1">
      <w:pPr>
        <w:pStyle w:val="PS"/>
      </w:pPr>
      <w:r>
        <w:t>Vu l’article 60 de la loi de finances n° 63-156 du 23 février 1963 ;</w:t>
      </w:r>
    </w:p>
    <w:p w:rsidR="003574AB" w:rsidRDefault="003574AB" w:rsidP="00A136B1">
      <w:pPr>
        <w:pStyle w:val="PS"/>
      </w:pPr>
      <w:r>
        <w:t xml:space="preserve">Vu les lois, décrets et règlements sur la comptabilité des établissements publics nationaux à caractère administratif et les textes spécifiques applicables aux chambres d’agriculture ; </w:t>
      </w:r>
    </w:p>
    <w:p w:rsidR="003574AB" w:rsidRDefault="003574AB" w:rsidP="00A136B1">
      <w:pPr>
        <w:pStyle w:val="PS"/>
      </w:pPr>
      <w:r>
        <w:t>Vu la lettre du 9 juin 2008 par laquelle la greffière de la septième chambre a informé M. X ainsi que le président de la chambre d’agriculture de la tenue de l’audience publique de ce jour, ensemble leurs accusés de réception ;</w:t>
      </w:r>
    </w:p>
    <w:p w:rsidR="003574AB" w:rsidRPr="003E3592" w:rsidRDefault="003574AB" w:rsidP="00A136B1">
      <w:pPr>
        <w:pStyle w:val="IN"/>
      </w:pPr>
      <w:r>
        <w:t>MNT</w:t>
      </w:r>
    </w:p>
    <w:p w:rsidR="003574AB" w:rsidRDefault="003574AB" w:rsidP="00A136B1">
      <w:pPr>
        <w:pStyle w:val="PS"/>
        <w:sectPr w:rsidR="003574AB" w:rsidSect="00A136B1">
          <w:headerReference w:type="default" r:id="rId7"/>
          <w:pgSz w:w="11907" w:h="16840" w:code="9"/>
          <w:pgMar w:top="1134" w:right="1134" w:bottom="1134" w:left="567" w:header="720" w:footer="720" w:gutter="0"/>
          <w:cols w:space="720"/>
          <w:titlePg/>
        </w:sectPr>
      </w:pPr>
    </w:p>
    <w:p w:rsidR="003574AB" w:rsidRPr="003E3592" w:rsidRDefault="003574AB" w:rsidP="00A136B1">
      <w:pPr>
        <w:pStyle w:val="PS"/>
      </w:pPr>
      <w:r w:rsidRPr="003E3592">
        <w:t xml:space="preserve">Sur le rapport de </w:t>
      </w:r>
      <w:r>
        <w:t>Mme Michèle Coudurier, conseillère référendaire</w:t>
      </w:r>
      <w:r w:rsidRPr="003E3592">
        <w:t xml:space="preserve"> ; </w:t>
      </w:r>
    </w:p>
    <w:p w:rsidR="003574AB" w:rsidRDefault="003574AB" w:rsidP="00A136B1">
      <w:pPr>
        <w:pStyle w:val="PS"/>
      </w:pPr>
      <w:r w:rsidRPr="003E3592">
        <w:t xml:space="preserve">Vu les conclusions du procureur général de la République ; </w:t>
      </w:r>
    </w:p>
    <w:p w:rsidR="003574AB" w:rsidRDefault="003574AB" w:rsidP="00A136B1">
      <w:pPr>
        <w:pStyle w:val="PS"/>
      </w:pPr>
      <w:r>
        <w:t>Entendu à l’audience publique Mme Coudurier en son rapport et M. Perrin, avocat général, en ses observations orales, M. X, agent comptable, ayant eu la parole en dernier ;</w:t>
      </w:r>
    </w:p>
    <w:p w:rsidR="003574AB" w:rsidRPr="003E3592" w:rsidRDefault="003574AB" w:rsidP="00A136B1">
      <w:pPr>
        <w:pStyle w:val="PS"/>
      </w:pPr>
      <w:r>
        <w:t>Entendu à huis clos, le ministère public et le rapporteur s’étant retirés, M. Berthet, conseiller maître, en ses observations ;</w:t>
      </w:r>
    </w:p>
    <w:p w:rsidR="003574AB" w:rsidRPr="005841FC" w:rsidRDefault="003574AB" w:rsidP="00A136B1">
      <w:pPr>
        <w:pStyle w:val="PS"/>
      </w:pPr>
      <w:r>
        <w:t>Considérant que le compte de l’exercice 1999 a été déposé antérieurement au 31 décembre 2001 et que la responsabilité du comptable se trouve prescrite en application du V de l’article 60 de la loi du 23 février 1963 ; qu’il en résulte que M. X</w:t>
      </w:r>
      <w:r w:rsidRPr="005841FC">
        <w:t xml:space="preserve"> est réputé déchargé </w:t>
      </w:r>
      <w:r>
        <w:t>d’office d</w:t>
      </w:r>
      <w:r w:rsidRPr="005841FC">
        <w:t>e sa gestion</w:t>
      </w:r>
      <w:r>
        <w:t xml:space="preserve"> pour la période comprise entre le </w:t>
      </w:r>
      <w:r w:rsidRPr="005841FC">
        <w:t>1</w:t>
      </w:r>
      <w:r w:rsidRPr="0070426B">
        <w:rPr>
          <w:vertAlign w:val="superscript"/>
        </w:rPr>
        <w:t>er</w:t>
      </w:r>
      <w:r w:rsidRPr="005841FC">
        <w:t xml:space="preserve"> janvier 1999 </w:t>
      </w:r>
      <w:r>
        <w:t xml:space="preserve">et le </w:t>
      </w:r>
      <w:r w:rsidRPr="005841FC">
        <w:t>31 décembre 1999 ;</w:t>
      </w:r>
    </w:p>
    <w:p w:rsidR="003574AB" w:rsidRPr="003E3592" w:rsidRDefault="003574AB" w:rsidP="007E7B84">
      <w:pPr>
        <w:pStyle w:val="PS"/>
        <w:jc w:val="center"/>
      </w:pPr>
      <w:r w:rsidRPr="003E3592">
        <w:t>STATUANT DEFINITIVEMENT</w:t>
      </w:r>
      <w:r>
        <w:t>,</w:t>
      </w:r>
    </w:p>
    <w:p w:rsidR="003574AB" w:rsidRPr="003E3592" w:rsidRDefault="003574AB" w:rsidP="007E7B84">
      <w:pPr>
        <w:pStyle w:val="PS"/>
        <w:jc w:val="center"/>
      </w:pPr>
      <w:r w:rsidRPr="003E3592">
        <w:t>ORDONNE</w:t>
      </w:r>
      <w:r>
        <w:t> :</w:t>
      </w:r>
    </w:p>
    <w:p w:rsidR="003574AB" w:rsidRPr="00433BCE" w:rsidRDefault="003574AB" w:rsidP="00A136B1">
      <w:pPr>
        <w:pStyle w:val="PS"/>
        <w:rPr>
          <w:b/>
          <w:bCs/>
          <w:u w:val="single"/>
        </w:rPr>
      </w:pPr>
      <w:r w:rsidRPr="005F1FD8">
        <w:rPr>
          <w:b/>
          <w:bCs/>
        </w:rPr>
        <w:t xml:space="preserve">1) </w:t>
      </w:r>
      <w:r w:rsidRPr="005F1FD8">
        <w:rPr>
          <w:b/>
          <w:bCs/>
          <w:u w:val="single"/>
        </w:rPr>
        <w:t>Constitution e</w:t>
      </w:r>
      <w:r w:rsidRPr="00433BCE">
        <w:rPr>
          <w:b/>
          <w:bCs/>
          <w:u w:val="single"/>
        </w:rPr>
        <w:t>n débets</w:t>
      </w:r>
    </w:p>
    <w:p w:rsidR="003574AB" w:rsidRPr="00433BCE" w:rsidRDefault="003574AB" w:rsidP="00A136B1">
      <w:pPr>
        <w:pStyle w:val="PS"/>
        <w:rPr>
          <w:u w:val="single"/>
        </w:rPr>
      </w:pPr>
      <w:r w:rsidRPr="00433BCE">
        <w:rPr>
          <w:u w:val="single"/>
        </w:rPr>
        <w:t>Injonction n°</w:t>
      </w:r>
      <w:r>
        <w:rPr>
          <w:u w:val="single"/>
        </w:rPr>
        <w:t xml:space="preserve"> </w:t>
      </w:r>
      <w:r w:rsidRPr="00433BCE">
        <w:rPr>
          <w:u w:val="single"/>
        </w:rPr>
        <w:t>1</w:t>
      </w:r>
    </w:p>
    <w:p w:rsidR="003574AB" w:rsidRDefault="003574AB" w:rsidP="00A136B1">
      <w:pPr>
        <w:pStyle w:val="PS"/>
      </w:pPr>
      <w:r w:rsidRPr="003960EC">
        <w:t>Attendu qu</w:t>
      </w:r>
      <w:r>
        <w:t>e par l’injonction n° 1 de l’arrêt susvisé, la Cour, au motif qu’une créance sur la COFOVE agissant pour le compte d’associations syndicales autorisées figure</w:t>
      </w:r>
      <w:r w:rsidRPr="003960EC">
        <w:t xml:space="preserve"> depuis 1994 dans les états de restes </w:t>
      </w:r>
      <w:r>
        <w:t>à recouvrer pour une somme de 2 </w:t>
      </w:r>
      <w:r w:rsidRPr="003960EC">
        <w:t>040 €</w:t>
      </w:r>
      <w:r>
        <w:t xml:space="preserve">, a enjoint à M. X </w:t>
      </w:r>
      <w:r w:rsidRPr="003960EC">
        <w:t xml:space="preserve">de produire la preuve du reversement de ladite somme ou, à défaut, justification des diligences faites </w:t>
      </w:r>
      <w:r>
        <w:t>pour en obtenir le recouvrement ;</w:t>
      </w:r>
    </w:p>
    <w:p w:rsidR="003574AB" w:rsidRDefault="003574AB" w:rsidP="007E7B84">
      <w:pPr>
        <w:pStyle w:val="PS"/>
      </w:pPr>
      <w:r w:rsidRPr="00D2649B">
        <w:t>Attendu que l</w:t>
      </w:r>
      <w:bookmarkStart w:id="0" w:name="SPIINFOPAGE_23_0"/>
      <w:bookmarkEnd w:id="0"/>
      <w:r>
        <w:t>’</w:t>
      </w:r>
      <w:r w:rsidRPr="00D2649B">
        <w:t xml:space="preserve">erreur matérielle figurant dans les motifs de l'arrêt susvisé, qui </w:t>
      </w:r>
      <w:r>
        <w:t>indiqu</w:t>
      </w:r>
      <w:r w:rsidRPr="00D2649B">
        <w:t xml:space="preserve">e le chiffre de </w:t>
      </w:r>
      <w:r>
        <w:t>2 040</w:t>
      </w:r>
      <w:r w:rsidRPr="00D2649B">
        <w:t xml:space="preserve"> € </w:t>
      </w:r>
      <w:r>
        <w:t>pour la créance au lieu du montant réel qui s’</w:t>
      </w:r>
      <w:r w:rsidRPr="00D2649B">
        <w:t xml:space="preserve">élève à </w:t>
      </w:r>
      <w:r w:rsidRPr="00AB5C5B">
        <w:t>2 037,70 €</w:t>
      </w:r>
      <w:r w:rsidRPr="00D2649B">
        <w:t xml:space="preserve">, est sans incidence sur la validité de l'injonction n° </w:t>
      </w:r>
      <w:r>
        <w:t>1 ;</w:t>
      </w:r>
    </w:p>
    <w:p w:rsidR="003574AB" w:rsidRPr="00793EAE" w:rsidRDefault="003574AB" w:rsidP="00A136B1">
      <w:pPr>
        <w:pStyle w:val="PS"/>
        <w:rPr>
          <w:i/>
          <w:iCs/>
        </w:rPr>
      </w:pPr>
      <w:r>
        <w:t>Attendu que, dans sa réponse du 30 mars 2005, M. X fait valoir que « </w:t>
      </w:r>
      <w:r w:rsidRPr="00793EAE">
        <w:rPr>
          <w:i/>
          <w:iCs/>
        </w:rPr>
        <w:t xml:space="preserve">cette somme (2 037,70 € en réalité) est soldée par : </w:t>
      </w:r>
    </w:p>
    <w:p w:rsidR="003574AB" w:rsidRPr="00793EAE" w:rsidRDefault="003574AB" w:rsidP="00A136B1">
      <w:pPr>
        <w:pStyle w:val="PS"/>
        <w:rPr>
          <w:i/>
          <w:iCs/>
        </w:rPr>
      </w:pPr>
      <w:r>
        <w:rPr>
          <w:i/>
          <w:iCs/>
        </w:rPr>
        <w:t xml:space="preserve">- </w:t>
      </w:r>
      <w:r w:rsidRPr="00793EAE">
        <w:rPr>
          <w:i/>
          <w:iCs/>
        </w:rPr>
        <w:t xml:space="preserve">un recouvrement du 14 septembre 2004 </w:t>
      </w:r>
      <w:r>
        <w:rPr>
          <w:i/>
          <w:iCs/>
        </w:rPr>
        <w:t xml:space="preserve">[…] pour un montant de 1 018,86 € […] ; </w:t>
      </w:r>
    </w:p>
    <w:p w:rsidR="003574AB" w:rsidRDefault="003574AB" w:rsidP="00A136B1">
      <w:pPr>
        <w:pStyle w:val="PS"/>
      </w:pPr>
      <w:r>
        <w:rPr>
          <w:i/>
          <w:iCs/>
        </w:rPr>
        <w:t xml:space="preserve">- </w:t>
      </w:r>
      <w:r w:rsidRPr="00793EAE">
        <w:rPr>
          <w:i/>
          <w:iCs/>
        </w:rPr>
        <w:t xml:space="preserve">une admission en non valeur du 31 décembre 2004 </w:t>
      </w:r>
      <w:r>
        <w:rPr>
          <w:i/>
          <w:iCs/>
        </w:rPr>
        <w:t>[…] pour un montant de 1 018,84 €</w:t>
      </w:r>
      <w:r w:rsidRPr="00793EAE">
        <w:rPr>
          <w:i/>
          <w:iCs/>
        </w:rPr>
        <w:t>.</w:t>
      </w:r>
      <w:r>
        <w:t> »</w:t>
      </w:r>
    </w:p>
    <w:p w:rsidR="003574AB" w:rsidRDefault="003574AB" w:rsidP="00A136B1">
      <w:pPr>
        <w:pStyle w:val="PS"/>
      </w:pPr>
      <w:r>
        <w:t xml:space="preserve">Attendu que dans son complément de réponse du 16 mai 2008, M. X a produit </w:t>
      </w:r>
      <w:r w:rsidRPr="00EA5AF7">
        <w:t>différents documents attestant des diligences effectuées à l’encontr</w:t>
      </w:r>
      <w:r>
        <w:t>e des associations syndicales autorisées « </w:t>
      </w:r>
      <w:r w:rsidRPr="00D2649B">
        <w:rPr>
          <w:i/>
          <w:iCs/>
        </w:rPr>
        <w:t>soit directement, soit via COFOVE devenu COFORET dans le cadre d’un recouvrement amiable diligenté par l’ordonnateur</w:t>
      </w:r>
      <w:r>
        <w:t> » ;</w:t>
      </w:r>
    </w:p>
    <w:p w:rsidR="003574AB" w:rsidRDefault="003574AB" w:rsidP="00A136B1">
      <w:pPr>
        <w:pStyle w:val="PS"/>
      </w:pPr>
      <w:r>
        <w:t>Considérant que si une décision d’admission en non valeur apure dans les écritures les créances prises en charge, elle ne peut rétroactivement exonérer le comptable de sa responsabilité à raison de l’absence ou de l’insuffisance des diligences auxquelles il était tenu ;</w:t>
      </w:r>
    </w:p>
    <w:p w:rsidR="003574AB" w:rsidRDefault="003574AB" w:rsidP="00A136B1">
      <w:pPr>
        <w:pStyle w:val="PS"/>
      </w:pPr>
      <w:r>
        <w:t>Considérant qu’il résulte des pièces transmises par M. X qu’il n’a pas accompli les diligences rapides, complètes et adéquates qui auraient permis le recouvrement de la créance, se contentant de demander à l’ordonnateur que celui-ci intervienne ;</w:t>
      </w:r>
    </w:p>
    <w:p w:rsidR="003574AB" w:rsidRDefault="003574AB" w:rsidP="00A136B1">
      <w:pPr>
        <w:pStyle w:val="PS"/>
      </w:pPr>
      <w:r>
        <w:t xml:space="preserve">Attendu que M. X se trouve ainsi dans le cas prévu par l’article 60-VII de la loi susvisée du 23 février 1963 ; qu’il y a donc lieu de le constituer débiteur de la chambre départementale du Doubs pour la somme de 1 018,84 </w:t>
      </w:r>
      <w:r w:rsidRPr="00D2649B">
        <w:t>€</w:t>
      </w:r>
      <w:r>
        <w:t> ;</w:t>
      </w:r>
    </w:p>
    <w:p w:rsidR="003574AB" w:rsidRDefault="003574AB" w:rsidP="00A136B1">
      <w:pPr>
        <w:pStyle w:val="PS"/>
      </w:pPr>
      <w:r w:rsidRPr="007919F3">
        <w:t xml:space="preserve">Attendu qu'en l'espèce, le point de départ des intérêts de débet peut être fixé au </w:t>
      </w:r>
      <w:r>
        <w:t>1</w:t>
      </w:r>
      <w:r w:rsidRPr="00626BB7">
        <w:rPr>
          <w:vertAlign w:val="superscript"/>
        </w:rPr>
        <w:t>er</w:t>
      </w:r>
      <w:r>
        <w:t> janvier 2005 ;</w:t>
      </w:r>
    </w:p>
    <w:p w:rsidR="003574AB" w:rsidRDefault="003574AB" w:rsidP="00A136B1">
      <w:pPr>
        <w:pStyle w:val="PS"/>
      </w:pPr>
      <w:r>
        <w:t xml:space="preserve">- L’injonction n°1 est levée ; </w:t>
      </w:r>
    </w:p>
    <w:p w:rsidR="003574AB" w:rsidRPr="007919F3" w:rsidRDefault="003574AB" w:rsidP="00A136B1">
      <w:pPr>
        <w:pStyle w:val="PS"/>
      </w:pPr>
      <w:r>
        <w:t xml:space="preserve">- </w:t>
      </w:r>
      <w:r w:rsidRPr="007919F3">
        <w:t xml:space="preserve">M. </w:t>
      </w:r>
      <w:r>
        <w:t>X</w:t>
      </w:r>
      <w:r w:rsidRPr="007919F3">
        <w:t xml:space="preserve"> est constitué débiteur de </w:t>
      </w:r>
      <w:r>
        <w:t>la chambre départementale d’agriculture du Doubs</w:t>
      </w:r>
      <w:r w:rsidRPr="007919F3">
        <w:t xml:space="preserve"> pour la somme de </w:t>
      </w:r>
      <w:r>
        <w:t xml:space="preserve">1 018,84 </w:t>
      </w:r>
      <w:r w:rsidRPr="00D2649B">
        <w:t>€</w:t>
      </w:r>
      <w:r>
        <w:t xml:space="preserve">, </w:t>
      </w:r>
      <w:r w:rsidRPr="007919F3">
        <w:t>augmentée des intérêts</w:t>
      </w:r>
      <w:r>
        <w:t xml:space="preserve"> de droit à compter du 1</w:t>
      </w:r>
      <w:r w:rsidRPr="00626BB7">
        <w:rPr>
          <w:vertAlign w:val="superscript"/>
        </w:rPr>
        <w:t>er</w:t>
      </w:r>
      <w:r>
        <w:t> janvier 2005</w:t>
      </w:r>
      <w:r w:rsidRPr="007919F3">
        <w:t> ;</w:t>
      </w:r>
    </w:p>
    <w:p w:rsidR="003574AB" w:rsidRPr="00433BCE" w:rsidRDefault="003574AB" w:rsidP="00A136B1">
      <w:pPr>
        <w:pStyle w:val="PS"/>
        <w:rPr>
          <w:u w:val="single"/>
        </w:rPr>
      </w:pPr>
      <w:r>
        <w:rPr>
          <w:u w:val="single"/>
        </w:rPr>
        <w:t>Injonction n° 2</w:t>
      </w:r>
    </w:p>
    <w:p w:rsidR="003574AB" w:rsidRDefault="003574AB" w:rsidP="00A136B1">
      <w:pPr>
        <w:pStyle w:val="PS"/>
      </w:pPr>
      <w:r w:rsidRPr="000377BA">
        <w:t>Attendu que</w:t>
      </w:r>
      <w:r>
        <w:t>,</w:t>
      </w:r>
      <w:r w:rsidRPr="000377BA">
        <w:t xml:space="preserve"> par l’injonction n° 2 de l’arrêt susvisé, la Cour, au motif qu’une créance sur le conseil général du Doubs figure dans les états de restes à recouvrer depuis 1999 pour une somme de 417,55 €, a enjoint à M. </w:t>
      </w:r>
      <w:r>
        <w:t>X</w:t>
      </w:r>
      <w:r w:rsidRPr="000377BA">
        <w:t xml:space="preserve"> de produire la preuve du reversement de ladite somme ou, à défaut, justification des diligences faites pour en obtenir le recouvrement ;</w:t>
      </w:r>
    </w:p>
    <w:p w:rsidR="003574AB" w:rsidRDefault="003574AB" w:rsidP="00A136B1">
      <w:pPr>
        <w:pStyle w:val="PS"/>
      </w:pPr>
      <w:r>
        <w:br w:type="page"/>
        <w:t xml:space="preserve">Attendu que ladite créance de 417,55 </w:t>
      </w:r>
      <w:r w:rsidRPr="000377BA">
        <w:t>€</w:t>
      </w:r>
      <w:r>
        <w:t xml:space="preserve"> résulte du solde non recouvré de 405 F (61,74 </w:t>
      </w:r>
      <w:r w:rsidRPr="000377BA">
        <w:t>€</w:t>
      </w:r>
      <w:r>
        <w:t xml:space="preserve">) sur la subvention totale annoncée et de l’inclusion de trois actions nouvelles pour un montant de 2 334 F (355,81 </w:t>
      </w:r>
      <w:r w:rsidRPr="000377BA">
        <w:t>€</w:t>
      </w:r>
      <w:r>
        <w:t xml:space="preserve">), seulement portée à l’attention du conseil général par l’envoi le 21 mars 2002 d’un nouvel état récapitulatif portant la subvention attendue du conseil général à 80 007 F (12 196,99 </w:t>
      </w:r>
      <w:r w:rsidRPr="000377BA">
        <w:t>€</w:t>
      </w:r>
      <w:r>
        <w:t>) ;</w:t>
      </w:r>
    </w:p>
    <w:p w:rsidR="003574AB" w:rsidRDefault="003574AB" w:rsidP="00A136B1">
      <w:pPr>
        <w:pStyle w:val="PS"/>
      </w:pPr>
      <w:r>
        <w:t>Attendu qu’il résulte clairement de la lettre du 1</w:t>
      </w:r>
      <w:r w:rsidRPr="00626BB7">
        <w:rPr>
          <w:vertAlign w:val="superscript"/>
        </w:rPr>
        <w:t>er</w:t>
      </w:r>
      <w:r>
        <w:t> avril 2005 du directeur général des services du conseil général du Doubs qu’il n’existe plus de crédits pour financer ces opérations effectuées en 1997 ;</w:t>
      </w:r>
    </w:p>
    <w:p w:rsidR="003574AB" w:rsidRPr="00F31B7A" w:rsidRDefault="003574AB" w:rsidP="00A136B1">
      <w:pPr>
        <w:pStyle w:val="PS"/>
      </w:pPr>
      <w:r w:rsidRPr="00F31B7A">
        <w:t xml:space="preserve">Attendu que dans sa réponse du 30 mars 2005, M. </w:t>
      </w:r>
      <w:r>
        <w:t>X</w:t>
      </w:r>
      <w:r w:rsidRPr="00F31B7A">
        <w:t xml:space="preserve"> indique que la créance de 417,55 € a été soldée par une admission en</w:t>
      </w:r>
      <w:r>
        <w:t xml:space="preserve"> non valeur du 31 décembre 2004</w:t>
      </w:r>
      <w:r w:rsidRPr="00F31B7A">
        <w:t> ;</w:t>
      </w:r>
    </w:p>
    <w:p w:rsidR="003574AB" w:rsidRDefault="003574AB" w:rsidP="00A136B1">
      <w:pPr>
        <w:pStyle w:val="PS"/>
      </w:pPr>
      <w:r>
        <w:t>Considérant que si une décision d’admission en non valeur apure dans les écritures les créances prises en charge, elle ne peut rétroactivement exonérer le comptable de sa responsabilité à raison de l’absence ou de l’insuffisance des diligences auxquelles il était tenu ;</w:t>
      </w:r>
    </w:p>
    <w:p w:rsidR="003574AB" w:rsidRDefault="003574AB" w:rsidP="00A136B1">
      <w:pPr>
        <w:pStyle w:val="PS"/>
      </w:pPr>
      <w:r>
        <w:t xml:space="preserve">Considérant qu’il résulte des pièces transmises par M. X dans ses compléments de réponse des 16, 21 et 26 mai 2008 qu’il n’a pas accompli les diligences rapides, complètes et adéquates qui auraient permis le recouvrement de la créance ; </w:t>
      </w:r>
    </w:p>
    <w:p w:rsidR="003574AB" w:rsidRDefault="003574AB" w:rsidP="00A136B1">
      <w:pPr>
        <w:pStyle w:val="PS"/>
      </w:pPr>
      <w:r>
        <w:t xml:space="preserve">Attendu que M. X se trouve ainsi dans le cas prévu par l’article 60-VII de la loi susvisée du 23 février 1963 ; qu’il y a donc lieu de le constituer débiteur de la chambre départementale du Doubs pour la somme de 417,55 </w:t>
      </w:r>
      <w:r w:rsidRPr="00D2649B">
        <w:t>€</w:t>
      </w:r>
      <w:r>
        <w:t> ;</w:t>
      </w:r>
    </w:p>
    <w:p w:rsidR="003574AB" w:rsidRDefault="003574AB" w:rsidP="00A136B1">
      <w:pPr>
        <w:pStyle w:val="PS"/>
      </w:pPr>
      <w:r w:rsidRPr="007919F3">
        <w:t xml:space="preserve">Attendu qu'en l'espèce, le point de départ des intérêts de débet peut être fixé au </w:t>
      </w:r>
      <w:r>
        <w:t>1</w:t>
      </w:r>
      <w:r w:rsidRPr="00626BB7">
        <w:rPr>
          <w:vertAlign w:val="superscript"/>
        </w:rPr>
        <w:t>er</w:t>
      </w:r>
      <w:r>
        <w:t> janvier 2003, au lendemain de la date à laquelle la créance a été prescrite ;</w:t>
      </w:r>
    </w:p>
    <w:p w:rsidR="003574AB" w:rsidRDefault="003574AB" w:rsidP="00A136B1">
      <w:pPr>
        <w:pStyle w:val="PS"/>
      </w:pPr>
      <w:r>
        <w:t xml:space="preserve">- L’injonction n° 2 est levée ; </w:t>
      </w:r>
    </w:p>
    <w:p w:rsidR="003574AB" w:rsidRDefault="003574AB" w:rsidP="00A136B1">
      <w:pPr>
        <w:pStyle w:val="PS"/>
      </w:pPr>
      <w:r>
        <w:t>- M. X</w:t>
      </w:r>
      <w:r w:rsidRPr="007919F3">
        <w:t xml:space="preserve"> est constitué débiteur de </w:t>
      </w:r>
      <w:r>
        <w:t>la chambre départementale d’agriculture du Doubs</w:t>
      </w:r>
      <w:r w:rsidRPr="007919F3">
        <w:t xml:space="preserve"> pour la somme de </w:t>
      </w:r>
      <w:r w:rsidRPr="00D2649B">
        <w:t>417,55 €</w:t>
      </w:r>
      <w:r>
        <w:t xml:space="preserve">, </w:t>
      </w:r>
      <w:r w:rsidRPr="007919F3">
        <w:t>augmentée des intérêts</w:t>
      </w:r>
      <w:r>
        <w:t xml:space="preserve"> de droit à compter du 1</w:t>
      </w:r>
      <w:r w:rsidRPr="00626BB7">
        <w:rPr>
          <w:vertAlign w:val="superscript"/>
        </w:rPr>
        <w:t>er</w:t>
      </w:r>
      <w:r>
        <w:t xml:space="preserve"> janvier 2003. </w:t>
      </w:r>
    </w:p>
    <w:p w:rsidR="003574AB" w:rsidRPr="007919F3" w:rsidRDefault="003574AB" w:rsidP="00A136B1">
      <w:pPr>
        <w:pStyle w:val="PS"/>
      </w:pPr>
      <w:r>
        <w:t>En conséquence, il est sursis à la décharge de M. X pour l’exercice 2002.</w:t>
      </w:r>
    </w:p>
    <w:p w:rsidR="003574AB" w:rsidRPr="007D7A14" w:rsidRDefault="003574AB" w:rsidP="00A136B1">
      <w:pPr>
        <w:pStyle w:val="PS"/>
        <w:rPr>
          <w:b/>
          <w:bCs/>
          <w:u w:val="single"/>
        </w:rPr>
      </w:pPr>
      <w:r>
        <w:rPr>
          <w:b/>
          <w:bCs/>
        </w:rPr>
        <w:br w:type="page"/>
      </w:r>
      <w:r w:rsidRPr="007D7A14">
        <w:rPr>
          <w:b/>
          <w:bCs/>
        </w:rPr>
        <w:t xml:space="preserve">2) </w:t>
      </w:r>
      <w:r w:rsidRPr="007D7A14">
        <w:rPr>
          <w:b/>
          <w:bCs/>
          <w:u w:val="single"/>
        </w:rPr>
        <w:t>Décharge</w:t>
      </w:r>
    </w:p>
    <w:p w:rsidR="003574AB" w:rsidRPr="003E3592" w:rsidRDefault="003574AB" w:rsidP="00A136B1">
      <w:pPr>
        <w:pStyle w:val="PS"/>
      </w:pPr>
      <w:r w:rsidRPr="003E3592">
        <w:t xml:space="preserve">Attendu </w:t>
      </w:r>
      <w:r>
        <w:t>qu’aucune charge n’est prononcée à l’encontre de M. X pour les exercices 2000 à 2001</w:t>
      </w:r>
      <w:r w:rsidRPr="003E3592">
        <w:t> ;</w:t>
      </w:r>
    </w:p>
    <w:p w:rsidR="003574AB" w:rsidRPr="003E3592" w:rsidRDefault="003574AB" w:rsidP="00A136B1">
      <w:pPr>
        <w:pStyle w:val="PS"/>
      </w:pPr>
      <w:r w:rsidRPr="003E3592">
        <w:t xml:space="preserve">– Les opérations retracées dans les comptes des exercices </w:t>
      </w:r>
      <w:r>
        <w:t>2000 et 2001</w:t>
      </w:r>
      <w:r w:rsidRPr="003E3592">
        <w:t xml:space="preserve"> sont admises ;</w:t>
      </w:r>
    </w:p>
    <w:p w:rsidR="003574AB" w:rsidRPr="003E3592" w:rsidRDefault="003574AB" w:rsidP="00A136B1">
      <w:pPr>
        <w:pStyle w:val="PS"/>
      </w:pPr>
      <w:r w:rsidRPr="003E3592">
        <w:rPr>
          <w:i/>
          <w:iCs/>
        </w:rPr>
        <w:t>–</w:t>
      </w:r>
      <w:r w:rsidRPr="003E3592">
        <w:t> </w:t>
      </w:r>
      <w:r>
        <w:t>M.</w:t>
      </w:r>
      <w:r w:rsidRPr="008E4D36">
        <w:t xml:space="preserve"> </w:t>
      </w:r>
      <w:r>
        <w:t>X</w:t>
      </w:r>
      <w:r w:rsidRPr="003E3592">
        <w:t xml:space="preserve"> est déchargé de sa gestion pour la période comprise entre le 1</w:t>
      </w:r>
      <w:r w:rsidRPr="003E3592">
        <w:rPr>
          <w:vertAlign w:val="superscript"/>
        </w:rPr>
        <w:t>er</w:t>
      </w:r>
      <w:r w:rsidRPr="003E3592">
        <w:t> </w:t>
      </w:r>
      <w:r>
        <w:t>j</w:t>
      </w:r>
      <w:r w:rsidRPr="003E3592">
        <w:t xml:space="preserve">anvier </w:t>
      </w:r>
      <w:r>
        <w:t xml:space="preserve">2000 et </w:t>
      </w:r>
      <w:r w:rsidRPr="003E3592">
        <w:t>le 31 décembre</w:t>
      </w:r>
      <w:r>
        <w:t xml:space="preserve"> 2001. </w:t>
      </w:r>
    </w:p>
    <w:p w:rsidR="003574AB" w:rsidRDefault="003574AB" w:rsidP="00196C08">
      <w:pPr>
        <w:pStyle w:val="PS"/>
        <w:jc w:val="center"/>
      </w:pPr>
      <w:r>
        <w:t>-------</w:t>
      </w:r>
    </w:p>
    <w:p w:rsidR="003574AB" w:rsidRDefault="003574AB" w:rsidP="005C1A53">
      <w:pPr>
        <w:pStyle w:val="PS"/>
      </w:pPr>
      <w:r w:rsidRPr="0074322F">
        <w:t xml:space="preserve">Fait et jugé en la Cour des </w:t>
      </w:r>
      <w:r>
        <w:t>c</w:t>
      </w:r>
      <w:r w:rsidRPr="0074322F">
        <w:t>omptes, septième chambre, troisième section, le</w:t>
      </w:r>
      <w:r>
        <w:t xml:space="preserve"> deux juillet deux mil huit. P</w:t>
      </w:r>
      <w:r w:rsidRPr="0074322F">
        <w:t xml:space="preserve">résents : </w:t>
      </w:r>
      <w:r>
        <w:t>MM. Descheemaeker, président, Berthet, président de section, Richard, Lebuy, Lafaure, Brochier, Doyelle, et Zérah, conseillers maîtres.</w:t>
      </w:r>
    </w:p>
    <w:p w:rsidR="003574AB" w:rsidRDefault="003574AB" w:rsidP="00666690">
      <w:pPr>
        <w:pStyle w:val="PS"/>
      </w:pPr>
      <w:r>
        <w:t>Signé : Descheemaeker, président, et Jouhaud, greffière.</w:t>
      </w:r>
    </w:p>
    <w:p w:rsidR="003574AB" w:rsidRDefault="003574AB" w:rsidP="00666690">
      <w:pPr>
        <w:pStyle w:val="PS"/>
      </w:pPr>
      <w:r>
        <w:t>Collationné, certifié conforme à la minute étant au greffe de la Cour des comptes.</w:t>
      </w:r>
    </w:p>
    <w:p w:rsidR="003574AB" w:rsidRDefault="003574AB" w:rsidP="00B93911">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574AB" w:rsidRDefault="003574AB" w:rsidP="00B93911">
      <w:pPr>
        <w:pStyle w:val="PS"/>
      </w:pPr>
      <w:r>
        <w:t>Délivré par moi, secrétaire générale.</w:t>
      </w:r>
    </w:p>
    <w:p w:rsidR="003574AB" w:rsidRDefault="003574AB" w:rsidP="00666690">
      <w:pPr>
        <w:pStyle w:val="PS"/>
      </w:pPr>
    </w:p>
    <w:sectPr w:rsidR="003574AB" w:rsidSect="00666690">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4AB" w:rsidRDefault="003574AB">
      <w:r>
        <w:separator/>
      </w:r>
    </w:p>
  </w:endnote>
  <w:endnote w:type="continuationSeparator" w:id="1">
    <w:p w:rsidR="003574AB" w:rsidRDefault="003574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4AB" w:rsidRDefault="003574AB">
      <w:r>
        <w:separator/>
      </w:r>
    </w:p>
  </w:footnote>
  <w:footnote w:type="continuationSeparator" w:id="1">
    <w:p w:rsidR="003574AB" w:rsidRDefault="003574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4AB" w:rsidRDefault="003574AB" w:rsidP="00626BB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4AB" w:rsidRDefault="003574AB" w:rsidP="00A136B1">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hint="default"/>
      </w:rPr>
    </w:lvl>
    <w:lvl w:ilvl="5" w:tplc="040C0005">
      <w:start w:val="1"/>
      <w:numFmt w:val="bullet"/>
      <w:lvlText w:val=""/>
      <w:lvlJc w:val="left"/>
      <w:pPr>
        <w:tabs>
          <w:tab w:val="num" w:pos="5029"/>
        </w:tabs>
        <w:ind w:left="5029" w:hanging="360"/>
      </w:pPr>
      <w:rPr>
        <w:rFonts w:ascii="Wingdings" w:hAnsi="Wingdings" w:hint="default"/>
      </w:rPr>
    </w:lvl>
    <w:lvl w:ilvl="6" w:tplc="040C0001">
      <w:start w:val="1"/>
      <w:numFmt w:val="bullet"/>
      <w:lvlText w:val=""/>
      <w:lvlJc w:val="left"/>
      <w:pPr>
        <w:tabs>
          <w:tab w:val="num" w:pos="5749"/>
        </w:tabs>
        <w:ind w:left="5749" w:hanging="360"/>
      </w:pPr>
      <w:rPr>
        <w:rFonts w:ascii="Symbol" w:hAnsi="Symbol" w:hint="default"/>
      </w:rPr>
    </w:lvl>
    <w:lvl w:ilvl="7" w:tplc="040C0003">
      <w:start w:val="1"/>
      <w:numFmt w:val="bullet"/>
      <w:lvlText w:val="o"/>
      <w:lvlJc w:val="left"/>
      <w:pPr>
        <w:tabs>
          <w:tab w:val="num" w:pos="6469"/>
        </w:tabs>
        <w:ind w:left="6469" w:hanging="360"/>
      </w:pPr>
      <w:rPr>
        <w:rFonts w:ascii="Courier New" w:hAnsi="Courier New" w:hint="default"/>
      </w:rPr>
    </w:lvl>
    <w:lvl w:ilvl="8" w:tplc="040C0005">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start w:val="1"/>
      <w:numFmt w:val="lowerLetter"/>
      <w:lvlText w:val="%2."/>
      <w:lvlJc w:val="left"/>
      <w:pPr>
        <w:tabs>
          <w:tab w:val="num" w:pos="2880"/>
        </w:tabs>
        <w:ind w:left="2880" w:hanging="360"/>
      </w:pPr>
      <w:rPr>
        <w:rFonts w:cs="Times New Roman"/>
      </w:rPr>
    </w:lvl>
    <w:lvl w:ilvl="2" w:tplc="040C001B">
      <w:start w:val="1"/>
      <w:numFmt w:val="lowerRoman"/>
      <w:lvlText w:val="%3."/>
      <w:lvlJc w:val="right"/>
      <w:pPr>
        <w:tabs>
          <w:tab w:val="num" w:pos="3600"/>
        </w:tabs>
        <w:ind w:left="3600" w:hanging="180"/>
      </w:pPr>
      <w:rPr>
        <w:rFonts w:cs="Times New Roman"/>
      </w:rPr>
    </w:lvl>
    <w:lvl w:ilvl="3" w:tplc="040C000F">
      <w:start w:val="1"/>
      <w:numFmt w:val="decimal"/>
      <w:lvlText w:val="%4."/>
      <w:lvlJc w:val="left"/>
      <w:pPr>
        <w:tabs>
          <w:tab w:val="num" w:pos="4320"/>
        </w:tabs>
        <w:ind w:left="4320" w:hanging="360"/>
      </w:pPr>
      <w:rPr>
        <w:rFonts w:cs="Times New Roman"/>
      </w:rPr>
    </w:lvl>
    <w:lvl w:ilvl="4" w:tplc="040C0019">
      <w:start w:val="1"/>
      <w:numFmt w:val="lowerLetter"/>
      <w:lvlText w:val="%5."/>
      <w:lvlJc w:val="left"/>
      <w:pPr>
        <w:tabs>
          <w:tab w:val="num" w:pos="5040"/>
        </w:tabs>
        <w:ind w:left="5040" w:hanging="360"/>
      </w:pPr>
      <w:rPr>
        <w:rFonts w:cs="Times New Roman"/>
      </w:rPr>
    </w:lvl>
    <w:lvl w:ilvl="5" w:tplc="040C001B">
      <w:start w:val="1"/>
      <w:numFmt w:val="lowerRoman"/>
      <w:lvlText w:val="%6."/>
      <w:lvlJc w:val="right"/>
      <w:pPr>
        <w:tabs>
          <w:tab w:val="num" w:pos="5760"/>
        </w:tabs>
        <w:ind w:left="5760" w:hanging="180"/>
      </w:pPr>
      <w:rPr>
        <w:rFonts w:cs="Times New Roman"/>
      </w:rPr>
    </w:lvl>
    <w:lvl w:ilvl="6" w:tplc="040C000F">
      <w:start w:val="1"/>
      <w:numFmt w:val="decimal"/>
      <w:lvlText w:val="%7."/>
      <w:lvlJc w:val="left"/>
      <w:pPr>
        <w:tabs>
          <w:tab w:val="num" w:pos="6480"/>
        </w:tabs>
        <w:ind w:left="6480" w:hanging="360"/>
      </w:pPr>
      <w:rPr>
        <w:rFonts w:cs="Times New Roman"/>
      </w:rPr>
    </w:lvl>
    <w:lvl w:ilvl="7" w:tplc="040C0019">
      <w:start w:val="1"/>
      <w:numFmt w:val="lowerLetter"/>
      <w:lvlText w:val="%8."/>
      <w:lvlJc w:val="left"/>
      <w:pPr>
        <w:tabs>
          <w:tab w:val="num" w:pos="7200"/>
        </w:tabs>
        <w:ind w:left="7200" w:hanging="360"/>
      </w:pPr>
      <w:rPr>
        <w:rFonts w:cs="Times New Roman"/>
      </w:rPr>
    </w:lvl>
    <w:lvl w:ilvl="8" w:tplc="040C001B">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start w:val="1"/>
      <w:numFmt w:val="bullet"/>
      <w:lvlText w:val="o"/>
      <w:lvlJc w:val="left"/>
      <w:pPr>
        <w:tabs>
          <w:tab w:val="num" w:pos="4275"/>
        </w:tabs>
        <w:ind w:left="4275" w:hanging="360"/>
      </w:pPr>
      <w:rPr>
        <w:rFonts w:ascii="Courier New" w:hAnsi="Courier New" w:hint="default"/>
      </w:rPr>
    </w:lvl>
    <w:lvl w:ilvl="2" w:tplc="040C0005">
      <w:start w:val="1"/>
      <w:numFmt w:val="bullet"/>
      <w:lvlText w:val=""/>
      <w:lvlJc w:val="left"/>
      <w:pPr>
        <w:tabs>
          <w:tab w:val="num" w:pos="4995"/>
        </w:tabs>
        <w:ind w:left="4995" w:hanging="360"/>
      </w:pPr>
      <w:rPr>
        <w:rFonts w:ascii="Wingdings" w:hAnsi="Wingdings" w:hint="default"/>
      </w:rPr>
    </w:lvl>
    <w:lvl w:ilvl="3" w:tplc="040C0001">
      <w:start w:val="1"/>
      <w:numFmt w:val="bullet"/>
      <w:lvlText w:val=""/>
      <w:lvlJc w:val="left"/>
      <w:pPr>
        <w:tabs>
          <w:tab w:val="num" w:pos="5715"/>
        </w:tabs>
        <w:ind w:left="5715" w:hanging="360"/>
      </w:pPr>
      <w:rPr>
        <w:rFonts w:ascii="Symbol" w:hAnsi="Symbol" w:hint="default"/>
      </w:rPr>
    </w:lvl>
    <w:lvl w:ilvl="4" w:tplc="040C0003">
      <w:start w:val="1"/>
      <w:numFmt w:val="bullet"/>
      <w:lvlText w:val="o"/>
      <w:lvlJc w:val="left"/>
      <w:pPr>
        <w:tabs>
          <w:tab w:val="num" w:pos="6435"/>
        </w:tabs>
        <w:ind w:left="6435" w:hanging="360"/>
      </w:pPr>
      <w:rPr>
        <w:rFonts w:ascii="Courier New" w:hAnsi="Courier New" w:hint="default"/>
      </w:rPr>
    </w:lvl>
    <w:lvl w:ilvl="5" w:tplc="040C0005">
      <w:start w:val="1"/>
      <w:numFmt w:val="bullet"/>
      <w:lvlText w:val=""/>
      <w:lvlJc w:val="left"/>
      <w:pPr>
        <w:tabs>
          <w:tab w:val="num" w:pos="7155"/>
        </w:tabs>
        <w:ind w:left="7155" w:hanging="360"/>
      </w:pPr>
      <w:rPr>
        <w:rFonts w:ascii="Wingdings" w:hAnsi="Wingdings" w:hint="default"/>
      </w:rPr>
    </w:lvl>
    <w:lvl w:ilvl="6" w:tplc="040C0001">
      <w:start w:val="1"/>
      <w:numFmt w:val="bullet"/>
      <w:lvlText w:val=""/>
      <w:lvlJc w:val="left"/>
      <w:pPr>
        <w:tabs>
          <w:tab w:val="num" w:pos="7875"/>
        </w:tabs>
        <w:ind w:left="7875" w:hanging="360"/>
      </w:pPr>
      <w:rPr>
        <w:rFonts w:ascii="Symbol" w:hAnsi="Symbol" w:hint="default"/>
      </w:rPr>
    </w:lvl>
    <w:lvl w:ilvl="7" w:tplc="040C0003">
      <w:start w:val="1"/>
      <w:numFmt w:val="bullet"/>
      <w:lvlText w:val="o"/>
      <w:lvlJc w:val="left"/>
      <w:pPr>
        <w:tabs>
          <w:tab w:val="num" w:pos="8595"/>
        </w:tabs>
        <w:ind w:left="8595" w:hanging="360"/>
      </w:pPr>
      <w:rPr>
        <w:rFonts w:ascii="Courier New" w:hAnsi="Courier New" w:hint="default"/>
      </w:rPr>
    </w:lvl>
    <w:lvl w:ilvl="8" w:tplc="040C0005">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start w:val="1"/>
      <w:numFmt w:val="bullet"/>
      <w:lvlText w:val="o"/>
      <w:lvlJc w:val="left"/>
      <w:pPr>
        <w:tabs>
          <w:tab w:val="num" w:pos="3949"/>
        </w:tabs>
        <w:ind w:left="3949" w:hanging="360"/>
      </w:pPr>
      <w:rPr>
        <w:rFonts w:ascii="Courier New" w:hAnsi="Courier New" w:hint="default"/>
      </w:rPr>
    </w:lvl>
    <w:lvl w:ilvl="5" w:tplc="040C0005">
      <w:start w:val="1"/>
      <w:numFmt w:val="bullet"/>
      <w:lvlText w:val=""/>
      <w:lvlJc w:val="left"/>
      <w:pPr>
        <w:tabs>
          <w:tab w:val="num" w:pos="4669"/>
        </w:tabs>
        <w:ind w:left="4669" w:hanging="360"/>
      </w:pPr>
      <w:rPr>
        <w:rFonts w:ascii="Wingdings" w:hAnsi="Wingdings" w:hint="default"/>
      </w:rPr>
    </w:lvl>
    <w:lvl w:ilvl="6" w:tplc="040C0001">
      <w:start w:val="1"/>
      <w:numFmt w:val="bullet"/>
      <w:lvlText w:val=""/>
      <w:lvlJc w:val="left"/>
      <w:pPr>
        <w:tabs>
          <w:tab w:val="num" w:pos="5389"/>
        </w:tabs>
        <w:ind w:left="5389" w:hanging="360"/>
      </w:pPr>
      <w:rPr>
        <w:rFonts w:ascii="Symbol" w:hAnsi="Symbol" w:hint="default"/>
      </w:rPr>
    </w:lvl>
    <w:lvl w:ilvl="7" w:tplc="040C0003">
      <w:start w:val="1"/>
      <w:numFmt w:val="bullet"/>
      <w:lvlText w:val="o"/>
      <w:lvlJc w:val="left"/>
      <w:pPr>
        <w:tabs>
          <w:tab w:val="num" w:pos="6109"/>
        </w:tabs>
        <w:ind w:left="6109" w:hanging="360"/>
      </w:pPr>
      <w:rPr>
        <w:rFonts w:ascii="Courier New" w:hAnsi="Courier New" w:hint="default"/>
      </w:rPr>
    </w:lvl>
    <w:lvl w:ilvl="8" w:tplc="040C0005">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start w:val="1"/>
      <w:numFmt w:val="bullet"/>
      <w:lvlText w:val="o"/>
      <w:lvlJc w:val="left"/>
      <w:pPr>
        <w:tabs>
          <w:tab w:val="num" w:pos="6075"/>
        </w:tabs>
        <w:ind w:left="6075" w:hanging="360"/>
      </w:pPr>
      <w:rPr>
        <w:rFonts w:ascii="Courier New" w:hAnsi="Courier New" w:hint="default"/>
      </w:rPr>
    </w:lvl>
    <w:lvl w:ilvl="5" w:tplc="040C0005">
      <w:start w:val="1"/>
      <w:numFmt w:val="bullet"/>
      <w:lvlText w:val=""/>
      <w:lvlJc w:val="left"/>
      <w:pPr>
        <w:tabs>
          <w:tab w:val="num" w:pos="6795"/>
        </w:tabs>
        <w:ind w:left="6795" w:hanging="360"/>
      </w:pPr>
      <w:rPr>
        <w:rFonts w:ascii="Wingdings" w:hAnsi="Wingdings" w:hint="default"/>
      </w:rPr>
    </w:lvl>
    <w:lvl w:ilvl="6" w:tplc="040C0001">
      <w:start w:val="1"/>
      <w:numFmt w:val="bullet"/>
      <w:lvlText w:val=""/>
      <w:lvlJc w:val="left"/>
      <w:pPr>
        <w:tabs>
          <w:tab w:val="num" w:pos="7515"/>
        </w:tabs>
        <w:ind w:left="7515" w:hanging="360"/>
      </w:pPr>
      <w:rPr>
        <w:rFonts w:ascii="Symbol" w:hAnsi="Symbol" w:hint="default"/>
      </w:rPr>
    </w:lvl>
    <w:lvl w:ilvl="7" w:tplc="040C0003">
      <w:start w:val="1"/>
      <w:numFmt w:val="bullet"/>
      <w:lvlText w:val="o"/>
      <w:lvlJc w:val="left"/>
      <w:pPr>
        <w:tabs>
          <w:tab w:val="num" w:pos="8235"/>
        </w:tabs>
        <w:ind w:left="8235" w:hanging="360"/>
      </w:pPr>
      <w:rPr>
        <w:rFonts w:ascii="Courier New" w:hAnsi="Courier New" w:hint="default"/>
      </w:rPr>
    </w:lvl>
    <w:lvl w:ilvl="8" w:tplc="040C0005">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start w:val="1"/>
      <w:numFmt w:val="bullet"/>
      <w:lvlText w:val=""/>
      <w:lvlJc w:val="left"/>
      <w:pPr>
        <w:tabs>
          <w:tab w:val="num" w:pos="3960"/>
        </w:tabs>
        <w:ind w:left="3960" w:hanging="360"/>
      </w:pPr>
      <w:rPr>
        <w:rFonts w:ascii="Symbol" w:hAnsi="Symbol" w:hint="default"/>
      </w:rPr>
    </w:lvl>
    <w:lvl w:ilvl="4" w:tplc="040C0003">
      <w:start w:val="1"/>
      <w:numFmt w:val="bullet"/>
      <w:lvlText w:val="o"/>
      <w:lvlJc w:val="left"/>
      <w:pPr>
        <w:tabs>
          <w:tab w:val="num" w:pos="4680"/>
        </w:tabs>
        <w:ind w:left="4680" w:hanging="360"/>
      </w:pPr>
      <w:rPr>
        <w:rFonts w:ascii="Courier New" w:hAnsi="Courier New" w:hint="default"/>
      </w:rPr>
    </w:lvl>
    <w:lvl w:ilvl="5" w:tplc="040C0005">
      <w:start w:val="1"/>
      <w:numFmt w:val="bullet"/>
      <w:lvlText w:val=""/>
      <w:lvlJc w:val="left"/>
      <w:pPr>
        <w:tabs>
          <w:tab w:val="num" w:pos="5400"/>
        </w:tabs>
        <w:ind w:left="5400" w:hanging="360"/>
      </w:pPr>
      <w:rPr>
        <w:rFonts w:ascii="Wingdings" w:hAnsi="Wingdings" w:hint="default"/>
      </w:rPr>
    </w:lvl>
    <w:lvl w:ilvl="6" w:tplc="040C0001">
      <w:start w:val="1"/>
      <w:numFmt w:val="bullet"/>
      <w:lvlText w:val=""/>
      <w:lvlJc w:val="left"/>
      <w:pPr>
        <w:tabs>
          <w:tab w:val="num" w:pos="6120"/>
        </w:tabs>
        <w:ind w:left="6120" w:hanging="360"/>
      </w:pPr>
      <w:rPr>
        <w:rFonts w:ascii="Symbol" w:hAnsi="Symbol" w:hint="default"/>
      </w:rPr>
    </w:lvl>
    <w:lvl w:ilvl="7" w:tplc="040C0003">
      <w:start w:val="1"/>
      <w:numFmt w:val="bullet"/>
      <w:lvlText w:val="o"/>
      <w:lvlJc w:val="left"/>
      <w:pPr>
        <w:tabs>
          <w:tab w:val="num" w:pos="6840"/>
        </w:tabs>
        <w:ind w:left="6840" w:hanging="360"/>
      </w:pPr>
      <w:rPr>
        <w:rFonts w:ascii="Courier New" w:hAnsi="Courier New" w:hint="default"/>
      </w:rPr>
    </w:lvl>
    <w:lvl w:ilvl="8" w:tplc="040C0005">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start w:val="1"/>
      <w:numFmt w:val="bullet"/>
      <w:lvlText w:val="o"/>
      <w:lvlJc w:val="left"/>
      <w:pPr>
        <w:tabs>
          <w:tab w:val="num" w:pos="6075"/>
        </w:tabs>
        <w:ind w:left="6075" w:hanging="360"/>
      </w:pPr>
      <w:rPr>
        <w:rFonts w:ascii="Courier New" w:hAnsi="Courier New" w:hint="default"/>
      </w:rPr>
    </w:lvl>
    <w:lvl w:ilvl="5" w:tplc="040C0005">
      <w:start w:val="1"/>
      <w:numFmt w:val="bullet"/>
      <w:lvlText w:val=""/>
      <w:lvlJc w:val="left"/>
      <w:pPr>
        <w:tabs>
          <w:tab w:val="num" w:pos="6795"/>
        </w:tabs>
        <w:ind w:left="6795" w:hanging="360"/>
      </w:pPr>
      <w:rPr>
        <w:rFonts w:ascii="Wingdings" w:hAnsi="Wingdings" w:hint="default"/>
      </w:rPr>
    </w:lvl>
    <w:lvl w:ilvl="6" w:tplc="040C0001">
      <w:start w:val="1"/>
      <w:numFmt w:val="bullet"/>
      <w:lvlText w:val=""/>
      <w:lvlJc w:val="left"/>
      <w:pPr>
        <w:tabs>
          <w:tab w:val="num" w:pos="7515"/>
        </w:tabs>
        <w:ind w:left="7515" w:hanging="360"/>
      </w:pPr>
      <w:rPr>
        <w:rFonts w:ascii="Symbol" w:hAnsi="Symbol" w:hint="default"/>
      </w:rPr>
    </w:lvl>
    <w:lvl w:ilvl="7" w:tplc="040C0003">
      <w:start w:val="1"/>
      <w:numFmt w:val="bullet"/>
      <w:lvlText w:val="o"/>
      <w:lvlJc w:val="left"/>
      <w:pPr>
        <w:tabs>
          <w:tab w:val="num" w:pos="8235"/>
        </w:tabs>
        <w:ind w:left="8235" w:hanging="360"/>
      </w:pPr>
      <w:rPr>
        <w:rFonts w:ascii="Courier New" w:hAnsi="Courier New" w:hint="default"/>
      </w:rPr>
    </w:lvl>
    <w:lvl w:ilvl="8" w:tplc="040C0005">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377BA"/>
    <w:rsid w:val="000434DD"/>
    <w:rsid w:val="00051744"/>
    <w:rsid w:val="00052A8C"/>
    <w:rsid w:val="00061809"/>
    <w:rsid w:val="00067294"/>
    <w:rsid w:val="00071B4F"/>
    <w:rsid w:val="00085EB0"/>
    <w:rsid w:val="000B1355"/>
    <w:rsid w:val="000D3643"/>
    <w:rsid w:val="000E5AD4"/>
    <w:rsid w:val="000F79D0"/>
    <w:rsid w:val="001036A6"/>
    <w:rsid w:val="00114645"/>
    <w:rsid w:val="00125075"/>
    <w:rsid w:val="00126E76"/>
    <w:rsid w:val="001279DA"/>
    <w:rsid w:val="00146BF4"/>
    <w:rsid w:val="00171F87"/>
    <w:rsid w:val="001807C8"/>
    <w:rsid w:val="0018757B"/>
    <w:rsid w:val="00196C08"/>
    <w:rsid w:val="001A17F7"/>
    <w:rsid w:val="001A5310"/>
    <w:rsid w:val="001D3C77"/>
    <w:rsid w:val="001E37A4"/>
    <w:rsid w:val="001E5A3D"/>
    <w:rsid w:val="001E6C9F"/>
    <w:rsid w:val="00205475"/>
    <w:rsid w:val="00210678"/>
    <w:rsid w:val="0021293D"/>
    <w:rsid w:val="00222599"/>
    <w:rsid w:val="00245D17"/>
    <w:rsid w:val="0024676F"/>
    <w:rsid w:val="00267E79"/>
    <w:rsid w:val="00277770"/>
    <w:rsid w:val="0028187F"/>
    <w:rsid w:val="00285908"/>
    <w:rsid w:val="00290972"/>
    <w:rsid w:val="00294E2E"/>
    <w:rsid w:val="002C75D7"/>
    <w:rsid w:val="002D4E1A"/>
    <w:rsid w:val="002E3128"/>
    <w:rsid w:val="002F0052"/>
    <w:rsid w:val="002F5398"/>
    <w:rsid w:val="003042E6"/>
    <w:rsid w:val="00322D9C"/>
    <w:rsid w:val="00324068"/>
    <w:rsid w:val="00330198"/>
    <w:rsid w:val="0034238B"/>
    <w:rsid w:val="003515AF"/>
    <w:rsid w:val="0035401D"/>
    <w:rsid w:val="003574AB"/>
    <w:rsid w:val="003624EC"/>
    <w:rsid w:val="0036320E"/>
    <w:rsid w:val="0036369F"/>
    <w:rsid w:val="00371872"/>
    <w:rsid w:val="00384D45"/>
    <w:rsid w:val="00387124"/>
    <w:rsid w:val="0039241F"/>
    <w:rsid w:val="0039367E"/>
    <w:rsid w:val="003960EC"/>
    <w:rsid w:val="003A3D37"/>
    <w:rsid w:val="003A7314"/>
    <w:rsid w:val="003B48E1"/>
    <w:rsid w:val="003E0F96"/>
    <w:rsid w:val="003E3592"/>
    <w:rsid w:val="003E4550"/>
    <w:rsid w:val="003F7EE5"/>
    <w:rsid w:val="00410939"/>
    <w:rsid w:val="00422310"/>
    <w:rsid w:val="004266BA"/>
    <w:rsid w:val="004302DA"/>
    <w:rsid w:val="00433BCE"/>
    <w:rsid w:val="0044236F"/>
    <w:rsid w:val="00442764"/>
    <w:rsid w:val="00466E92"/>
    <w:rsid w:val="004761E6"/>
    <w:rsid w:val="00476BE3"/>
    <w:rsid w:val="00477082"/>
    <w:rsid w:val="0048047C"/>
    <w:rsid w:val="004A3DE9"/>
    <w:rsid w:val="004A534F"/>
    <w:rsid w:val="004B0ADD"/>
    <w:rsid w:val="004B2E3F"/>
    <w:rsid w:val="004C3AB2"/>
    <w:rsid w:val="004E7A20"/>
    <w:rsid w:val="004F5EDC"/>
    <w:rsid w:val="005069FA"/>
    <w:rsid w:val="00507355"/>
    <w:rsid w:val="005164C7"/>
    <w:rsid w:val="005174CB"/>
    <w:rsid w:val="00532CD5"/>
    <w:rsid w:val="00575C50"/>
    <w:rsid w:val="005841FC"/>
    <w:rsid w:val="005A6770"/>
    <w:rsid w:val="005B7707"/>
    <w:rsid w:val="005C1A53"/>
    <w:rsid w:val="005C25AC"/>
    <w:rsid w:val="005C30D7"/>
    <w:rsid w:val="005C648F"/>
    <w:rsid w:val="005D3439"/>
    <w:rsid w:val="005D353C"/>
    <w:rsid w:val="005E0652"/>
    <w:rsid w:val="005F1FD8"/>
    <w:rsid w:val="0060660D"/>
    <w:rsid w:val="00621D3A"/>
    <w:rsid w:val="00624C22"/>
    <w:rsid w:val="00626233"/>
    <w:rsid w:val="00626BB7"/>
    <w:rsid w:val="006359DE"/>
    <w:rsid w:val="00635BAE"/>
    <w:rsid w:val="006366F0"/>
    <w:rsid w:val="00660133"/>
    <w:rsid w:val="00666690"/>
    <w:rsid w:val="006768E5"/>
    <w:rsid w:val="00681F73"/>
    <w:rsid w:val="0068378D"/>
    <w:rsid w:val="0069044F"/>
    <w:rsid w:val="006A0CD3"/>
    <w:rsid w:val="006B2C66"/>
    <w:rsid w:val="006B49E7"/>
    <w:rsid w:val="006B64F2"/>
    <w:rsid w:val="006C0D71"/>
    <w:rsid w:val="006C6EBC"/>
    <w:rsid w:val="006E5E23"/>
    <w:rsid w:val="006F2EDD"/>
    <w:rsid w:val="006F7AB9"/>
    <w:rsid w:val="0070426B"/>
    <w:rsid w:val="0072249F"/>
    <w:rsid w:val="00732677"/>
    <w:rsid w:val="0074322F"/>
    <w:rsid w:val="00756167"/>
    <w:rsid w:val="007919F3"/>
    <w:rsid w:val="00793EAE"/>
    <w:rsid w:val="007B6EDE"/>
    <w:rsid w:val="007C6484"/>
    <w:rsid w:val="007D7A14"/>
    <w:rsid w:val="007E0166"/>
    <w:rsid w:val="007E7B8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A1A1A"/>
    <w:rsid w:val="008D62AD"/>
    <w:rsid w:val="008D7208"/>
    <w:rsid w:val="008D7CD7"/>
    <w:rsid w:val="008E49C2"/>
    <w:rsid w:val="008E4D36"/>
    <w:rsid w:val="008F00D3"/>
    <w:rsid w:val="009126C5"/>
    <w:rsid w:val="00923AAA"/>
    <w:rsid w:val="009336D3"/>
    <w:rsid w:val="009339C7"/>
    <w:rsid w:val="00947C81"/>
    <w:rsid w:val="009843F2"/>
    <w:rsid w:val="00995FF9"/>
    <w:rsid w:val="009B2B47"/>
    <w:rsid w:val="009B3858"/>
    <w:rsid w:val="009C3959"/>
    <w:rsid w:val="009C4289"/>
    <w:rsid w:val="009E6704"/>
    <w:rsid w:val="009F6F91"/>
    <w:rsid w:val="009F71A9"/>
    <w:rsid w:val="00A136B1"/>
    <w:rsid w:val="00A24AB0"/>
    <w:rsid w:val="00A27A51"/>
    <w:rsid w:val="00A45CFD"/>
    <w:rsid w:val="00A52FEF"/>
    <w:rsid w:val="00A6055F"/>
    <w:rsid w:val="00A61508"/>
    <w:rsid w:val="00A80C0C"/>
    <w:rsid w:val="00AA297E"/>
    <w:rsid w:val="00AA599C"/>
    <w:rsid w:val="00AB5491"/>
    <w:rsid w:val="00AB5C5B"/>
    <w:rsid w:val="00AE6899"/>
    <w:rsid w:val="00B31021"/>
    <w:rsid w:val="00B45105"/>
    <w:rsid w:val="00B66558"/>
    <w:rsid w:val="00B71E65"/>
    <w:rsid w:val="00B93911"/>
    <w:rsid w:val="00BA671B"/>
    <w:rsid w:val="00BB28D9"/>
    <w:rsid w:val="00BC14AF"/>
    <w:rsid w:val="00BC1B0C"/>
    <w:rsid w:val="00BD0003"/>
    <w:rsid w:val="00BD2E1F"/>
    <w:rsid w:val="00BE4AD4"/>
    <w:rsid w:val="00BE57F7"/>
    <w:rsid w:val="00BF669A"/>
    <w:rsid w:val="00BF7B0F"/>
    <w:rsid w:val="00C01BA2"/>
    <w:rsid w:val="00C41763"/>
    <w:rsid w:val="00C50A94"/>
    <w:rsid w:val="00C770DC"/>
    <w:rsid w:val="00C94ECC"/>
    <w:rsid w:val="00CD1803"/>
    <w:rsid w:val="00CE2B48"/>
    <w:rsid w:val="00D2649B"/>
    <w:rsid w:val="00D6296A"/>
    <w:rsid w:val="00D70AB8"/>
    <w:rsid w:val="00D70D1A"/>
    <w:rsid w:val="00D70E86"/>
    <w:rsid w:val="00D72927"/>
    <w:rsid w:val="00D93348"/>
    <w:rsid w:val="00D957B6"/>
    <w:rsid w:val="00DA697D"/>
    <w:rsid w:val="00DD0C26"/>
    <w:rsid w:val="00DE2E5B"/>
    <w:rsid w:val="00DE4654"/>
    <w:rsid w:val="00E00357"/>
    <w:rsid w:val="00E03DDC"/>
    <w:rsid w:val="00E1046F"/>
    <w:rsid w:val="00E106D5"/>
    <w:rsid w:val="00E13131"/>
    <w:rsid w:val="00E32A2C"/>
    <w:rsid w:val="00E36A8A"/>
    <w:rsid w:val="00E5698E"/>
    <w:rsid w:val="00E6128F"/>
    <w:rsid w:val="00E657C4"/>
    <w:rsid w:val="00E66ABD"/>
    <w:rsid w:val="00E823A2"/>
    <w:rsid w:val="00E832BF"/>
    <w:rsid w:val="00E85525"/>
    <w:rsid w:val="00E96403"/>
    <w:rsid w:val="00E96F77"/>
    <w:rsid w:val="00EA2401"/>
    <w:rsid w:val="00EA280B"/>
    <w:rsid w:val="00EA5AF7"/>
    <w:rsid w:val="00ED219A"/>
    <w:rsid w:val="00EE7567"/>
    <w:rsid w:val="00F07123"/>
    <w:rsid w:val="00F10E6F"/>
    <w:rsid w:val="00F1533A"/>
    <w:rsid w:val="00F31B7A"/>
    <w:rsid w:val="00F32F21"/>
    <w:rsid w:val="00F34802"/>
    <w:rsid w:val="00F511CA"/>
    <w:rsid w:val="00F51CA9"/>
    <w:rsid w:val="00F749E3"/>
    <w:rsid w:val="00F80AE6"/>
    <w:rsid w:val="00F86EA4"/>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599"/>
    <w:rPr>
      <w:sz w:val="20"/>
      <w:szCs w:val="20"/>
    </w:rPr>
  </w:style>
  <w:style w:type="paragraph" w:styleId="Heading1">
    <w:name w:val="heading 1"/>
    <w:basedOn w:val="Normal"/>
    <w:next w:val="Normal"/>
    <w:link w:val="Heading1Char"/>
    <w:uiPriority w:val="99"/>
    <w:qFormat/>
    <w:rsid w:val="00222599"/>
    <w:pPr>
      <w:spacing w:before="240"/>
      <w:outlineLvl w:val="0"/>
    </w:pPr>
    <w:rPr>
      <w:b/>
      <w:bCs/>
      <w:sz w:val="24"/>
      <w:szCs w:val="24"/>
      <w:u w:val="single"/>
    </w:rPr>
  </w:style>
  <w:style w:type="paragraph" w:styleId="Heading2">
    <w:name w:val="heading 2"/>
    <w:basedOn w:val="Normal"/>
    <w:next w:val="Normal"/>
    <w:link w:val="Heading2Char"/>
    <w:uiPriority w:val="99"/>
    <w:qFormat/>
    <w:rsid w:val="00222599"/>
    <w:pPr>
      <w:spacing w:before="120"/>
      <w:outlineLvl w:val="1"/>
    </w:pPr>
    <w:rPr>
      <w:b/>
      <w:bCs/>
      <w:sz w:val="24"/>
      <w:szCs w:val="24"/>
    </w:rPr>
  </w:style>
  <w:style w:type="paragraph" w:styleId="Heading3">
    <w:name w:val="heading 3"/>
    <w:basedOn w:val="Normal"/>
    <w:next w:val="NormalIndent"/>
    <w:link w:val="Heading3Char"/>
    <w:uiPriority w:val="99"/>
    <w:qFormat/>
    <w:rsid w:val="0022259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222599"/>
    <w:pPr>
      <w:ind w:left="708"/>
    </w:pPr>
  </w:style>
  <w:style w:type="paragraph" w:styleId="Header">
    <w:name w:val="header"/>
    <w:basedOn w:val="Normal"/>
    <w:link w:val="HeaderChar"/>
    <w:uiPriority w:val="99"/>
    <w:rsid w:val="0022259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222599"/>
    <w:rPr>
      <w:b/>
      <w:bCs/>
      <w:caps/>
      <w:sz w:val="24"/>
      <w:szCs w:val="24"/>
    </w:rPr>
  </w:style>
  <w:style w:type="paragraph" w:customStyle="1" w:styleId="OR">
    <w:name w:val="OR"/>
    <w:basedOn w:val="ET"/>
    <w:uiPriority w:val="99"/>
    <w:rsid w:val="00222599"/>
    <w:pPr>
      <w:ind w:left="5670"/>
    </w:pPr>
    <w:rPr>
      <w:b w:val="0"/>
      <w:bCs w:val="0"/>
      <w:caps w:val="0"/>
    </w:rPr>
  </w:style>
  <w:style w:type="paragraph" w:customStyle="1" w:styleId="TI">
    <w:name w:val="TI"/>
    <w:basedOn w:val="OR"/>
    <w:uiPriority w:val="99"/>
    <w:rsid w:val="00222599"/>
    <w:pPr>
      <w:ind w:left="1701"/>
      <w:jc w:val="center"/>
    </w:pPr>
    <w:rPr>
      <w:caps/>
      <w:u w:val="single"/>
    </w:rPr>
  </w:style>
  <w:style w:type="paragraph" w:customStyle="1" w:styleId="P0">
    <w:name w:val="P0"/>
    <w:basedOn w:val="ET"/>
    <w:link w:val="P0Car"/>
    <w:uiPriority w:val="99"/>
    <w:rsid w:val="00222599"/>
    <w:pPr>
      <w:ind w:left="1701"/>
      <w:jc w:val="both"/>
    </w:pPr>
    <w:rPr>
      <w:b w:val="0"/>
      <w:bCs w:val="0"/>
      <w:caps w:val="0"/>
    </w:rPr>
  </w:style>
  <w:style w:type="paragraph" w:customStyle="1" w:styleId="EL">
    <w:name w:val="EL"/>
    <w:basedOn w:val="P0"/>
    <w:uiPriority w:val="99"/>
    <w:rsid w:val="00222599"/>
    <w:pPr>
      <w:spacing w:after="240"/>
      <w:ind w:firstLine="1418"/>
    </w:pPr>
  </w:style>
  <w:style w:type="paragraph" w:customStyle="1" w:styleId="IN">
    <w:name w:val="IN"/>
    <w:basedOn w:val="P0"/>
    <w:link w:val="INCar"/>
    <w:uiPriority w:val="99"/>
    <w:rsid w:val="00222599"/>
    <w:pPr>
      <w:ind w:left="0"/>
      <w:jc w:val="left"/>
    </w:pPr>
    <w:rPr>
      <w:i/>
      <w:iCs/>
      <w:sz w:val="16"/>
      <w:szCs w:val="16"/>
    </w:rPr>
  </w:style>
  <w:style w:type="paragraph" w:customStyle="1" w:styleId="RE">
    <w:name w:val="RE"/>
    <w:basedOn w:val="P0"/>
    <w:uiPriority w:val="99"/>
    <w:rsid w:val="00222599"/>
    <w:pPr>
      <w:ind w:left="0"/>
    </w:pPr>
  </w:style>
  <w:style w:type="paragraph" w:customStyle="1" w:styleId="PE">
    <w:name w:val="PE"/>
    <w:basedOn w:val="IN"/>
    <w:uiPriority w:val="99"/>
    <w:rsid w:val="00222599"/>
    <w:pPr>
      <w:keepNext/>
      <w:ind w:left="1701"/>
      <w:jc w:val="both"/>
    </w:pPr>
    <w:rPr>
      <w:i w:val="0"/>
      <w:iCs w:val="0"/>
      <w:sz w:val="24"/>
      <w:szCs w:val="24"/>
    </w:rPr>
  </w:style>
  <w:style w:type="paragraph" w:customStyle="1" w:styleId="PC">
    <w:name w:val="PC"/>
    <w:basedOn w:val="IN"/>
    <w:uiPriority w:val="99"/>
    <w:rsid w:val="00222599"/>
    <w:pPr>
      <w:spacing w:after="480"/>
      <w:ind w:left="2268" w:firstLine="1134"/>
      <w:jc w:val="both"/>
    </w:pPr>
    <w:rPr>
      <w:i w:val="0"/>
      <w:iCs w:val="0"/>
      <w:sz w:val="24"/>
      <w:szCs w:val="24"/>
    </w:rPr>
  </w:style>
  <w:style w:type="paragraph" w:customStyle="1" w:styleId="PS">
    <w:name w:val="PS"/>
    <w:basedOn w:val="IN"/>
    <w:link w:val="PSCar"/>
    <w:uiPriority w:val="99"/>
    <w:rsid w:val="00222599"/>
    <w:pPr>
      <w:spacing w:after="480"/>
      <w:ind w:left="1701" w:firstLine="1134"/>
      <w:jc w:val="both"/>
    </w:pPr>
    <w:rPr>
      <w:i w:val="0"/>
      <w:iCs w:val="0"/>
      <w:sz w:val="24"/>
      <w:szCs w:val="24"/>
    </w:rPr>
  </w:style>
  <w:style w:type="paragraph" w:customStyle="1" w:styleId="AR">
    <w:name w:val="AR"/>
    <w:basedOn w:val="IN"/>
    <w:uiPriority w:val="99"/>
    <w:rsid w:val="002225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29538897">
      <w:marLeft w:val="0"/>
      <w:marRight w:val="0"/>
      <w:marTop w:val="0"/>
      <w:marBottom w:val="0"/>
      <w:divBdr>
        <w:top w:val="none" w:sz="0" w:space="0" w:color="auto"/>
        <w:left w:val="none" w:sz="0" w:space="0" w:color="auto"/>
        <w:bottom w:val="none" w:sz="0" w:space="0" w:color="auto"/>
        <w:right w:val="none" w:sz="0" w:space="0" w:color="auto"/>
      </w:divBdr>
    </w:div>
    <w:div w:id="529538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5</Pages>
  <Words>1198</Words>
  <Characters>6594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2008-07-11T13:37:00Z</cp:lastPrinted>
  <dcterms:created xsi:type="dcterms:W3CDTF">2008-09-04T12:50:00Z</dcterms:created>
  <dcterms:modified xsi:type="dcterms:W3CDTF">2008-09-10T11:56:00Z</dcterms:modified>
</cp:coreProperties>
</file>