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57" w:type="dxa"/>
        <w:tblInd w:w="-214" w:type="dxa"/>
        <w:tblLayout w:type="fixed"/>
        <w:tblCellMar>
          <w:left w:w="70" w:type="dxa"/>
          <w:right w:w="70" w:type="dxa"/>
        </w:tblCellMar>
        <w:tblLook w:val="0000"/>
      </w:tblPr>
      <w:tblGrid>
        <w:gridCol w:w="3119"/>
        <w:gridCol w:w="567"/>
        <w:gridCol w:w="7371"/>
      </w:tblGrid>
      <w:tr w:rsidR="006E38AF">
        <w:tblPrEx>
          <w:tblCellMar>
            <w:top w:w="0" w:type="dxa"/>
            <w:bottom w:w="0" w:type="dxa"/>
          </w:tblCellMar>
        </w:tblPrEx>
        <w:tc>
          <w:tcPr>
            <w:tcW w:w="3119" w:type="dxa"/>
          </w:tcPr>
          <w:p w:rsidR="006E38AF" w:rsidRDefault="006E38AF" w:rsidP="00395E65">
            <w:pPr>
              <w:pStyle w:val="ET"/>
            </w:pPr>
            <w:r>
              <w:t>Cour des comptes</w:t>
            </w:r>
          </w:p>
        </w:tc>
        <w:tc>
          <w:tcPr>
            <w:tcW w:w="567" w:type="dxa"/>
          </w:tcPr>
          <w:p w:rsidR="006E38AF" w:rsidRDefault="006E38AF" w:rsidP="00395E65">
            <w:pPr>
              <w:pStyle w:val="ET"/>
            </w:pPr>
          </w:p>
        </w:tc>
        <w:tc>
          <w:tcPr>
            <w:tcW w:w="7371" w:type="dxa"/>
          </w:tcPr>
          <w:p w:rsidR="006E38AF" w:rsidRDefault="006E38AF" w:rsidP="00395E65">
            <w:pPr>
              <w:pStyle w:val="ET"/>
            </w:pPr>
          </w:p>
        </w:tc>
      </w:tr>
      <w:tr w:rsidR="006E38AF">
        <w:tblPrEx>
          <w:tblCellMar>
            <w:top w:w="0" w:type="dxa"/>
            <w:bottom w:w="0" w:type="dxa"/>
          </w:tblCellMar>
        </w:tblPrEx>
        <w:tc>
          <w:tcPr>
            <w:tcW w:w="3119" w:type="dxa"/>
          </w:tcPr>
          <w:p w:rsidR="006E38AF" w:rsidRDefault="006E38AF" w:rsidP="00395E65">
            <w:pPr>
              <w:pStyle w:val="ET"/>
            </w:pPr>
            <w:r>
              <w:t>           ---------</w:t>
            </w:r>
          </w:p>
        </w:tc>
        <w:tc>
          <w:tcPr>
            <w:tcW w:w="567" w:type="dxa"/>
          </w:tcPr>
          <w:p w:rsidR="006E38AF" w:rsidRDefault="006E38AF" w:rsidP="00395E65">
            <w:pPr>
              <w:pStyle w:val="ET"/>
            </w:pPr>
          </w:p>
        </w:tc>
        <w:tc>
          <w:tcPr>
            <w:tcW w:w="7371" w:type="dxa"/>
          </w:tcPr>
          <w:p w:rsidR="006E38AF" w:rsidRDefault="006E38AF" w:rsidP="00395E65">
            <w:pPr>
              <w:pStyle w:val="ET"/>
            </w:pPr>
          </w:p>
        </w:tc>
      </w:tr>
      <w:tr w:rsidR="006E38AF">
        <w:tblPrEx>
          <w:tblCellMar>
            <w:top w:w="0" w:type="dxa"/>
            <w:bottom w:w="0" w:type="dxa"/>
          </w:tblCellMar>
        </w:tblPrEx>
        <w:tc>
          <w:tcPr>
            <w:tcW w:w="3119" w:type="dxa"/>
          </w:tcPr>
          <w:p w:rsidR="006E38AF" w:rsidRDefault="006E38AF" w:rsidP="00395E65">
            <w:pPr>
              <w:pStyle w:val="ET"/>
            </w:pPr>
            <w:r>
              <w:t>Première chambre</w:t>
            </w:r>
          </w:p>
        </w:tc>
        <w:tc>
          <w:tcPr>
            <w:tcW w:w="567" w:type="dxa"/>
          </w:tcPr>
          <w:p w:rsidR="006E38AF" w:rsidRDefault="006E38AF" w:rsidP="00395E65">
            <w:pPr>
              <w:pStyle w:val="ET"/>
            </w:pPr>
          </w:p>
        </w:tc>
        <w:tc>
          <w:tcPr>
            <w:tcW w:w="7371" w:type="dxa"/>
          </w:tcPr>
          <w:p w:rsidR="006E38AF" w:rsidRDefault="006E38AF" w:rsidP="00395E65">
            <w:pPr>
              <w:pStyle w:val="ET"/>
            </w:pPr>
          </w:p>
        </w:tc>
      </w:tr>
      <w:tr w:rsidR="006E38AF">
        <w:tblPrEx>
          <w:tblCellMar>
            <w:top w:w="0" w:type="dxa"/>
            <w:bottom w:w="0" w:type="dxa"/>
          </w:tblCellMar>
        </w:tblPrEx>
        <w:tc>
          <w:tcPr>
            <w:tcW w:w="3119" w:type="dxa"/>
          </w:tcPr>
          <w:p w:rsidR="006E38AF" w:rsidRDefault="006E38AF" w:rsidP="00395E65">
            <w:pPr>
              <w:pStyle w:val="ET"/>
            </w:pPr>
            <w:r>
              <w:t>           ---------</w:t>
            </w:r>
          </w:p>
        </w:tc>
        <w:tc>
          <w:tcPr>
            <w:tcW w:w="567" w:type="dxa"/>
          </w:tcPr>
          <w:p w:rsidR="006E38AF" w:rsidRDefault="006E38AF" w:rsidP="00395E65">
            <w:pPr>
              <w:pStyle w:val="ET"/>
            </w:pPr>
          </w:p>
        </w:tc>
        <w:tc>
          <w:tcPr>
            <w:tcW w:w="7371" w:type="dxa"/>
          </w:tcPr>
          <w:p w:rsidR="006E38AF" w:rsidRDefault="006E38AF" w:rsidP="00395E65">
            <w:pPr>
              <w:pStyle w:val="ET"/>
            </w:pPr>
          </w:p>
        </w:tc>
      </w:tr>
      <w:tr w:rsidR="006E38AF">
        <w:tblPrEx>
          <w:tblCellMar>
            <w:top w:w="0" w:type="dxa"/>
            <w:bottom w:w="0" w:type="dxa"/>
          </w:tblCellMar>
        </w:tblPrEx>
        <w:tc>
          <w:tcPr>
            <w:tcW w:w="3119" w:type="dxa"/>
          </w:tcPr>
          <w:p w:rsidR="006E38AF" w:rsidRDefault="006E38AF" w:rsidP="00395E65">
            <w:pPr>
              <w:pStyle w:val="ET"/>
            </w:pPr>
            <w:r>
              <w:t xml:space="preserve">Première section </w:t>
            </w:r>
          </w:p>
        </w:tc>
        <w:tc>
          <w:tcPr>
            <w:tcW w:w="567" w:type="dxa"/>
          </w:tcPr>
          <w:p w:rsidR="006E38AF" w:rsidRDefault="006E38AF" w:rsidP="00395E65">
            <w:pPr>
              <w:pStyle w:val="ET"/>
            </w:pPr>
          </w:p>
        </w:tc>
        <w:tc>
          <w:tcPr>
            <w:tcW w:w="7371" w:type="dxa"/>
          </w:tcPr>
          <w:p w:rsidR="006E38AF" w:rsidRDefault="006E38AF" w:rsidP="00395E65">
            <w:pPr>
              <w:pStyle w:val="ET"/>
            </w:pPr>
          </w:p>
        </w:tc>
      </w:tr>
      <w:tr w:rsidR="006E38AF">
        <w:tblPrEx>
          <w:tblCellMar>
            <w:top w:w="0" w:type="dxa"/>
            <w:bottom w:w="0" w:type="dxa"/>
          </w:tblCellMar>
        </w:tblPrEx>
        <w:tc>
          <w:tcPr>
            <w:tcW w:w="3119" w:type="dxa"/>
          </w:tcPr>
          <w:p w:rsidR="006E38AF" w:rsidRDefault="006E38AF" w:rsidP="00395E65">
            <w:pPr>
              <w:pStyle w:val="ET"/>
            </w:pPr>
            <w:r>
              <w:t>           ---------</w:t>
            </w:r>
          </w:p>
        </w:tc>
        <w:tc>
          <w:tcPr>
            <w:tcW w:w="567" w:type="dxa"/>
          </w:tcPr>
          <w:p w:rsidR="006E38AF" w:rsidRDefault="006E38AF" w:rsidP="00395E65">
            <w:pPr>
              <w:pStyle w:val="ET"/>
            </w:pPr>
          </w:p>
        </w:tc>
        <w:tc>
          <w:tcPr>
            <w:tcW w:w="7371" w:type="dxa"/>
          </w:tcPr>
          <w:p w:rsidR="006E38AF" w:rsidRDefault="006E38AF" w:rsidP="00395E65">
            <w:pPr>
              <w:pStyle w:val="ET"/>
            </w:pPr>
          </w:p>
        </w:tc>
      </w:tr>
      <w:tr w:rsidR="006E38AF">
        <w:tblPrEx>
          <w:tblCellMar>
            <w:top w:w="0" w:type="dxa"/>
            <w:bottom w:w="0" w:type="dxa"/>
          </w:tblCellMar>
        </w:tblPrEx>
        <w:tc>
          <w:tcPr>
            <w:tcW w:w="3119" w:type="dxa"/>
          </w:tcPr>
          <w:p w:rsidR="006E38AF" w:rsidRDefault="006E38AF">
            <w:pPr>
              <w:pStyle w:val="BodyText"/>
              <w:spacing w:before="60" w:after="60"/>
              <w:rPr>
                <w:b w:val="0"/>
                <w:smallCaps w:val="0"/>
                <w:sz w:val="24"/>
                <w:szCs w:val="24"/>
              </w:rPr>
            </w:pPr>
          </w:p>
          <w:p w:rsidR="006E38AF" w:rsidRPr="00395E65" w:rsidRDefault="006E38AF" w:rsidP="00395E65">
            <w:pPr>
              <w:pStyle w:val="Header"/>
              <w:rPr>
                <w:b/>
                <w:bCs/>
                <w:i/>
                <w:iCs/>
              </w:rPr>
            </w:pPr>
            <w:r>
              <w:t xml:space="preserve">           </w:t>
            </w:r>
            <w:r w:rsidRPr="00395E65">
              <w:rPr>
                <w:b/>
                <w:bCs/>
                <w:i/>
                <w:iCs/>
              </w:rPr>
              <w:t>Arrêt n° 52791</w:t>
            </w:r>
          </w:p>
        </w:tc>
        <w:tc>
          <w:tcPr>
            <w:tcW w:w="567" w:type="dxa"/>
          </w:tcPr>
          <w:p w:rsidR="006E38AF" w:rsidRDefault="006E38AF">
            <w:pPr>
              <w:pStyle w:val="BodyText"/>
              <w:spacing w:before="60" w:after="60"/>
              <w:rPr>
                <w:b w:val="0"/>
                <w:smallCaps w:val="0"/>
                <w:sz w:val="24"/>
                <w:szCs w:val="24"/>
              </w:rPr>
            </w:pPr>
          </w:p>
        </w:tc>
        <w:tc>
          <w:tcPr>
            <w:tcW w:w="7371" w:type="dxa"/>
          </w:tcPr>
          <w:p w:rsidR="006E38AF" w:rsidRDefault="006E38AF">
            <w:pPr>
              <w:pStyle w:val="BodyText"/>
              <w:spacing w:before="60" w:after="60"/>
              <w:rPr>
                <w:b w:val="0"/>
                <w:smallCaps w:val="0"/>
                <w:sz w:val="24"/>
                <w:szCs w:val="24"/>
              </w:rPr>
            </w:pPr>
          </w:p>
        </w:tc>
      </w:tr>
      <w:tr w:rsidR="006E38AF">
        <w:tblPrEx>
          <w:tblCellMar>
            <w:top w:w="0" w:type="dxa"/>
            <w:bottom w:w="0" w:type="dxa"/>
          </w:tblCellMar>
        </w:tblPrEx>
        <w:tc>
          <w:tcPr>
            <w:tcW w:w="3119" w:type="dxa"/>
          </w:tcPr>
          <w:p w:rsidR="006E38AF" w:rsidRDefault="006E38AF">
            <w:pPr>
              <w:pStyle w:val="BodyText"/>
              <w:spacing w:before="60" w:after="60"/>
              <w:rPr>
                <w:b w:val="0"/>
                <w:smallCaps w:val="0"/>
                <w:sz w:val="24"/>
                <w:szCs w:val="24"/>
              </w:rPr>
            </w:pPr>
          </w:p>
        </w:tc>
        <w:tc>
          <w:tcPr>
            <w:tcW w:w="567" w:type="dxa"/>
          </w:tcPr>
          <w:p w:rsidR="006E38AF" w:rsidRDefault="006E38AF">
            <w:pPr>
              <w:pStyle w:val="BodyText"/>
              <w:spacing w:before="60" w:after="60"/>
              <w:rPr>
                <w:b w:val="0"/>
                <w:smallCaps w:val="0"/>
                <w:sz w:val="24"/>
                <w:szCs w:val="24"/>
              </w:rPr>
            </w:pPr>
          </w:p>
        </w:tc>
        <w:tc>
          <w:tcPr>
            <w:tcW w:w="7371" w:type="dxa"/>
          </w:tcPr>
          <w:p w:rsidR="006E38AF" w:rsidRDefault="006E38AF">
            <w:pPr>
              <w:pStyle w:val="BodyText"/>
              <w:spacing w:before="60" w:after="60"/>
              <w:rPr>
                <w:b w:val="0"/>
                <w:smallCaps w:val="0"/>
                <w:sz w:val="24"/>
                <w:szCs w:val="24"/>
              </w:rPr>
            </w:pPr>
          </w:p>
        </w:tc>
      </w:tr>
      <w:tr w:rsidR="006E38AF">
        <w:tblPrEx>
          <w:tblCellMar>
            <w:top w:w="0" w:type="dxa"/>
            <w:bottom w:w="0" w:type="dxa"/>
          </w:tblCellMar>
        </w:tblPrEx>
        <w:tc>
          <w:tcPr>
            <w:tcW w:w="3119" w:type="dxa"/>
          </w:tcPr>
          <w:p w:rsidR="006E38AF" w:rsidRDefault="006E38AF">
            <w:pPr>
              <w:pStyle w:val="BodyText"/>
              <w:spacing w:before="60" w:after="60"/>
              <w:rPr>
                <w:b w:val="0"/>
                <w:smallCaps w:val="0"/>
                <w:sz w:val="24"/>
                <w:szCs w:val="24"/>
              </w:rPr>
            </w:pPr>
          </w:p>
        </w:tc>
        <w:tc>
          <w:tcPr>
            <w:tcW w:w="567" w:type="dxa"/>
          </w:tcPr>
          <w:p w:rsidR="006E38AF" w:rsidRDefault="006E38AF">
            <w:pPr>
              <w:pStyle w:val="BodyText"/>
              <w:spacing w:before="60" w:after="60"/>
              <w:rPr>
                <w:b w:val="0"/>
                <w:smallCaps w:val="0"/>
                <w:sz w:val="24"/>
                <w:szCs w:val="24"/>
              </w:rPr>
            </w:pPr>
          </w:p>
        </w:tc>
        <w:tc>
          <w:tcPr>
            <w:tcW w:w="7371" w:type="dxa"/>
          </w:tcPr>
          <w:p w:rsidR="006E38AF" w:rsidRDefault="006E38AF" w:rsidP="00395E65">
            <w:pPr>
              <w:pStyle w:val="BodyText"/>
              <w:spacing w:before="60"/>
              <w:ind w:left="2058"/>
              <w:rPr>
                <w:b w:val="0"/>
                <w:smallCaps w:val="0"/>
                <w:sz w:val="24"/>
                <w:szCs w:val="24"/>
              </w:rPr>
            </w:pPr>
            <w:r>
              <w:rPr>
                <w:b w:val="0"/>
                <w:smallCaps w:val="0"/>
                <w:sz w:val="24"/>
                <w:szCs w:val="24"/>
              </w:rPr>
              <w:t>TRESORIER-PAYEUR GENERAL</w:t>
            </w:r>
          </w:p>
          <w:p w:rsidR="006E38AF" w:rsidRDefault="006E38AF" w:rsidP="005557BE">
            <w:pPr>
              <w:pStyle w:val="BodyText"/>
              <w:spacing w:before="60" w:after="120"/>
              <w:ind w:left="2058"/>
              <w:rPr>
                <w:b w:val="0"/>
                <w:smallCaps w:val="0"/>
                <w:sz w:val="24"/>
                <w:szCs w:val="24"/>
              </w:rPr>
            </w:pPr>
            <w:r>
              <w:rPr>
                <w:b w:val="0"/>
                <w:smallCaps w:val="0"/>
                <w:sz w:val="24"/>
                <w:szCs w:val="24"/>
              </w:rPr>
              <w:t>D’EURE-ET-LOIR</w:t>
            </w:r>
          </w:p>
        </w:tc>
      </w:tr>
      <w:tr w:rsidR="006E38AF">
        <w:tblPrEx>
          <w:tblCellMar>
            <w:top w:w="0" w:type="dxa"/>
            <w:bottom w:w="0" w:type="dxa"/>
          </w:tblCellMar>
        </w:tblPrEx>
        <w:tc>
          <w:tcPr>
            <w:tcW w:w="3119" w:type="dxa"/>
          </w:tcPr>
          <w:p w:rsidR="006E38AF" w:rsidRDefault="006E38AF">
            <w:pPr>
              <w:pStyle w:val="BodyText"/>
              <w:spacing w:before="60" w:after="60"/>
              <w:rPr>
                <w:b w:val="0"/>
                <w:smallCaps w:val="0"/>
                <w:sz w:val="24"/>
                <w:szCs w:val="24"/>
              </w:rPr>
            </w:pPr>
          </w:p>
        </w:tc>
        <w:tc>
          <w:tcPr>
            <w:tcW w:w="567" w:type="dxa"/>
          </w:tcPr>
          <w:p w:rsidR="006E38AF" w:rsidRDefault="006E38AF">
            <w:pPr>
              <w:pStyle w:val="BodyText"/>
              <w:spacing w:before="60" w:after="60"/>
              <w:rPr>
                <w:b w:val="0"/>
                <w:smallCaps w:val="0"/>
                <w:sz w:val="24"/>
                <w:szCs w:val="24"/>
              </w:rPr>
            </w:pPr>
          </w:p>
        </w:tc>
        <w:tc>
          <w:tcPr>
            <w:tcW w:w="7371" w:type="dxa"/>
          </w:tcPr>
          <w:p w:rsidR="006E38AF" w:rsidRDefault="006E38AF" w:rsidP="005557BE">
            <w:pPr>
              <w:pStyle w:val="BodyText"/>
              <w:spacing w:before="60" w:after="120"/>
              <w:ind w:left="2058"/>
              <w:rPr>
                <w:b w:val="0"/>
                <w:smallCaps w:val="0"/>
                <w:sz w:val="24"/>
                <w:szCs w:val="24"/>
              </w:rPr>
            </w:pPr>
            <w:r>
              <w:rPr>
                <w:b w:val="0"/>
                <w:smallCaps w:val="0"/>
                <w:sz w:val="24"/>
                <w:szCs w:val="24"/>
              </w:rPr>
              <w:t>Exercices 1996 et 2003 (suites)</w:t>
            </w:r>
          </w:p>
          <w:p w:rsidR="006E38AF" w:rsidRDefault="006E38AF" w:rsidP="005557BE">
            <w:pPr>
              <w:pStyle w:val="BodyText"/>
              <w:spacing w:before="60" w:after="120"/>
              <w:ind w:left="2058"/>
              <w:rPr>
                <w:b w:val="0"/>
                <w:smallCaps w:val="0"/>
                <w:sz w:val="24"/>
                <w:szCs w:val="24"/>
              </w:rPr>
            </w:pPr>
            <w:r>
              <w:rPr>
                <w:b w:val="0"/>
                <w:smallCaps w:val="0"/>
                <w:sz w:val="24"/>
                <w:szCs w:val="24"/>
              </w:rPr>
              <w:t>Exercices 1999 à 2004</w:t>
            </w:r>
          </w:p>
          <w:p w:rsidR="006E38AF" w:rsidRDefault="006E38AF" w:rsidP="005557BE">
            <w:pPr>
              <w:pStyle w:val="BodyText"/>
              <w:spacing w:before="60" w:after="120"/>
              <w:ind w:left="2058"/>
              <w:rPr>
                <w:b w:val="0"/>
                <w:smallCaps w:val="0"/>
                <w:sz w:val="24"/>
                <w:szCs w:val="24"/>
              </w:rPr>
            </w:pPr>
            <w:r>
              <w:rPr>
                <w:b w:val="0"/>
                <w:smallCaps w:val="0"/>
                <w:sz w:val="24"/>
                <w:szCs w:val="24"/>
              </w:rPr>
              <w:t>Rapport n° 2008-276-0</w:t>
            </w:r>
          </w:p>
          <w:p w:rsidR="006E38AF" w:rsidRDefault="006E38AF" w:rsidP="005557BE">
            <w:pPr>
              <w:pStyle w:val="BodyText"/>
              <w:spacing w:before="60" w:after="120"/>
              <w:ind w:left="2058"/>
              <w:rPr>
                <w:b w:val="0"/>
                <w:smallCaps w:val="0"/>
                <w:sz w:val="24"/>
                <w:szCs w:val="24"/>
              </w:rPr>
            </w:pPr>
            <w:r>
              <w:rPr>
                <w:b w:val="0"/>
                <w:smallCaps w:val="0"/>
                <w:sz w:val="24"/>
                <w:szCs w:val="24"/>
              </w:rPr>
              <w:t>Audience publique du 10 juin 2008</w:t>
            </w:r>
          </w:p>
        </w:tc>
      </w:tr>
      <w:tr w:rsidR="006E38AF">
        <w:tblPrEx>
          <w:tblCellMar>
            <w:top w:w="0" w:type="dxa"/>
            <w:bottom w:w="0" w:type="dxa"/>
          </w:tblCellMar>
        </w:tblPrEx>
        <w:tc>
          <w:tcPr>
            <w:tcW w:w="3119" w:type="dxa"/>
          </w:tcPr>
          <w:p w:rsidR="006E38AF" w:rsidRDefault="006E38AF">
            <w:pPr>
              <w:pStyle w:val="BodyText"/>
              <w:spacing w:before="60" w:after="60"/>
              <w:rPr>
                <w:b w:val="0"/>
                <w:smallCaps w:val="0"/>
                <w:sz w:val="24"/>
                <w:szCs w:val="24"/>
              </w:rPr>
            </w:pPr>
          </w:p>
        </w:tc>
        <w:tc>
          <w:tcPr>
            <w:tcW w:w="567" w:type="dxa"/>
          </w:tcPr>
          <w:p w:rsidR="006E38AF" w:rsidRDefault="006E38AF">
            <w:pPr>
              <w:pStyle w:val="BodyText"/>
              <w:spacing w:before="60" w:after="60"/>
              <w:rPr>
                <w:b w:val="0"/>
                <w:smallCaps w:val="0"/>
                <w:sz w:val="24"/>
                <w:szCs w:val="24"/>
              </w:rPr>
            </w:pPr>
          </w:p>
        </w:tc>
        <w:tc>
          <w:tcPr>
            <w:tcW w:w="7371" w:type="dxa"/>
          </w:tcPr>
          <w:p w:rsidR="006E38AF" w:rsidRDefault="006E38AF" w:rsidP="00AB0BC7">
            <w:pPr>
              <w:pStyle w:val="BodyText"/>
              <w:spacing w:before="60" w:after="360"/>
              <w:ind w:left="2058"/>
              <w:rPr>
                <w:b w:val="0"/>
                <w:smallCaps w:val="0"/>
                <w:sz w:val="24"/>
                <w:szCs w:val="24"/>
              </w:rPr>
            </w:pPr>
            <w:r>
              <w:rPr>
                <w:b w:val="0"/>
                <w:smallCaps w:val="0"/>
                <w:sz w:val="24"/>
                <w:szCs w:val="24"/>
              </w:rPr>
              <w:t>Lecture publique du 8 décembre 2008</w:t>
            </w:r>
          </w:p>
        </w:tc>
      </w:tr>
      <w:tr w:rsidR="006E38AF">
        <w:tblPrEx>
          <w:tblCellMar>
            <w:top w:w="0" w:type="dxa"/>
            <w:bottom w:w="0" w:type="dxa"/>
          </w:tblCellMar>
        </w:tblPrEx>
        <w:tc>
          <w:tcPr>
            <w:tcW w:w="3119" w:type="dxa"/>
          </w:tcPr>
          <w:p w:rsidR="006E38AF" w:rsidRDefault="006E38AF">
            <w:pPr>
              <w:pStyle w:val="BodyText"/>
              <w:spacing w:before="60" w:after="60"/>
              <w:rPr>
                <w:b w:val="0"/>
                <w:smallCaps w:val="0"/>
                <w:sz w:val="24"/>
                <w:szCs w:val="24"/>
              </w:rPr>
            </w:pPr>
          </w:p>
        </w:tc>
        <w:tc>
          <w:tcPr>
            <w:tcW w:w="567" w:type="dxa"/>
          </w:tcPr>
          <w:p w:rsidR="006E38AF" w:rsidRDefault="006E38AF">
            <w:pPr>
              <w:pStyle w:val="BodyText"/>
              <w:spacing w:before="60" w:after="60"/>
              <w:rPr>
                <w:b w:val="0"/>
                <w:smallCaps w:val="0"/>
                <w:sz w:val="24"/>
                <w:szCs w:val="24"/>
              </w:rPr>
            </w:pPr>
          </w:p>
        </w:tc>
        <w:tc>
          <w:tcPr>
            <w:tcW w:w="7371" w:type="dxa"/>
          </w:tcPr>
          <w:p w:rsidR="006E38AF" w:rsidRDefault="006E38AF" w:rsidP="00D644D3">
            <w:pPr>
              <w:pStyle w:val="P0"/>
              <w:ind w:left="-2054"/>
              <w:jc w:val="center"/>
            </w:pPr>
            <w:r>
              <w:t>REPUBLIQUE FRANCAISE</w:t>
            </w:r>
          </w:p>
          <w:p w:rsidR="006E38AF" w:rsidRDefault="006E38AF" w:rsidP="00D644D3">
            <w:pPr>
              <w:pStyle w:val="P0"/>
              <w:ind w:left="-2054"/>
              <w:jc w:val="center"/>
            </w:pPr>
          </w:p>
          <w:p w:rsidR="006E38AF" w:rsidRDefault="006E38AF" w:rsidP="00D644D3">
            <w:pPr>
              <w:pStyle w:val="P0"/>
              <w:ind w:left="-2054"/>
              <w:jc w:val="center"/>
            </w:pPr>
            <w:r>
              <w:t>AU NOM DU PEUPLE FRANÇAIS</w:t>
            </w:r>
          </w:p>
          <w:p w:rsidR="006E38AF" w:rsidRDefault="006E38AF" w:rsidP="00D644D3">
            <w:pPr>
              <w:pStyle w:val="P0"/>
              <w:ind w:left="-2054"/>
              <w:jc w:val="center"/>
            </w:pPr>
          </w:p>
          <w:p w:rsidR="006E38AF" w:rsidRDefault="006E38AF" w:rsidP="00D644D3">
            <w:pPr>
              <w:pStyle w:val="P0"/>
              <w:ind w:left="-2054"/>
              <w:jc w:val="center"/>
            </w:pPr>
            <w:r>
              <w:t>LA COUR DES COMPTES a rendu l’arrêt suivant :</w:t>
            </w:r>
          </w:p>
          <w:p w:rsidR="006E38AF" w:rsidRDefault="006E38AF">
            <w:pPr>
              <w:pStyle w:val="BodyText"/>
              <w:spacing w:before="60" w:after="60"/>
              <w:ind w:left="2057"/>
              <w:rPr>
                <w:b w:val="0"/>
                <w:smallCaps w:val="0"/>
                <w:sz w:val="24"/>
                <w:szCs w:val="24"/>
              </w:rPr>
            </w:pPr>
          </w:p>
        </w:tc>
      </w:tr>
    </w:tbl>
    <w:p w:rsidR="006E38AF" w:rsidRPr="00D03C55" w:rsidRDefault="006E38AF" w:rsidP="00395E65">
      <w:pPr>
        <w:pStyle w:val="ps0"/>
        <w:rPr>
          <w:rFonts w:ascii="Times New Roman" w:hAnsi="Times New Roman"/>
        </w:rPr>
      </w:pPr>
      <w:r w:rsidRPr="00D03C55">
        <w:rPr>
          <w:rFonts w:ascii="Times New Roman" w:hAnsi="Times New Roman"/>
        </w:rPr>
        <w:t>LA COUR,</w:t>
      </w:r>
    </w:p>
    <w:p w:rsidR="006E38AF" w:rsidRPr="00D03C55" w:rsidRDefault="006E38AF" w:rsidP="00395E65">
      <w:pPr>
        <w:pStyle w:val="ps0"/>
        <w:rPr>
          <w:rFonts w:ascii="Times New Roman" w:hAnsi="Times New Roman"/>
        </w:rPr>
      </w:pPr>
      <w:r w:rsidRPr="00D03C55">
        <w:rPr>
          <w:rFonts w:ascii="Times New Roman" w:hAnsi="Times New Roman"/>
        </w:rPr>
        <w:t xml:space="preserve">Vu l’arrêt définitif n° 47426 et l’arrêt provisoire n° 47427 en date du </w:t>
      </w:r>
      <w:r>
        <w:rPr>
          <w:rFonts w:ascii="Times New Roman" w:hAnsi="Times New Roman"/>
        </w:rPr>
        <w:t>29 novembre 2006</w:t>
      </w:r>
      <w:r w:rsidRPr="00D03C55">
        <w:rPr>
          <w:rFonts w:ascii="Times New Roman" w:hAnsi="Times New Roman"/>
        </w:rPr>
        <w:t xml:space="preserve"> par lesquels la Cour a statué sur les comptes rendus, pour les exercices 1995 à 1998 (suites) et 1999 à 2004 par MM. X, Y et Mme Z, trésoriers-payeurs généraux de l’Eure et Loir, en qualité de comptables du Trésor ;</w:t>
      </w:r>
    </w:p>
    <w:p w:rsidR="006E38AF" w:rsidRPr="00D03C55" w:rsidRDefault="006E38AF" w:rsidP="00395E65">
      <w:pPr>
        <w:pStyle w:val="ps0"/>
        <w:rPr>
          <w:rFonts w:ascii="Times New Roman" w:hAnsi="Times New Roman"/>
        </w:rPr>
      </w:pPr>
      <w:r w:rsidRPr="00D03C55">
        <w:rPr>
          <w:rFonts w:ascii="Times New Roman" w:hAnsi="Times New Roman"/>
        </w:rPr>
        <w:t>Vu les justifications produites en exécution de l’arrêt n° 47427 ;</w:t>
      </w:r>
    </w:p>
    <w:p w:rsidR="006E38AF" w:rsidRPr="00D03C55" w:rsidRDefault="006E38AF" w:rsidP="00395E65">
      <w:pPr>
        <w:pStyle w:val="ps0"/>
        <w:rPr>
          <w:rFonts w:ascii="Times New Roman" w:hAnsi="Times New Roman"/>
        </w:rPr>
      </w:pPr>
      <w:r w:rsidRPr="00D03C55">
        <w:rPr>
          <w:rFonts w:ascii="Times New Roman" w:hAnsi="Times New Roman"/>
        </w:rPr>
        <w:t>Vu la décision du ministre délégué au budget et à la réforme de l’Etat du 19 mai 2006 portant remise gracieuse du débet prononcé par l’arrêt n° 40945 ;</w:t>
      </w:r>
    </w:p>
    <w:p w:rsidR="006E38AF" w:rsidRPr="00D03C55" w:rsidRDefault="006E38AF" w:rsidP="00395E65">
      <w:pPr>
        <w:pStyle w:val="ps0"/>
        <w:rPr>
          <w:rFonts w:ascii="Times New Roman" w:hAnsi="Times New Roman"/>
        </w:rPr>
      </w:pPr>
      <w:r w:rsidRPr="00D03C55">
        <w:rPr>
          <w:rFonts w:ascii="Times New Roman" w:hAnsi="Times New Roman"/>
        </w:rPr>
        <w:t>Vu le code des juridictions financières ;</w:t>
      </w:r>
    </w:p>
    <w:p w:rsidR="006E38AF" w:rsidRPr="00D03C55" w:rsidRDefault="006E38AF" w:rsidP="0087570D">
      <w:pPr>
        <w:pStyle w:val="ps0"/>
        <w:rPr>
          <w:rFonts w:ascii="Times New Roman" w:hAnsi="Times New Roman"/>
        </w:rPr>
      </w:pPr>
      <w:r w:rsidRPr="00D03C55">
        <w:rPr>
          <w:rFonts w:ascii="Times New Roman" w:hAnsi="Times New Roman"/>
        </w:rPr>
        <w:t>Vu l’article 60 modifié de la loi de finances n° 63-156 du 23 février 1963 ;</w:t>
      </w:r>
    </w:p>
    <w:p w:rsidR="006E38AF" w:rsidRPr="00D03C55" w:rsidRDefault="006E38AF" w:rsidP="00395E65">
      <w:pPr>
        <w:pStyle w:val="P0"/>
        <w:ind w:left="567"/>
        <w:rPr>
          <w:sz w:val="16"/>
          <w:szCs w:val="16"/>
        </w:rPr>
      </w:pPr>
    </w:p>
    <w:p w:rsidR="006E38AF" w:rsidRPr="00D03C55" w:rsidRDefault="006E38AF" w:rsidP="00395E65">
      <w:pPr>
        <w:pStyle w:val="P0"/>
        <w:ind w:left="567"/>
        <w:rPr>
          <w:sz w:val="16"/>
          <w:szCs w:val="16"/>
        </w:rPr>
      </w:pPr>
      <w:r w:rsidRPr="00D03C55">
        <w:rPr>
          <w:sz w:val="16"/>
          <w:szCs w:val="16"/>
        </w:rPr>
        <w:t>MJ</w:t>
      </w:r>
    </w:p>
    <w:p w:rsidR="006E38AF" w:rsidRPr="00D03C55" w:rsidRDefault="006E38AF">
      <w:pPr>
        <w:pStyle w:val="P0"/>
        <w:sectPr w:rsidR="006E38AF" w:rsidRPr="00D03C55">
          <w:pgSz w:w="11907" w:h="16840"/>
          <w:pgMar w:top="1134" w:right="1134" w:bottom="1134" w:left="567" w:header="720" w:footer="720" w:gutter="0"/>
          <w:cols w:space="720"/>
        </w:sectPr>
      </w:pPr>
    </w:p>
    <w:p w:rsidR="006E38AF" w:rsidRPr="00D03C55" w:rsidRDefault="006E38AF" w:rsidP="00BF6D8F">
      <w:pPr>
        <w:pStyle w:val="ps0"/>
        <w:rPr>
          <w:rFonts w:ascii="Times New Roman" w:hAnsi="Times New Roman"/>
        </w:rPr>
      </w:pPr>
      <w:r w:rsidRPr="00D03C55">
        <w:rPr>
          <w:rFonts w:ascii="Times New Roman" w:hAnsi="Times New Roman"/>
        </w:rPr>
        <w:t>Vu les lois et règlements applicables à la comptabilité des comptables du Trésor, notamment l’ordonnance organique n° 59-2 du 2 janvier 1959 portant loi organique relative aux lois de finances, le décret n° 62-1587 du 29 décembre 1962 portant règlement général sur la comptabilité publique, les articles 2247 et 2248 de l’instruction générale du 20 juin 1859 sur le service et la comptabilité des receveurs généraux et particuliers des finances et l’instruction n° 87-128 PR du 29 octobre 1987 sur la comptabilité de l’Etat ;</w:t>
      </w:r>
    </w:p>
    <w:p w:rsidR="006E38AF" w:rsidRPr="00D03C55" w:rsidRDefault="006E38AF" w:rsidP="00BC0188">
      <w:pPr>
        <w:pStyle w:val="ps0"/>
        <w:rPr>
          <w:rFonts w:ascii="Times New Roman" w:hAnsi="Times New Roman"/>
        </w:rPr>
      </w:pPr>
      <w:r w:rsidRPr="00D03C55">
        <w:rPr>
          <w:rFonts w:ascii="Times New Roman" w:hAnsi="Times New Roman"/>
        </w:rPr>
        <w:t>Vu les lois de finances des exercices 1999 à 2004 ;</w:t>
      </w:r>
    </w:p>
    <w:p w:rsidR="006E38AF" w:rsidRPr="00D03C55" w:rsidRDefault="006E38AF" w:rsidP="00BC0188">
      <w:pPr>
        <w:pStyle w:val="ps0"/>
        <w:rPr>
          <w:rFonts w:ascii="Times New Roman" w:hAnsi="Times New Roman"/>
        </w:rPr>
      </w:pPr>
      <w:r w:rsidRPr="00D03C55">
        <w:rPr>
          <w:rFonts w:ascii="Times New Roman" w:hAnsi="Times New Roman"/>
        </w:rPr>
        <w:t xml:space="preserve">Vu l’arrêté </w:t>
      </w:r>
      <w:r>
        <w:rPr>
          <w:rFonts w:ascii="Times New Roman" w:hAnsi="Times New Roman"/>
        </w:rPr>
        <w:t xml:space="preserve">modifié </w:t>
      </w:r>
      <w:r w:rsidRPr="00D03C55">
        <w:rPr>
          <w:rFonts w:ascii="Times New Roman" w:hAnsi="Times New Roman"/>
        </w:rPr>
        <w:t>n° 06-346 du premier président de la Cour des comptes du 10 octobre 2006 portant création et fixant la composition des sections au sein de la Première chambre ;</w:t>
      </w:r>
    </w:p>
    <w:p w:rsidR="006E38AF" w:rsidRPr="00D03C55" w:rsidRDefault="006E38AF" w:rsidP="00BC0188">
      <w:pPr>
        <w:pStyle w:val="ps0"/>
        <w:rPr>
          <w:rFonts w:ascii="Times New Roman" w:hAnsi="Times New Roman"/>
        </w:rPr>
      </w:pPr>
      <w:r w:rsidRPr="00D03C55">
        <w:rPr>
          <w:rFonts w:ascii="Times New Roman" w:hAnsi="Times New Roman"/>
        </w:rPr>
        <w:t>Sur le rapport de M. Lair, conseiller maître ;</w:t>
      </w:r>
    </w:p>
    <w:p w:rsidR="006E38AF" w:rsidRPr="00D03C55" w:rsidRDefault="006E38AF" w:rsidP="00E035F5">
      <w:pPr>
        <w:pStyle w:val="ps0"/>
        <w:rPr>
          <w:rFonts w:ascii="Times New Roman" w:hAnsi="Times New Roman"/>
        </w:rPr>
      </w:pPr>
      <w:r w:rsidRPr="00D03C55">
        <w:rPr>
          <w:rFonts w:ascii="Times New Roman" w:hAnsi="Times New Roman"/>
        </w:rPr>
        <w:t>Vu les conclusions n° 254 du 10 avril 2008 du procureur général de la République ;</w:t>
      </w:r>
    </w:p>
    <w:p w:rsidR="006E38AF" w:rsidRPr="00D03C55" w:rsidRDefault="006E38AF" w:rsidP="00BC0188">
      <w:pPr>
        <w:pStyle w:val="ps0"/>
        <w:rPr>
          <w:rFonts w:ascii="Times New Roman" w:hAnsi="Times New Roman"/>
        </w:rPr>
      </w:pPr>
      <w:r w:rsidRPr="00D03C55">
        <w:rPr>
          <w:rFonts w:ascii="Times New Roman" w:hAnsi="Times New Roman"/>
        </w:rPr>
        <w:t>Ayant délibéré hors la présence du rapporteur et après avoir entendu Mme Moati, conseillère maître, en ses observations ;</w:t>
      </w:r>
    </w:p>
    <w:p w:rsidR="006E38AF" w:rsidRPr="00D03C55" w:rsidRDefault="006E38AF" w:rsidP="00BC0188">
      <w:pPr>
        <w:pStyle w:val="ps0"/>
        <w:ind w:firstLine="0"/>
        <w:jc w:val="center"/>
        <w:rPr>
          <w:rFonts w:ascii="Times New Roman" w:hAnsi="Times New Roman"/>
          <w:bCs/>
        </w:rPr>
      </w:pPr>
      <w:r w:rsidRPr="00D03C55">
        <w:rPr>
          <w:rFonts w:ascii="Times New Roman" w:hAnsi="Times New Roman"/>
          <w:bCs/>
        </w:rPr>
        <w:t>STATUANT DEFINITIVEMENT,</w:t>
      </w:r>
    </w:p>
    <w:p w:rsidR="006E38AF" w:rsidRPr="00D03C55" w:rsidRDefault="006E38AF" w:rsidP="00BC0188">
      <w:pPr>
        <w:pStyle w:val="ps0"/>
        <w:ind w:firstLine="0"/>
        <w:jc w:val="center"/>
        <w:rPr>
          <w:rFonts w:ascii="Times New Roman" w:hAnsi="Times New Roman"/>
        </w:rPr>
      </w:pPr>
      <w:r w:rsidRPr="00D03C55">
        <w:rPr>
          <w:rFonts w:ascii="Times New Roman" w:hAnsi="Times New Roman"/>
        </w:rPr>
        <w:t>ORDONNE :</w:t>
      </w:r>
    </w:p>
    <w:p w:rsidR="006E38AF" w:rsidRPr="00D03C55" w:rsidRDefault="006E38AF" w:rsidP="006B326D">
      <w:pPr>
        <w:pStyle w:val="ps0"/>
        <w:spacing w:after="240"/>
        <w:rPr>
          <w:rFonts w:ascii="Times New Roman" w:hAnsi="Times New Roman"/>
          <w:b/>
        </w:rPr>
      </w:pPr>
      <w:r w:rsidRPr="00D03C55">
        <w:rPr>
          <w:rFonts w:ascii="Times New Roman" w:hAnsi="Times New Roman"/>
          <w:b/>
        </w:rPr>
        <w:t>I - A l'égard de M. X</w:t>
      </w:r>
    </w:p>
    <w:p w:rsidR="006E38AF" w:rsidRPr="00D03C55" w:rsidRDefault="006E38AF" w:rsidP="00BC0188">
      <w:pPr>
        <w:pStyle w:val="ps0"/>
        <w:rPr>
          <w:rFonts w:ascii="Times New Roman" w:hAnsi="Times New Roman"/>
          <w:b/>
          <w:u w:val="single"/>
        </w:rPr>
      </w:pPr>
      <w:r w:rsidRPr="00D03C55">
        <w:rPr>
          <w:rFonts w:ascii="Times New Roman" w:hAnsi="Times New Roman"/>
          <w:b/>
          <w:u w:val="single"/>
        </w:rPr>
        <w:t>Décharge et quitus</w:t>
      </w:r>
    </w:p>
    <w:p w:rsidR="006E38AF" w:rsidRPr="00D03C55" w:rsidRDefault="006E38AF" w:rsidP="00BC0188">
      <w:pPr>
        <w:pStyle w:val="ps0"/>
        <w:rPr>
          <w:rFonts w:ascii="Times New Roman" w:hAnsi="Times New Roman"/>
        </w:rPr>
      </w:pPr>
      <w:r w:rsidRPr="00D03C55">
        <w:rPr>
          <w:rFonts w:ascii="Times New Roman" w:hAnsi="Times New Roman"/>
        </w:rPr>
        <w:t>Attendu que, par l’arrêt n° 40945, la Cour a constitué M. X, débiteur envers l’Etat de la somme de 49 247,28 € au titre de l’exercice 1996 ;</w:t>
      </w:r>
    </w:p>
    <w:p w:rsidR="006E38AF" w:rsidRPr="00D03C55" w:rsidRDefault="006E38AF" w:rsidP="00BC0188">
      <w:pPr>
        <w:pStyle w:val="ps0"/>
        <w:rPr>
          <w:rFonts w:ascii="Times New Roman" w:hAnsi="Times New Roman"/>
        </w:rPr>
      </w:pPr>
      <w:r w:rsidRPr="00D03C55">
        <w:rPr>
          <w:rFonts w:ascii="Times New Roman" w:hAnsi="Times New Roman"/>
        </w:rPr>
        <w:t>Attendu que, par décision du ministre délégué au budget et à la réforme de l’Etat du 19 mai 2006, il a été fait remise gracieuse en principal et intérêts du débet mentionné ci-dessus ;</w:t>
      </w:r>
    </w:p>
    <w:p w:rsidR="006E38AF" w:rsidRPr="00D03C55" w:rsidRDefault="006E38AF" w:rsidP="00BC0188">
      <w:pPr>
        <w:pStyle w:val="ps0"/>
        <w:numPr>
          <w:numberingChange w:id="0" w:author="smoati" w:date="2008-08-26T11:35:00Z" w:original="-"/>
        </w:numPr>
        <w:rPr>
          <w:rFonts w:ascii="Times New Roman" w:hAnsi="Times New Roman"/>
        </w:rPr>
      </w:pPr>
      <w:r w:rsidRPr="00D03C55">
        <w:rPr>
          <w:rFonts w:ascii="Times New Roman" w:hAnsi="Times New Roman"/>
        </w:rPr>
        <w:t>- le débet est apuré.</w:t>
      </w:r>
    </w:p>
    <w:p w:rsidR="006E38AF" w:rsidRPr="00D03C55" w:rsidRDefault="006E38AF" w:rsidP="00BC0188">
      <w:pPr>
        <w:pStyle w:val="ps0"/>
        <w:rPr>
          <w:rFonts w:ascii="Times New Roman" w:hAnsi="Times New Roman"/>
        </w:rPr>
      </w:pPr>
      <w:r w:rsidRPr="00D03C55">
        <w:rPr>
          <w:rFonts w:ascii="Times New Roman" w:hAnsi="Times New Roman"/>
        </w:rPr>
        <w:t>Attendu qu’après l’apurement du débet susmentionné, aucune charge ne subsiste à l’encontre de M. X au titre de sa gestion 1996 ;</w:t>
      </w:r>
    </w:p>
    <w:p w:rsidR="006E38AF" w:rsidRPr="00D03C55" w:rsidRDefault="006E38AF" w:rsidP="00BC0188">
      <w:pPr>
        <w:pStyle w:val="ps0"/>
        <w:rPr>
          <w:rFonts w:ascii="Times New Roman" w:hAnsi="Times New Roman"/>
        </w:rPr>
      </w:pPr>
      <w:r w:rsidRPr="00D03C55">
        <w:rPr>
          <w:rFonts w:ascii="Times New Roman" w:hAnsi="Times New Roman"/>
        </w:rPr>
        <w:t>Attendu que les différents soldes figurant dans la balance de clôture de l’exercice 1996 ont été exactement repris dans la balance d’entrée de l’exercice 1997 ;</w:t>
      </w:r>
    </w:p>
    <w:p w:rsidR="006E38AF" w:rsidRPr="00D03C55" w:rsidRDefault="006E38AF" w:rsidP="00BC0188">
      <w:pPr>
        <w:pStyle w:val="ps0"/>
        <w:rPr>
          <w:rFonts w:ascii="Times New Roman" w:hAnsi="Times New Roman"/>
        </w:rPr>
      </w:pPr>
      <w:r w:rsidRPr="00D03C55">
        <w:rPr>
          <w:rFonts w:ascii="Times New Roman" w:hAnsi="Times New Roman"/>
        </w:rPr>
        <w:t>- Les opérations de l’exercice 1996 sont admises.</w:t>
      </w:r>
    </w:p>
    <w:p w:rsidR="006E38AF" w:rsidRPr="00D03C55" w:rsidRDefault="006E38AF" w:rsidP="00BC0188">
      <w:pPr>
        <w:pStyle w:val="ps0"/>
        <w:rPr>
          <w:rFonts w:ascii="Times New Roman" w:hAnsi="Times New Roman"/>
        </w:rPr>
      </w:pPr>
      <w:r w:rsidRPr="00D03C55">
        <w:rPr>
          <w:rFonts w:ascii="Times New Roman" w:hAnsi="Times New Roman"/>
        </w:rPr>
        <w:t>- M. X est déchargé de sa gestion 1996.</w:t>
      </w:r>
    </w:p>
    <w:p w:rsidR="006E38AF" w:rsidRPr="00D03C55" w:rsidRDefault="006E38AF" w:rsidP="00BC0188">
      <w:pPr>
        <w:pStyle w:val="ps0"/>
        <w:rPr>
          <w:rFonts w:ascii="Times New Roman" w:hAnsi="Times New Roman"/>
        </w:rPr>
      </w:pPr>
      <w:r w:rsidRPr="00D03C55">
        <w:rPr>
          <w:rFonts w:ascii="Times New Roman" w:hAnsi="Times New Roman"/>
        </w:rPr>
        <w:t>En conséquence, M. X est déclaré quitte et libéré de sa gestion terminée le 31 août 1999.</w:t>
      </w:r>
    </w:p>
    <w:p w:rsidR="006E38AF" w:rsidRPr="00D03C55" w:rsidRDefault="006E38AF" w:rsidP="00BC0188">
      <w:pPr>
        <w:pStyle w:val="ps0"/>
        <w:rPr>
          <w:rFonts w:ascii="Times New Roman" w:hAnsi="Times New Roman"/>
        </w:rPr>
      </w:pPr>
      <w:r w:rsidRPr="00D03C55">
        <w:rPr>
          <w:rFonts w:ascii="Times New Roman" w:hAnsi="Times New Roman"/>
        </w:rPr>
        <w:t>Mainlevée peut être donnée et radiation peut être faite de toutes oppositions et inscriptions mises ou prises sur ses biens meubles et immeubles ou sur ceux de ses ayants cause pour sûreté desdites gestions et son cautionnement peut être restitué ou sa caution dégagée.</w:t>
      </w:r>
    </w:p>
    <w:p w:rsidR="006E38AF" w:rsidRPr="00D03C55" w:rsidRDefault="006E38AF" w:rsidP="00BC0188">
      <w:pPr>
        <w:pStyle w:val="ps0"/>
        <w:rPr>
          <w:rFonts w:ascii="Times New Roman" w:hAnsi="Times New Roman"/>
          <w:b/>
        </w:rPr>
      </w:pPr>
      <w:r w:rsidRPr="00D03C55">
        <w:rPr>
          <w:rFonts w:ascii="Times New Roman" w:hAnsi="Times New Roman"/>
          <w:b/>
        </w:rPr>
        <w:t>II - A l’égard de M. Y</w:t>
      </w:r>
    </w:p>
    <w:p w:rsidR="006E38AF" w:rsidRPr="00D03C55" w:rsidRDefault="006E38AF" w:rsidP="00BC0188">
      <w:pPr>
        <w:pStyle w:val="ps0"/>
        <w:spacing w:after="360"/>
        <w:rPr>
          <w:rFonts w:ascii="Times New Roman" w:hAnsi="Times New Roman"/>
          <w:b/>
          <w:u w:val="single"/>
        </w:rPr>
      </w:pPr>
      <w:r w:rsidRPr="00D03C55">
        <w:rPr>
          <w:rFonts w:ascii="Times New Roman" w:hAnsi="Times New Roman"/>
          <w:b/>
          <w:u w:val="single"/>
        </w:rPr>
        <w:t>Au titre de l’ exercice 2003</w:t>
      </w:r>
    </w:p>
    <w:p w:rsidR="006E38AF" w:rsidRPr="00D03C55" w:rsidRDefault="006E38AF" w:rsidP="00BC0188">
      <w:pPr>
        <w:pStyle w:val="ps0"/>
        <w:spacing w:after="360"/>
        <w:rPr>
          <w:rFonts w:ascii="Times New Roman" w:hAnsi="Times New Roman"/>
          <w:b/>
          <w:u w:val="single"/>
        </w:rPr>
      </w:pPr>
      <w:r w:rsidRPr="00D03C55">
        <w:rPr>
          <w:rFonts w:ascii="Times New Roman" w:hAnsi="Times New Roman"/>
          <w:b/>
          <w:u w:val="single"/>
        </w:rPr>
        <w:t>Constitution en débet</w:t>
      </w:r>
    </w:p>
    <w:p w:rsidR="006E38AF" w:rsidRPr="00D03C55" w:rsidRDefault="006E38AF" w:rsidP="006B326D">
      <w:pPr>
        <w:pStyle w:val="ps0"/>
        <w:rPr>
          <w:rFonts w:ascii="Times New Roman" w:hAnsi="Times New Roman"/>
        </w:rPr>
      </w:pPr>
      <w:r w:rsidRPr="00D03C55">
        <w:rPr>
          <w:rFonts w:ascii="Times New Roman" w:hAnsi="Times New Roman"/>
          <w:u w:val="single"/>
        </w:rPr>
        <w:t>Injonction n° 1 : Produits divers du budget – Titres émis par les tribunaux d’instance et de grande instance de Chartres au titre de l’aide juridictionnelle</w:t>
      </w:r>
    </w:p>
    <w:p w:rsidR="006E38AF" w:rsidRPr="00D03C55" w:rsidRDefault="006E38AF" w:rsidP="00E612C5">
      <w:pPr>
        <w:pStyle w:val="ps0"/>
        <w:rPr>
          <w:rFonts w:ascii="Times New Roman" w:hAnsi="Times New Roman"/>
        </w:rPr>
      </w:pPr>
      <w:r w:rsidRPr="00D03C55">
        <w:rPr>
          <w:rFonts w:ascii="Times New Roman" w:hAnsi="Times New Roman"/>
        </w:rPr>
        <w:t xml:space="preserve">Attendu que, par l’arrêt provisoire susvisé n° 47427 du </w:t>
      </w:r>
      <w:r>
        <w:rPr>
          <w:rFonts w:ascii="Times New Roman" w:hAnsi="Times New Roman"/>
        </w:rPr>
        <w:t>29 novembre 2006</w:t>
      </w:r>
      <w:r w:rsidRPr="00D03C55">
        <w:rPr>
          <w:rFonts w:ascii="Times New Roman" w:hAnsi="Times New Roman"/>
        </w:rPr>
        <w:t>, la Cour a enjoint à M. Y d’apporter la preuve du versement de la somme de 2 299,44 €, montant de huit titres émis au titre de l’aide juridictionnelle, non soldés, et qui avaient fait l’objet de réserves valides de la part de son successeur ;</w:t>
      </w:r>
    </w:p>
    <w:p w:rsidR="006E38AF" w:rsidRPr="00D03C55" w:rsidRDefault="006E38AF" w:rsidP="00C46353">
      <w:pPr>
        <w:pStyle w:val="ps0"/>
        <w:rPr>
          <w:rFonts w:ascii="Times New Roman" w:hAnsi="Times New Roman"/>
        </w:rPr>
      </w:pPr>
      <w:r w:rsidRPr="00D03C55">
        <w:rPr>
          <w:rFonts w:ascii="Times New Roman" w:hAnsi="Times New Roman"/>
        </w:rPr>
        <w:t>Attendu qu’en réponse à ladite injonction, le trésorier-payeur général a produit les justificatifs à décharge pour cinq titres ;</w:t>
      </w:r>
    </w:p>
    <w:p w:rsidR="006E38AF" w:rsidRPr="00D03C55" w:rsidRDefault="006E38AF" w:rsidP="00C46353">
      <w:pPr>
        <w:pStyle w:val="ps0"/>
        <w:rPr>
          <w:rFonts w:ascii="Times New Roman" w:hAnsi="Times New Roman"/>
        </w:rPr>
      </w:pPr>
      <w:r w:rsidRPr="00D03C55">
        <w:rPr>
          <w:rFonts w:ascii="Times New Roman" w:hAnsi="Times New Roman"/>
        </w:rPr>
        <w:t>Attendu que l’action en recouvrement du titre 960655/1996 émis à l’encontre de M. A Daniel pour un montant de 310,69 € a, faute de diligences, été prescrite le 28 novembre 2003 ;</w:t>
      </w:r>
    </w:p>
    <w:p w:rsidR="006E38AF" w:rsidRPr="00D03C55" w:rsidRDefault="006E38AF" w:rsidP="00C46353">
      <w:pPr>
        <w:pStyle w:val="ps0"/>
        <w:rPr>
          <w:rFonts w:ascii="Times New Roman" w:hAnsi="Times New Roman"/>
        </w:rPr>
      </w:pPr>
      <w:r w:rsidRPr="00D03C55">
        <w:rPr>
          <w:rFonts w:ascii="Times New Roman" w:hAnsi="Times New Roman"/>
        </w:rPr>
        <w:t>Attendu que l’action en recouvrement du titre 9403336/1996 émis à l’encontre de M. A Daniel pour un montant de 532,66 € a, faute de diligences, été prescrite le 30 août 2003 ;</w:t>
      </w:r>
    </w:p>
    <w:p w:rsidR="006E38AF" w:rsidRPr="00D03C55" w:rsidRDefault="006E38AF" w:rsidP="00C46353">
      <w:pPr>
        <w:pStyle w:val="ps0"/>
        <w:rPr>
          <w:rFonts w:ascii="Times New Roman" w:hAnsi="Times New Roman"/>
        </w:rPr>
      </w:pPr>
      <w:r w:rsidRPr="00D03C55">
        <w:rPr>
          <w:rFonts w:ascii="Times New Roman" w:hAnsi="Times New Roman"/>
        </w:rPr>
        <w:t>Attendu que l’action en recouvrement du titre 9701573/1998 émis à l’encontre de M. B Daniel pour un montant de 155,35 € a, faute de diligences, été prescrite le 26 octobre 2003 ;</w:t>
      </w:r>
    </w:p>
    <w:p w:rsidR="006E38AF" w:rsidRPr="00D03C55" w:rsidRDefault="006E38AF" w:rsidP="00C46353">
      <w:pPr>
        <w:pStyle w:val="ps0"/>
        <w:rPr>
          <w:rFonts w:ascii="Times New Roman" w:hAnsi="Times New Roman"/>
        </w:rPr>
      </w:pPr>
      <w:r w:rsidRPr="00D03C55">
        <w:rPr>
          <w:rFonts w:ascii="Times New Roman" w:hAnsi="Times New Roman"/>
        </w:rPr>
        <w:t>Considérant que la responsabilité du comptable qui a fait l’objet d’un premier acte de mise en jeu avant le 1</w:t>
      </w:r>
      <w:r w:rsidRPr="00D03C55">
        <w:rPr>
          <w:rFonts w:ascii="Times New Roman" w:hAnsi="Times New Roman"/>
          <w:vertAlign w:val="superscript"/>
        </w:rPr>
        <w:t>er </w:t>
      </w:r>
      <w:r w:rsidRPr="00D03C55">
        <w:rPr>
          <w:rFonts w:ascii="Times New Roman" w:hAnsi="Times New Roman"/>
        </w:rPr>
        <w:t>juillet 2007 est régie par les dispositions de l’article 60 modifié de la loi du 23 février 1963, dans sa version antérieure à celle résultant de l’article 146 de la loi de finances rectificative pour 2006 ; qu’aux termes de ces dispositions : « …Les comptables publics sont personnellement et pécuniairement responsables du recouvrement des recettes…(paragraphe I) …La responsabilité pécuniaire prévue ci-dessus se trouve engagée dès lors…qu’une recette n’a pas été recouvrée… (paragraphe IV)….la responsabilité pécuniaire d’un comptable public ne peut être mise en jeu que par le ministre dont il relève, le ministre de l’économie et des finances ou le juge des comptes (paragraphe V) … Le comptable public dont la responsabilité pécuniaire est engagée ou mise en jeu a l’obligation de verser immédiatement de ses deniers personnels une somme «égale… au montant de la perte de recette subie… (paragraphe VI). ... Le comptable public dont la responsabilité pécuniaire est engagée ou mise en jeu et qui n’a pas versé la somme prévue au paragraphe VI ci-dessus peut être constitué en débet … par arrêt du juge des comptes (paragraphe VII) » ;</w:t>
      </w:r>
    </w:p>
    <w:p w:rsidR="006E38AF" w:rsidRPr="00D03C55" w:rsidRDefault="006E38AF" w:rsidP="00EB49EB">
      <w:pPr>
        <w:pStyle w:val="ps0"/>
        <w:spacing w:after="360"/>
        <w:rPr>
          <w:rFonts w:ascii="Times New Roman" w:hAnsi="Times New Roman"/>
        </w:rPr>
      </w:pPr>
      <w:r w:rsidRPr="00D03C55">
        <w:rPr>
          <w:rFonts w:ascii="Times New Roman" w:hAnsi="Times New Roman"/>
        </w:rPr>
        <w:t>Considérant qu’aux termes du paragraphe VIII du même article 60 précité : « les débets portent intérêt au taux légal à compter de la date du fait générateur… » ; qu’en l’espèce l’extinction de la créance est l’évènement à l’origine de la mise en jeu de la responsabilité personnelle et pécuniaire du comptable ; que le fait générateur est ainsi constitué au lendemain du jour d’extinction de la créance ;</w:t>
      </w:r>
    </w:p>
    <w:p w:rsidR="006E38AF" w:rsidRPr="00D03C55" w:rsidRDefault="006E38AF" w:rsidP="00EB49EB">
      <w:pPr>
        <w:pStyle w:val="ps0"/>
        <w:spacing w:after="360"/>
        <w:rPr>
          <w:rFonts w:ascii="Times New Roman" w:hAnsi="Times New Roman"/>
        </w:rPr>
      </w:pPr>
      <w:r w:rsidRPr="00D03C55">
        <w:rPr>
          <w:rFonts w:ascii="Times New Roman" w:hAnsi="Times New Roman"/>
        </w:rPr>
        <w:t>Par ces motifs,</w:t>
      </w:r>
    </w:p>
    <w:p w:rsidR="006E38AF" w:rsidRPr="00D03C55" w:rsidRDefault="006E38AF" w:rsidP="00C46353">
      <w:pPr>
        <w:pStyle w:val="ps0"/>
        <w:spacing w:after="360"/>
        <w:rPr>
          <w:rFonts w:ascii="Times New Roman" w:hAnsi="Times New Roman"/>
        </w:rPr>
      </w:pPr>
      <w:r w:rsidRPr="00D03C55">
        <w:rPr>
          <w:rFonts w:ascii="Times New Roman" w:hAnsi="Times New Roman"/>
        </w:rPr>
        <w:t>- l’injonction n° 1 prononcée sur la gestion 2003 de M. Y est levée ;</w:t>
      </w:r>
    </w:p>
    <w:p w:rsidR="006E38AF" w:rsidRPr="00D03C55" w:rsidRDefault="006E38AF" w:rsidP="00C46353">
      <w:pPr>
        <w:pStyle w:val="ps0"/>
        <w:spacing w:after="360"/>
        <w:rPr>
          <w:rFonts w:ascii="Times New Roman" w:hAnsi="Times New Roman"/>
        </w:rPr>
      </w:pPr>
      <w:r w:rsidRPr="00D03C55">
        <w:rPr>
          <w:rFonts w:ascii="Times New Roman" w:hAnsi="Times New Roman"/>
        </w:rPr>
        <w:t>- M. Y est constitué débiteur envers l’Etat, au titre de l’année 2003, de la somme de cinq cent trente deux euros et soixante six centimes (532,66 €), augmentée des intérêts de droits à compter du 30 août 2003.</w:t>
      </w:r>
    </w:p>
    <w:p w:rsidR="006E38AF" w:rsidRPr="00D03C55" w:rsidRDefault="006E38AF" w:rsidP="00C46353">
      <w:pPr>
        <w:pStyle w:val="ps0"/>
        <w:spacing w:after="360"/>
        <w:rPr>
          <w:rFonts w:ascii="Times New Roman" w:hAnsi="Times New Roman"/>
        </w:rPr>
      </w:pPr>
      <w:r w:rsidRPr="00D03C55">
        <w:rPr>
          <w:rFonts w:ascii="Times New Roman" w:hAnsi="Times New Roman"/>
        </w:rPr>
        <w:t>- M. Y est constitué débiteur envers l’Etat, au titre de l’année 2003, de la somme de trois cent dix euros et soixante neuf centimes (310,69 €) augmentée des intérêts de droits à compter du 28 novembre 2003.</w:t>
      </w:r>
    </w:p>
    <w:p w:rsidR="006E38AF" w:rsidRPr="00D03C55" w:rsidRDefault="006E38AF" w:rsidP="00C46353">
      <w:pPr>
        <w:pStyle w:val="ps0"/>
        <w:spacing w:after="360"/>
        <w:rPr>
          <w:rFonts w:ascii="Times New Roman" w:hAnsi="Times New Roman"/>
        </w:rPr>
      </w:pPr>
      <w:r w:rsidRPr="00D03C55">
        <w:rPr>
          <w:rFonts w:ascii="Times New Roman" w:hAnsi="Times New Roman"/>
        </w:rPr>
        <w:t>- M. Y est constitué débiteur envers l’Etat, au titre de l’année 2003, de la somme de cent</w:t>
      </w:r>
      <w:r>
        <w:rPr>
          <w:rFonts w:ascii="Times New Roman" w:hAnsi="Times New Roman"/>
        </w:rPr>
        <w:t xml:space="preserve"> cinquante cinq euros et trente </w:t>
      </w:r>
      <w:r w:rsidRPr="00D03C55">
        <w:rPr>
          <w:rFonts w:ascii="Times New Roman" w:hAnsi="Times New Roman"/>
        </w:rPr>
        <w:t>cinq centimes (155,35 €) augmentée des intérêts de droits à compter du 26 octobre 2003.</w:t>
      </w:r>
    </w:p>
    <w:p w:rsidR="006E38AF" w:rsidRPr="00D03C55" w:rsidRDefault="006E38AF" w:rsidP="00126D33">
      <w:pPr>
        <w:pStyle w:val="ps0"/>
        <w:rPr>
          <w:rFonts w:ascii="Times New Roman" w:hAnsi="Times New Roman"/>
          <w:u w:val="single"/>
        </w:rPr>
      </w:pPr>
      <w:r w:rsidRPr="00D03C55">
        <w:rPr>
          <w:rFonts w:ascii="Times New Roman" w:hAnsi="Times New Roman"/>
          <w:u w:val="single"/>
        </w:rPr>
        <w:br w:type="page"/>
        <w:t>Injonction n° 2 : Produits divers du budget</w:t>
      </w:r>
    </w:p>
    <w:p w:rsidR="006E38AF" w:rsidRPr="00D03C55" w:rsidRDefault="006E38AF" w:rsidP="00C46353">
      <w:pPr>
        <w:pStyle w:val="ps0"/>
        <w:rPr>
          <w:rFonts w:ascii="Times New Roman" w:hAnsi="Times New Roman"/>
        </w:rPr>
      </w:pPr>
      <w:r w:rsidRPr="00D03C55">
        <w:rPr>
          <w:rFonts w:ascii="Times New Roman" w:hAnsi="Times New Roman"/>
        </w:rPr>
        <w:t xml:space="preserve">Attendu que, par l’arrêt provisoire susvisé n° 47427 du </w:t>
      </w:r>
      <w:r>
        <w:rPr>
          <w:rFonts w:ascii="Times New Roman" w:hAnsi="Times New Roman"/>
        </w:rPr>
        <w:t>29 novembre 2006</w:t>
      </w:r>
      <w:r w:rsidRPr="00D03C55">
        <w:rPr>
          <w:rFonts w:ascii="Times New Roman" w:hAnsi="Times New Roman"/>
        </w:rPr>
        <w:t>, la Cour a enjoint à M. Y d’apporter la preuve du versement de la somme de 9 151,93 € correspondant à douze titres divers du budget non soldés et égarés, qui avaient fait l’objet de réserves valides de la part de son successeur ;</w:t>
      </w:r>
    </w:p>
    <w:p w:rsidR="006E38AF" w:rsidRPr="00D03C55" w:rsidRDefault="006E38AF" w:rsidP="00126D33">
      <w:pPr>
        <w:pStyle w:val="ps0"/>
        <w:rPr>
          <w:rFonts w:ascii="Times New Roman" w:hAnsi="Times New Roman"/>
        </w:rPr>
      </w:pPr>
      <w:r w:rsidRPr="00D03C55">
        <w:rPr>
          <w:rFonts w:ascii="Times New Roman" w:hAnsi="Times New Roman"/>
        </w:rPr>
        <w:t>Attendu qu’en réponse à ladite injonction, le trésorier-payeur général n’a produit les justifications à décharge que pour quatre titres, pour un montant total de 2 023,03 € ;</w:t>
      </w:r>
    </w:p>
    <w:p w:rsidR="006E38AF" w:rsidRPr="00D03C55" w:rsidRDefault="006E38AF" w:rsidP="00126D33">
      <w:pPr>
        <w:pStyle w:val="ps0"/>
        <w:rPr>
          <w:rFonts w:ascii="Times New Roman" w:hAnsi="Times New Roman"/>
        </w:rPr>
      </w:pPr>
      <w:r w:rsidRPr="00D03C55">
        <w:rPr>
          <w:rFonts w:ascii="Times New Roman" w:hAnsi="Times New Roman"/>
        </w:rPr>
        <w:t>Attendu que le recouvrement des huit autres titres, juridiquement possible jusqu’à l’échéance du délai trentenaire de prescription auquel ils sont soumis, ne pourra cependant pas être poursuivi en raison de leur perte par le comptable ;</w:t>
      </w:r>
    </w:p>
    <w:p w:rsidR="006E38AF" w:rsidRPr="00D03C55" w:rsidRDefault="006E38AF" w:rsidP="00126D33">
      <w:pPr>
        <w:pStyle w:val="ps0"/>
        <w:rPr>
          <w:rFonts w:ascii="Times New Roman" w:hAnsi="Times New Roman"/>
        </w:rPr>
      </w:pPr>
      <w:r w:rsidRPr="00D03C55">
        <w:rPr>
          <w:rFonts w:ascii="Times New Roman" w:hAnsi="Times New Roman"/>
        </w:rPr>
        <w:t>Considérant que la responsabilité du comptable qui a fait l’objet d’un premier acte de mise en jeu avant le 1</w:t>
      </w:r>
      <w:r w:rsidRPr="00D03C55">
        <w:rPr>
          <w:rFonts w:ascii="Times New Roman" w:hAnsi="Times New Roman"/>
          <w:vertAlign w:val="superscript"/>
        </w:rPr>
        <w:t>er </w:t>
      </w:r>
      <w:r w:rsidRPr="00D03C55">
        <w:rPr>
          <w:rFonts w:ascii="Times New Roman" w:hAnsi="Times New Roman"/>
        </w:rPr>
        <w:t>juillet 2007 est régie par les dispositions de l’article 60 modifié de la loi du 23 février 1963, dans sa version antérieure à celle résultant de l’article 146 de la loi de finances rectificative pour 2006  ; qu’aux termes de ces dispositions : « …Les comptables publics sont personnellement et pécuniairement responsables du recouvrement des recettes…(paragraphe I) …La responsabilité pécuniaire prévue ci-dessus se trouve engagée dès lors qu’un déficit ou un manquant en deniers ou en valeurs a été constaté, qu’une recette n’a pas été recouvrée… (paragraphe IV)….la responsabilité pécuniaire d’un comptable public ne peut être mise en jeu que par le ministre dont il relève, le ministre de l’économie et des finances ou le juge des comptes (paragraphe V) … Le comptable public dont la responsabilité pécuniaire est engagée ou mise en jeu a l’obligation de verser immédiatement de ses deniers personnels une somme «égale… au montant de la perte de recette subie… (paragraphe VI). ... Le comptable public dont la responsabilité pécuniaire est engagée ou mise en jeu et qui n’a pas versé la somme prévue au paragraphe VI ci-dessus peut être constitué en débet … par arrêt du juge des comptes (paragraphe VII) » ;</w:t>
      </w:r>
    </w:p>
    <w:p w:rsidR="006E38AF" w:rsidRPr="00D03C55" w:rsidRDefault="006E38AF" w:rsidP="00EB49EB">
      <w:pPr>
        <w:pStyle w:val="ps0"/>
        <w:rPr>
          <w:rFonts w:ascii="Times New Roman" w:hAnsi="Times New Roman"/>
        </w:rPr>
      </w:pPr>
      <w:r w:rsidRPr="00D03C55">
        <w:rPr>
          <w:rFonts w:ascii="Times New Roman" w:hAnsi="Times New Roman"/>
        </w:rPr>
        <w:t>Considérant qu’aux termes du paragraphe VIII du même article 60 précité : « les débets portent intérêt au taux légal à compter de la date du fait générateur ou, si cette date ne peut être fixée avec précision, à compter de celle de leur découverte » ; qu’en l’espèce, la date retenue de la découverte de la perte des titres fondant les créances concernées est la date d’entrée en fonction, le 1</w:t>
      </w:r>
      <w:r w:rsidRPr="00D03C55">
        <w:rPr>
          <w:rFonts w:ascii="Times New Roman" w:hAnsi="Times New Roman"/>
          <w:vertAlign w:val="superscript"/>
        </w:rPr>
        <w:t>er </w:t>
      </w:r>
      <w:r w:rsidRPr="00D03C55">
        <w:rPr>
          <w:rFonts w:ascii="Times New Roman" w:hAnsi="Times New Roman"/>
        </w:rPr>
        <w:t>septembre 2003, de Mme Z, qui a émis des réserves valides sur la gestion par son prédécesseur des opérations de recouvrement de ces titres ;</w:t>
      </w:r>
    </w:p>
    <w:p w:rsidR="006E38AF" w:rsidRPr="00D03C55" w:rsidRDefault="006E38AF" w:rsidP="00444715">
      <w:pPr>
        <w:pStyle w:val="ps0"/>
        <w:spacing w:after="360"/>
        <w:rPr>
          <w:rFonts w:ascii="Times New Roman" w:hAnsi="Times New Roman"/>
        </w:rPr>
      </w:pPr>
      <w:r w:rsidRPr="00D03C55">
        <w:rPr>
          <w:rFonts w:ascii="Times New Roman" w:hAnsi="Times New Roman"/>
        </w:rPr>
        <w:br w:type="page"/>
        <w:t xml:space="preserve">Par ces motifs, </w:t>
      </w:r>
    </w:p>
    <w:p w:rsidR="006E38AF" w:rsidRPr="00D03C55" w:rsidRDefault="006E38AF" w:rsidP="00126D33">
      <w:pPr>
        <w:pStyle w:val="ps0"/>
        <w:spacing w:after="360"/>
        <w:rPr>
          <w:rFonts w:ascii="Times New Roman" w:hAnsi="Times New Roman"/>
        </w:rPr>
      </w:pPr>
      <w:r w:rsidRPr="00D03C55">
        <w:rPr>
          <w:rFonts w:ascii="Times New Roman" w:hAnsi="Times New Roman"/>
        </w:rPr>
        <w:t>- l’injonction n° 2 prononcée sur la gestion 2003 de M. Y est levée ;</w:t>
      </w:r>
    </w:p>
    <w:p w:rsidR="006E38AF" w:rsidRPr="00D03C55" w:rsidRDefault="006E38AF" w:rsidP="00CB60AD">
      <w:pPr>
        <w:pStyle w:val="ps0"/>
        <w:spacing w:after="360"/>
        <w:rPr>
          <w:rFonts w:ascii="Times New Roman" w:hAnsi="Times New Roman"/>
        </w:rPr>
      </w:pPr>
      <w:r w:rsidRPr="00D03C55">
        <w:rPr>
          <w:rFonts w:ascii="Times New Roman" w:hAnsi="Times New Roman"/>
        </w:rPr>
        <w:t>- M. Y est constitué débiteur envers l’Etat, au titre de l’année 2003, de la somme de sept mille cent vingt huit euros et quatre vingt dix centimes (7 128,90 €), augmentée des intérêts de droits à compter du 1</w:t>
      </w:r>
      <w:r w:rsidRPr="00D03C55">
        <w:rPr>
          <w:rFonts w:ascii="Times New Roman" w:hAnsi="Times New Roman"/>
          <w:vertAlign w:val="superscript"/>
        </w:rPr>
        <w:t>er </w:t>
      </w:r>
      <w:r w:rsidRPr="00D03C55">
        <w:rPr>
          <w:rFonts w:ascii="Times New Roman" w:hAnsi="Times New Roman"/>
        </w:rPr>
        <w:t>septembre 2003.</w:t>
      </w:r>
    </w:p>
    <w:p w:rsidR="006E38AF" w:rsidRPr="00D03C55" w:rsidRDefault="006E38AF" w:rsidP="00CB60AD">
      <w:pPr>
        <w:pStyle w:val="ps0"/>
        <w:spacing w:after="360"/>
        <w:rPr>
          <w:rFonts w:ascii="Times New Roman" w:hAnsi="Times New Roman"/>
          <w:b/>
          <w:u w:val="single"/>
        </w:rPr>
      </w:pPr>
      <w:r w:rsidRPr="00D03C55">
        <w:rPr>
          <w:rFonts w:ascii="Times New Roman" w:hAnsi="Times New Roman"/>
          <w:b/>
          <w:u w:val="single"/>
        </w:rPr>
        <w:t>Levée de réserves</w:t>
      </w:r>
    </w:p>
    <w:p w:rsidR="006E38AF" w:rsidRPr="00D03C55" w:rsidRDefault="006E38AF" w:rsidP="00444715">
      <w:pPr>
        <w:pStyle w:val="ps0"/>
        <w:spacing w:after="360"/>
        <w:rPr>
          <w:rFonts w:ascii="Times New Roman" w:hAnsi="Times New Roman"/>
          <w:u w:val="single"/>
        </w:rPr>
      </w:pPr>
      <w:r w:rsidRPr="00D03C55">
        <w:rPr>
          <w:rFonts w:ascii="Times New Roman" w:hAnsi="Times New Roman"/>
          <w:u w:val="single"/>
        </w:rPr>
        <w:t>Réserve n° 1 - Trésorerie de La Loupe</w:t>
      </w:r>
      <w:r>
        <w:rPr>
          <w:rFonts w:ascii="Times New Roman" w:hAnsi="Times New Roman"/>
          <w:u w:val="single"/>
        </w:rPr>
        <w:t> </w:t>
      </w:r>
      <w:r w:rsidRPr="00D03C55">
        <w:rPr>
          <w:rFonts w:ascii="Times New Roman" w:hAnsi="Times New Roman"/>
          <w:u w:val="single"/>
        </w:rPr>
        <w:t>–</w:t>
      </w:r>
      <w:r>
        <w:rPr>
          <w:rFonts w:ascii="Times New Roman" w:hAnsi="Times New Roman"/>
          <w:u w:val="single"/>
        </w:rPr>
        <w:t> </w:t>
      </w:r>
      <w:r w:rsidRPr="00D03C55">
        <w:rPr>
          <w:rFonts w:ascii="Times New Roman" w:hAnsi="Times New Roman"/>
          <w:u w:val="single"/>
        </w:rPr>
        <w:t>Différences en moins sur états de restes au 31 décembre 2003, sur exercices antérieurs.</w:t>
      </w:r>
    </w:p>
    <w:p w:rsidR="006E38AF" w:rsidRPr="00D03C55" w:rsidRDefault="006E38AF" w:rsidP="00126D33">
      <w:pPr>
        <w:pStyle w:val="ps0"/>
        <w:rPr>
          <w:rFonts w:ascii="Times New Roman" w:hAnsi="Times New Roman"/>
        </w:rPr>
      </w:pPr>
      <w:r w:rsidRPr="00D03C55">
        <w:rPr>
          <w:rFonts w:ascii="Times New Roman" w:hAnsi="Times New Roman"/>
        </w:rPr>
        <w:t xml:space="preserve">Attendu que, par l’arrêt provisoire susvisé n° 47427 du </w:t>
      </w:r>
      <w:r>
        <w:rPr>
          <w:rFonts w:ascii="Times New Roman" w:hAnsi="Times New Roman"/>
        </w:rPr>
        <w:t>29 novembre 2006</w:t>
      </w:r>
      <w:r w:rsidRPr="00D03C55">
        <w:rPr>
          <w:rFonts w:ascii="Times New Roman" w:hAnsi="Times New Roman"/>
        </w:rPr>
        <w:t>, la Cour a prononcé une réserve sur la gestion 2003 de M. Y jusqu’à apurement d’une somme de 1 210,86 € relative à une différence en moins sur états de restes au 31 décembre 2003 constatée à la trésorerie de La Loupe ;</w:t>
      </w:r>
    </w:p>
    <w:p w:rsidR="006E38AF" w:rsidRPr="00D03C55" w:rsidRDefault="006E38AF" w:rsidP="00BC0188">
      <w:pPr>
        <w:pStyle w:val="ps0"/>
        <w:rPr>
          <w:rFonts w:ascii="Times New Roman" w:hAnsi="Times New Roman"/>
        </w:rPr>
      </w:pPr>
      <w:r w:rsidRPr="00D03C55">
        <w:rPr>
          <w:rFonts w:ascii="Times New Roman" w:hAnsi="Times New Roman"/>
        </w:rPr>
        <w:t>Attendu que cette différence a été apurée par décision de remise gracieuse accordée par le ministre délégué au budget et à la réforme de l’Etat ;</w:t>
      </w:r>
    </w:p>
    <w:p w:rsidR="006E38AF" w:rsidRPr="00D03C55" w:rsidRDefault="006E38AF" w:rsidP="00CB60AD">
      <w:pPr>
        <w:pStyle w:val="ps0"/>
        <w:spacing w:after="360"/>
        <w:rPr>
          <w:rFonts w:ascii="Times New Roman" w:hAnsi="Times New Roman"/>
        </w:rPr>
      </w:pPr>
      <w:r w:rsidRPr="00D03C55">
        <w:rPr>
          <w:rFonts w:ascii="Times New Roman" w:hAnsi="Times New Roman"/>
        </w:rPr>
        <w:t>- la réserve est levée.</w:t>
      </w:r>
    </w:p>
    <w:p w:rsidR="006E38AF" w:rsidRPr="00D03C55" w:rsidRDefault="006E38AF" w:rsidP="00CB60AD">
      <w:pPr>
        <w:pStyle w:val="ps0"/>
        <w:spacing w:after="360"/>
        <w:rPr>
          <w:rFonts w:ascii="Times New Roman" w:hAnsi="Times New Roman"/>
          <w:u w:val="single"/>
        </w:rPr>
      </w:pPr>
      <w:r w:rsidRPr="00D03C55">
        <w:rPr>
          <w:rFonts w:ascii="Times New Roman" w:hAnsi="Times New Roman"/>
          <w:u w:val="single"/>
        </w:rPr>
        <w:t>Réserve n° 2 – titre 768/2000 – Périphérie Chartraine</w:t>
      </w:r>
    </w:p>
    <w:p w:rsidR="006E38AF" w:rsidRPr="00D03C55" w:rsidRDefault="006E38AF" w:rsidP="00126D33">
      <w:pPr>
        <w:pStyle w:val="ps0"/>
        <w:rPr>
          <w:rFonts w:ascii="Times New Roman" w:hAnsi="Times New Roman"/>
        </w:rPr>
      </w:pPr>
      <w:r w:rsidRPr="00D03C55">
        <w:rPr>
          <w:rFonts w:ascii="Times New Roman" w:hAnsi="Times New Roman"/>
        </w:rPr>
        <w:t xml:space="preserve">Attendu que, par l’arrêt provisoire susvisé n° 47427 du </w:t>
      </w:r>
      <w:r>
        <w:rPr>
          <w:rFonts w:ascii="Times New Roman" w:hAnsi="Times New Roman"/>
        </w:rPr>
        <w:t>29 novembre 2006</w:t>
      </w:r>
      <w:r w:rsidRPr="00D03C55">
        <w:rPr>
          <w:rFonts w:ascii="Times New Roman" w:hAnsi="Times New Roman"/>
        </w:rPr>
        <w:t>, la Cour a prononcé une réserve sur la gestion 2003 de M. Y jusqu’à apurement du titre 768/2000, émis le 24 juillet par le Parc départemental de l’équipement d’Eure et Loir, à l’encontre de « Périphérie Chartraine », pour un montant de 802,16 € ;</w:t>
      </w:r>
    </w:p>
    <w:p w:rsidR="006E38AF" w:rsidRPr="00D03C55" w:rsidRDefault="006E38AF" w:rsidP="00CB60AD">
      <w:pPr>
        <w:pStyle w:val="ps0"/>
        <w:spacing w:after="360"/>
        <w:rPr>
          <w:rFonts w:ascii="Times New Roman" w:hAnsi="Times New Roman"/>
        </w:rPr>
      </w:pPr>
      <w:r w:rsidRPr="00D03C55">
        <w:rPr>
          <w:rFonts w:ascii="Times New Roman" w:hAnsi="Times New Roman"/>
        </w:rPr>
        <w:t>Attendu que le titre a été soldé et la justification produite ;</w:t>
      </w:r>
    </w:p>
    <w:p w:rsidR="006E38AF" w:rsidRPr="00D03C55" w:rsidRDefault="006E38AF" w:rsidP="00CB60AD">
      <w:pPr>
        <w:pStyle w:val="ps0"/>
        <w:rPr>
          <w:rFonts w:ascii="Times New Roman" w:hAnsi="Times New Roman"/>
        </w:rPr>
      </w:pPr>
      <w:r w:rsidRPr="00D03C55">
        <w:rPr>
          <w:rFonts w:ascii="Times New Roman" w:hAnsi="Times New Roman"/>
        </w:rPr>
        <w:t>- la réserve est levée.</w:t>
      </w:r>
    </w:p>
    <w:p w:rsidR="006E38AF" w:rsidRPr="00D03C55" w:rsidRDefault="006E38AF" w:rsidP="00CB60AD">
      <w:pPr>
        <w:pStyle w:val="ps0"/>
        <w:spacing w:after="360"/>
        <w:rPr>
          <w:rFonts w:ascii="Times New Roman" w:hAnsi="Times New Roman"/>
          <w:u w:val="single"/>
        </w:rPr>
      </w:pPr>
      <w:r w:rsidRPr="00D03C55">
        <w:rPr>
          <w:rFonts w:ascii="Times New Roman" w:hAnsi="Times New Roman"/>
          <w:u w:val="single"/>
        </w:rPr>
        <w:t>Réserve n° 3 – Titre 31/1998 – Commune de Chartres</w:t>
      </w:r>
    </w:p>
    <w:p w:rsidR="006E38AF" w:rsidRPr="00D03C55" w:rsidRDefault="006E38AF" w:rsidP="00CB60AD">
      <w:pPr>
        <w:pStyle w:val="ps0"/>
        <w:spacing w:after="360"/>
        <w:rPr>
          <w:rFonts w:ascii="Times New Roman" w:hAnsi="Times New Roman"/>
        </w:rPr>
      </w:pPr>
      <w:r w:rsidRPr="00D03C55">
        <w:rPr>
          <w:rFonts w:ascii="Times New Roman" w:hAnsi="Times New Roman"/>
        </w:rPr>
        <w:t xml:space="preserve">Attendu que, par l’arrêt provisoire susvisé n° 47427 du </w:t>
      </w:r>
      <w:r>
        <w:rPr>
          <w:rFonts w:ascii="Times New Roman" w:hAnsi="Times New Roman"/>
        </w:rPr>
        <w:t>29 novembre 2006</w:t>
      </w:r>
      <w:r w:rsidRPr="00D03C55">
        <w:rPr>
          <w:rFonts w:ascii="Times New Roman" w:hAnsi="Times New Roman"/>
        </w:rPr>
        <w:t>, la Cour a prononcé une réserve sur la gestion 2003 de M. Y jusqu’à apurement du titre 31/1998, émis le 2 avril 1998, par la préfecture d’Eure et Loir, à l’encontre de la commune de Chartres, pour un montant de 2 008,02 € ;</w:t>
      </w:r>
    </w:p>
    <w:p w:rsidR="006E38AF" w:rsidRPr="00D03C55" w:rsidRDefault="006E38AF" w:rsidP="00CB60AD">
      <w:pPr>
        <w:pStyle w:val="ps0"/>
        <w:spacing w:after="360"/>
        <w:rPr>
          <w:rFonts w:ascii="Times New Roman" w:hAnsi="Times New Roman"/>
        </w:rPr>
      </w:pPr>
      <w:r w:rsidRPr="00D03C55">
        <w:rPr>
          <w:rFonts w:ascii="Times New Roman" w:hAnsi="Times New Roman"/>
        </w:rPr>
        <w:t>Attendu que le titre a été soldé et la justification produite ;</w:t>
      </w:r>
    </w:p>
    <w:p w:rsidR="006E38AF" w:rsidRPr="00D03C55" w:rsidRDefault="006E38AF" w:rsidP="00444715">
      <w:pPr>
        <w:pStyle w:val="ps0"/>
        <w:rPr>
          <w:rFonts w:ascii="Times New Roman" w:hAnsi="Times New Roman"/>
        </w:rPr>
      </w:pPr>
      <w:r w:rsidRPr="00D03C55">
        <w:rPr>
          <w:rFonts w:ascii="Times New Roman" w:hAnsi="Times New Roman"/>
        </w:rPr>
        <w:t>-</w:t>
      </w:r>
      <w:r>
        <w:rPr>
          <w:rFonts w:ascii="Times New Roman" w:hAnsi="Times New Roman"/>
        </w:rPr>
        <w:t> </w:t>
      </w:r>
      <w:r w:rsidRPr="00D03C55">
        <w:rPr>
          <w:rFonts w:ascii="Times New Roman" w:hAnsi="Times New Roman"/>
        </w:rPr>
        <w:t>la réserve est levée.</w:t>
      </w:r>
    </w:p>
    <w:p w:rsidR="006E38AF" w:rsidRPr="00D03C55" w:rsidRDefault="006E38AF" w:rsidP="00444715">
      <w:pPr>
        <w:pStyle w:val="ps0"/>
        <w:spacing w:after="360"/>
        <w:rPr>
          <w:rFonts w:ascii="Times New Roman" w:hAnsi="Times New Roman"/>
          <w:b/>
        </w:rPr>
      </w:pPr>
      <w:r w:rsidRPr="00D03C55">
        <w:rPr>
          <w:rFonts w:ascii="Times New Roman" w:hAnsi="Times New Roman"/>
          <w:b/>
        </w:rPr>
        <w:t>III - A l’égard de Mme Z</w:t>
      </w:r>
    </w:p>
    <w:p w:rsidR="006E38AF" w:rsidRPr="00D03C55" w:rsidRDefault="006E38AF" w:rsidP="006404E2">
      <w:pPr>
        <w:pStyle w:val="ps0"/>
        <w:spacing w:after="360"/>
        <w:rPr>
          <w:rFonts w:ascii="Times New Roman" w:hAnsi="Times New Roman"/>
          <w:b/>
          <w:u w:val="single"/>
        </w:rPr>
      </w:pPr>
      <w:r w:rsidRPr="00D03C55">
        <w:rPr>
          <w:rFonts w:ascii="Times New Roman" w:hAnsi="Times New Roman"/>
          <w:b/>
          <w:u w:val="single"/>
        </w:rPr>
        <w:t>Au titre de l’ exercice 2004</w:t>
      </w:r>
    </w:p>
    <w:p w:rsidR="006E38AF" w:rsidRPr="00D03C55" w:rsidRDefault="006E38AF" w:rsidP="00BC0188">
      <w:pPr>
        <w:pStyle w:val="ps0"/>
        <w:rPr>
          <w:rFonts w:ascii="Times New Roman" w:hAnsi="Times New Roman"/>
          <w:b/>
          <w:u w:val="single"/>
        </w:rPr>
      </w:pPr>
      <w:r w:rsidRPr="00D03C55">
        <w:rPr>
          <w:rFonts w:ascii="Times New Roman" w:hAnsi="Times New Roman"/>
          <w:b/>
          <w:u w:val="single"/>
        </w:rPr>
        <w:t>Levée de réserves</w:t>
      </w:r>
    </w:p>
    <w:p w:rsidR="006E38AF" w:rsidRPr="00D03C55" w:rsidRDefault="006E38AF" w:rsidP="006404E2">
      <w:pPr>
        <w:pStyle w:val="ps0"/>
        <w:rPr>
          <w:rFonts w:ascii="Times New Roman" w:hAnsi="Times New Roman"/>
          <w:u w:val="single"/>
        </w:rPr>
      </w:pPr>
      <w:r w:rsidRPr="00D03C55">
        <w:rPr>
          <w:rFonts w:ascii="Times New Roman" w:hAnsi="Times New Roman"/>
          <w:u w:val="single"/>
        </w:rPr>
        <w:t>Réserve : Compte 461-211 « Déficits des comptables avant la prise d’un arrêté de débet – Différences sur Refus de sursis de versement »</w:t>
      </w:r>
    </w:p>
    <w:p w:rsidR="006E38AF" w:rsidRPr="00D03C55" w:rsidRDefault="006E38AF" w:rsidP="006404E2">
      <w:pPr>
        <w:pStyle w:val="ps0"/>
        <w:rPr>
          <w:rFonts w:ascii="Times New Roman" w:hAnsi="Times New Roman"/>
        </w:rPr>
      </w:pPr>
      <w:r w:rsidRPr="00D03C55">
        <w:rPr>
          <w:rFonts w:ascii="Times New Roman" w:hAnsi="Times New Roman"/>
        </w:rPr>
        <w:t xml:space="preserve">Attendu que, par l’arrêt provisoire susvisé n° 47427 du </w:t>
      </w:r>
      <w:r>
        <w:rPr>
          <w:rFonts w:ascii="Times New Roman" w:hAnsi="Times New Roman"/>
        </w:rPr>
        <w:t>29 novembre 2006</w:t>
      </w:r>
      <w:r w:rsidRPr="00D03C55">
        <w:rPr>
          <w:rFonts w:ascii="Times New Roman" w:hAnsi="Times New Roman"/>
        </w:rPr>
        <w:t>, la Cour a prononcé une réserve sur la gestion 2004 de Mme Z jusqu’à apurement d’une opération d’un montant de 25 344,06 € ;</w:t>
      </w:r>
    </w:p>
    <w:p w:rsidR="006E38AF" w:rsidRPr="00D03C55" w:rsidRDefault="006E38AF" w:rsidP="006404E2">
      <w:pPr>
        <w:pStyle w:val="ps0"/>
        <w:rPr>
          <w:rFonts w:ascii="Times New Roman" w:hAnsi="Times New Roman"/>
        </w:rPr>
      </w:pPr>
      <w:r w:rsidRPr="00D03C55">
        <w:rPr>
          <w:rFonts w:ascii="Times New Roman" w:hAnsi="Times New Roman"/>
        </w:rPr>
        <w:t>Attendu que cette opération a été régularisée et les justifications produites ;</w:t>
      </w:r>
    </w:p>
    <w:p w:rsidR="006E38AF" w:rsidRPr="00D03C55" w:rsidRDefault="006E38AF" w:rsidP="006404E2">
      <w:pPr>
        <w:pStyle w:val="ps0"/>
        <w:rPr>
          <w:rFonts w:ascii="Times New Roman" w:hAnsi="Times New Roman"/>
        </w:rPr>
      </w:pPr>
      <w:r w:rsidRPr="00D03C55">
        <w:rPr>
          <w:rFonts w:ascii="Times New Roman" w:hAnsi="Times New Roman"/>
        </w:rPr>
        <w:t>- la réserve est levée.</w:t>
      </w:r>
    </w:p>
    <w:p w:rsidR="006E38AF" w:rsidRPr="00D03C55" w:rsidRDefault="006E38AF" w:rsidP="00CB60AD">
      <w:pPr>
        <w:pStyle w:val="ps0"/>
        <w:spacing w:after="360"/>
        <w:rPr>
          <w:rFonts w:ascii="Times New Roman" w:hAnsi="Times New Roman"/>
          <w:u w:val="single"/>
        </w:rPr>
      </w:pPr>
      <w:r w:rsidRPr="00D03C55">
        <w:rPr>
          <w:rFonts w:ascii="Times New Roman" w:hAnsi="Times New Roman"/>
          <w:u w:val="single"/>
        </w:rPr>
        <w:t>Réserve : Compte 461-212 « Déficits des comptables avant la prise d’un arrêté de débet – Refus de sursis de versement »</w:t>
      </w:r>
    </w:p>
    <w:p w:rsidR="006E38AF" w:rsidRPr="00D03C55" w:rsidRDefault="006E38AF" w:rsidP="006404E2">
      <w:pPr>
        <w:pStyle w:val="ps0"/>
        <w:rPr>
          <w:rFonts w:ascii="Times New Roman" w:hAnsi="Times New Roman"/>
        </w:rPr>
      </w:pPr>
      <w:r w:rsidRPr="00D03C55">
        <w:rPr>
          <w:rFonts w:ascii="Times New Roman" w:hAnsi="Times New Roman"/>
        </w:rPr>
        <w:t xml:space="preserve">Attendu que, par l’arrêt provisoire susvisé n° 47427 du </w:t>
      </w:r>
      <w:r>
        <w:rPr>
          <w:rFonts w:ascii="Times New Roman" w:hAnsi="Times New Roman"/>
        </w:rPr>
        <w:t>29 novembre 2006</w:t>
      </w:r>
      <w:r w:rsidRPr="00D03C55">
        <w:rPr>
          <w:rFonts w:ascii="Times New Roman" w:hAnsi="Times New Roman"/>
        </w:rPr>
        <w:t>, la Cour a prononcé une réserve sur la gestion 2004 de Mme Z jusqu’à apurement de deux opérati</w:t>
      </w:r>
      <w:r>
        <w:rPr>
          <w:rFonts w:ascii="Times New Roman" w:hAnsi="Times New Roman"/>
        </w:rPr>
        <w:t>ons d’un montant total de 48 477</w:t>
      </w:r>
      <w:r w:rsidRPr="00D03C55">
        <w:rPr>
          <w:rFonts w:ascii="Times New Roman" w:hAnsi="Times New Roman"/>
        </w:rPr>
        <w:t>,58 € ;</w:t>
      </w:r>
    </w:p>
    <w:p w:rsidR="006E38AF" w:rsidRPr="00D03C55" w:rsidRDefault="006E38AF" w:rsidP="00CB60AD">
      <w:pPr>
        <w:pStyle w:val="ps0"/>
        <w:spacing w:after="360"/>
        <w:rPr>
          <w:rFonts w:ascii="Times New Roman" w:hAnsi="Times New Roman"/>
        </w:rPr>
      </w:pPr>
      <w:r w:rsidRPr="00D03C55">
        <w:rPr>
          <w:rFonts w:ascii="Times New Roman" w:hAnsi="Times New Roman"/>
        </w:rPr>
        <w:t>Attendu que ces opérations ont été régularisées et les justifications produites ;</w:t>
      </w:r>
    </w:p>
    <w:p w:rsidR="006E38AF" w:rsidRPr="00D03C55" w:rsidRDefault="006E38AF" w:rsidP="00CB60AD">
      <w:pPr>
        <w:pStyle w:val="ps0"/>
        <w:spacing w:after="360"/>
        <w:rPr>
          <w:rFonts w:ascii="Times New Roman" w:hAnsi="Times New Roman"/>
        </w:rPr>
      </w:pPr>
      <w:r w:rsidRPr="00D03C55">
        <w:rPr>
          <w:rFonts w:ascii="Times New Roman" w:hAnsi="Times New Roman"/>
        </w:rPr>
        <w:t>- la réserve est levée.</w:t>
      </w:r>
    </w:p>
    <w:p w:rsidR="006E38AF" w:rsidRPr="00D03C55" w:rsidRDefault="006E38AF" w:rsidP="00CB60AD">
      <w:pPr>
        <w:pStyle w:val="ps0"/>
        <w:spacing w:after="360"/>
        <w:ind w:firstLine="0"/>
        <w:jc w:val="center"/>
        <w:rPr>
          <w:rFonts w:ascii="Times New Roman" w:hAnsi="Times New Roman"/>
        </w:rPr>
      </w:pPr>
      <w:r w:rsidRPr="00D03C55">
        <w:rPr>
          <w:rFonts w:ascii="Times New Roman" w:hAnsi="Times New Roman"/>
        </w:rPr>
        <w:t>-----------</w:t>
      </w:r>
    </w:p>
    <w:p w:rsidR="006E38AF" w:rsidRPr="00D03C55" w:rsidRDefault="006E38AF" w:rsidP="00E612C5">
      <w:pPr>
        <w:pStyle w:val="ps0"/>
        <w:spacing w:after="360"/>
        <w:rPr>
          <w:rFonts w:ascii="Times New Roman" w:hAnsi="Times New Roman"/>
        </w:rPr>
      </w:pPr>
      <w:r w:rsidRPr="00D03C55">
        <w:rPr>
          <w:rFonts w:ascii="Times New Roman" w:hAnsi="Times New Roman"/>
        </w:rPr>
        <w:t>Fait et jugé en la Cour des comptes, première chambre, première section, le dix juin deux mil huit, présents</w:t>
      </w:r>
      <w:r>
        <w:rPr>
          <w:rFonts w:ascii="Times New Roman" w:hAnsi="Times New Roman"/>
        </w:rPr>
        <w:t> </w:t>
      </w:r>
      <w:r w:rsidRPr="00D03C55">
        <w:rPr>
          <w:rFonts w:ascii="Times New Roman" w:hAnsi="Times New Roman"/>
        </w:rPr>
        <w:t>:</w:t>
      </w:r>
      <w:r>
        <w:rPr>
          <w:rFonts w:ascii="Times New Roman" w:hAnsi="Times New Roman"/>
        </w:rPr>
        <w:t> </w:t>
      </w:r>
      <w:r w:rsidRPr="00D03C55">
        <w:rPr>
          <w:rFonts w:ascii="Times New Roman" w:hAnsi="Times New Roman"/>
        </w:rPr>
        <w:t>MM. Malingre, président de section, X.-H. Martin, Deconfin, Mme Moati et Mme Dos Reis, conseillers maîtres.</w:t>
      </w:r>
    </w:p>
    <w:p w:rsidR="006E38AF" w:rsidRPr="00D03C55" w:rsidRDefault="006E38AF" w:rsidP="007F3A26">
      <w:pPr>
        <w:pStyle w:val="ps0"/>
        <w:spacing w:after="360"/>
        <w:rPr>
          <w:rFonts w:ascii="Times New Roman" w:hAnsi="Times New Roman"/>
        </w:rPr>
      </w:pPr>
      <w:r w:rsidRPr="00D03C55">
        <w:rPr>
          <w:rFonts w:ascii="Times New Roman" w:hAnsi="Times New Roman"/>
        </w:rPr>
        <w:t xml:space="preserve">Signé : Malingre, président de section, </w:t>
      </w:r>
      <w:r>
        <w:rPr>
          <w:rFonts w:ascii="Times New Roman" w:hAnsi="Times New Roman"/>
        </w:rPr>
        <w:t xml:space="preserve">et </w:t>
      </w:r>
      <w:r w:rsidRPr="00D03C55">
        <w:rPr>
          <w:rFonts w:ascii="Times New Roman" w:hAnsi="Times New Roman"/>
        </w:rPr>
        <w:t>Rackelboom, greffier.</w:t>
      </w:r>
    </w:p>
    <w:p w:rsidR="006E38AF" w:rsidRDefault="006E38AF" w:rsidP="00BC0188">
      <w:pPr>
        <w:pStyle w:val="ps0"/>
        <w:rPr>
          <w:rFonts w:ascii="Times New Roman" w:hAnsi="Times New Roman"/>
        </w:rPr>
      </w:pPr>
      <w:r w:rsidRPr="00D03C55">
        <w:rPr>
          <w:rFonts w:ascii="Times New Roman" w:hAnsi="Times New Roman"/>
        </w:rPr>
        <w:t xml:space="preserve">Collationné, certifié conforme à la minute étant au greffe de la Cour des </w:t>
      </w:r>
      <w:r>
        <w:rPr>
          <w:rFonts w:ascii="Times New Roman" w:hAnsi="Times New Roman"/>
        </w:rPr>
        <w:t>comptes</w:t>
      </w:r>
      <w:r w:rsidRPr="00D03C55">
        <w:rPr>
          <w:rFonts w:ascii="Times New Roman" w:hAnsi="Times New Roman"/>
        </w:rPr>
        <w:t>.</w:t>
      </w:r>
    </w:p>
    <w:p w:rsidR="006E38AF" w:rsidRDefault="006E38AF" w:rsidP="004A0F5F">
      <w:pPr>
        <w:pStyle w:val="PS"/>
      </w:pPr>
      <w:r>
        <w:br w:type="page"/>
        <w:t xml:space="preserve">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 </w:t>
      </w:r>
    </w:p>
    <w:p w:rsidR="006E38AF" w:rsidRDefault="006E38AF" w:rsidP="004A0F5F">
      <w:pPr>
        <w:pStyle w:val="PS"/>
      </w:pPr>
      <w:r>
        <w:t>Délivré par moi, secrétaire générale.</w:t>
      </w:r>
    </w:p>
    <w:p w:rsidR="006E38AF" w:rsidRPr="00D03C55" w:rsidRDefault="006E38AF" w:rsidP="00BC0188">
      <w:pPr>
        <w:pStyle w:val="ps0"/>
        <w:rPr>
          <w:rFonts w:ascii="Times New Roman" w:hAnsi="Times New Roman"/>
        </w:rPr>
      </w:pPr>
    </w:p>
    <w:sectPr w:rsidR="006E38AF" w:rsidRPr="00D03C55" w:rsidSect="006E38AF">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8AF" w:rsidRDefault="006E38AF">
      <w:r>
        <w:separator/>
      </w:r>
    </w:p>
  </w:endnote>
  <w:endnote w:type="continuationSeparator" w:id="1">
    <w:p w:rsidR="006E38AF" w:rsidRDefault="006E38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8AF" w:rsidRDefault="006E38AF">
      <w:r>
        <w:separator/>
      </w:r>
    </w:p>
  </w:footnote>
  <w:footnote w:type="continuationSeparator" w:id="1">
    <w:p w:rsidR="006E38AF" w:rsidRDefault="006E38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8AF" w:rsidRDefault="006E38AF">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8</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87EED"/>
    <w:multiLevelType w:val="hybridMultilevel"/>
    <w:tmpl w:val="8CA2A326"/>
    <w:lvl w:ilvl="0" w:tplc="17EC3C60">
      <w:numFmt w:val="bullet"/>
      <w:lvlText w:val="-"/>
      <w:lvlJc w:val="left"/>
      <w:pPr>
        <w:tabs>
          <w:tab w:val="num" w:pos="2700"/>
        </w:tabs>
        <w:ind w:left="2700" w:hanging="360"/>
      </w:pPr>
      <w:rPr>
        <w:rFonts w:ascii="Times New Roman" w:eastAsia="Times New Roman" w:hAnsi="Times New Roman" w:hint="default"/>
      </w:rPr>
    </w:lvl>
    <w:lvl w:ilvl="1" w:tplc="040C0003" w:tentative="1">
      <w:start w:val="1"/>
      <w:numFmt w:val="bullet"/>
      <w:lvlText w:val="o"/>
      <w:lvlJc w:val="left"/>
      <w:pPr>
        <w:tabs>
          <w:tab w:val="num" w:pos="3420"/>
        </w:tabs>
        <w:ind w:left="3420" w:hanging="360"/>
      </w:pPr>
      <w:rPr>
        <w:rFonts w:ascii="Courier New" w:hAnsi="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97E78"/>
    <w:rsid w:val="00114B98"/>
    <w:rsid w:val="00126D33"/>
    <w:rsid w:val="00395E65"/>
    <w:rsid w:val="003E216E"/>
    <w:rsid w:val="00444715"/>
    <w:rsid w:val="00454CFD"/>
    <w:rsid w:val="004603B3"/>
    <w:rsid w:val="004A0F5F"/>
    <w:rsid w:val="004D02B4"/>
    <w:rsid w:val="005557BE"/>
    <w:rsid w:val="00564B57"/>
    <w:rsid w:val="00640014"/>
    <w:rsid w:val="006404E2"/>
    <w:rsid w:val="006B326D"/>
    <w:rsid w:val="006E38AF"/>
    <w:rsid w:val="0078499A"/>
    <w:rsid w:val="007F3A26"/>
    <w:rsid w:val="00863FB6"/>
    <w:rsid w:val="0087570D"/>
    <w:rsid w:val="0090612B"/>
    <w:rsid w:val="00945044"/>
    <w:rsid w:val="00AB0BC7"/>
    <w:rsid w:val="00AB7817"/>
    <w:rsid w:val="00BC0188"/>
    <w:rsid w:val="00BF6D8F"/>
    <w:rsid w:val="00BF74A8"/>
    <w:rsid w:val="00C46353"/>
    <w:rsid w:val="00CB60AD"/>
    <w:rsid w:val="00D03C55"/>
    <w:rsid w:val="00D644D3"/>
    <w:rsid w:val="00D6581D"/>
    <w:rsid w:val="00D868E3"/>
    <w:rsid w:val="00DF792C"/>
    <w:rsid w:val="00E035F5"/>
    <w:rsid w:val="00E612C5"/>
    <w:rsid w:val="00E823A2"/>
    <w:rsid w:val="00EB49EB"/>
    <w:rsid w:val="00F175AF"/>
    <w:rsid w:val="00F52E3F"/>
    <w:rsid w:val="00F94E8E"/>
    <w:rsid w:val="00FA67B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47A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47A26"/>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147A26"/>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
    <w:name w:val="Body Text"/>
    <w:aliases w:val="paragraphe,Corps de texte Car Car,Corps de texte Car Car Car Car,Corps de texte Car Car Car,Corps de texte Car Car C"/>
    <w:basedOn w:val="Normal"/>
    <w:link w:val="BodyTextChar"/>
    <w:uiPriority w:val="99"/>
    <w:rsid w:val="00395E65"/>
    <w:rPr>
      <w:b/>
      <w:smallCaps/>
    </w:rPr>
  </w:style>
  <w:style w:type="character" w:customStyle="1" w:styleId="BodyTextChar">
    <w:name w:val="Body Text Char"/>
    <w:aliases w:val="paragraphe Char,Corps de texte Car Car Char,Corps de texte Car Car Car Car Char,Corps de texte Car Car Car Char,Corps de texte Car Car C Char"/>
    <w:basedOn w:val="DefaultParagraphFont"/>
    <w:link w:val="BodyText"/>
    <w:uiPriority w:val="99"/>
    <w:semiHidden/>
    <w:rsid w:val="00147A26"/>
    <w:rPr>
      <w:sz w:val="20"/>
      <w:szCs w:val="20"/>
    </w:rPr>
  </w:style>
  <w:style w:type="paragraph" w:customStyle="1" w:styleId="1pageCour">
    <w:name w:val="1°page Cour"/>
    <w:basedOn w:val="Normal"/>
    <w:uiPriority w:val="99"/>
    <w:rsid w:val="00395E65"/>
    <w:pPr>
      <w:jc w:val="center"/>
    </w:pPr>
    <w:rPr>
      <w:b/>
      <w:smallCaps/>
      <w:sz w:val="28"/>
    </w:rPr>
  </w:style>
  <w:style w:type="paragraph" w:customStyle="1" w:styleId="1pageChambre">
    <w:name w:val="1°page Chambre"/>
    <w:basedOn w:val="Normal"/>
    <w:uiPriority w:val="99"/>
    <w:rsid w:val="00395E65"/>
    <w:pPr>
      <w:keepNext/>
      <w:jc w:val="center"/>
      <w:outlineLvl w:val="5"/>
    </w:pPr>
    <w:rPr>
      <w:b/>
      <w:smallCaps/>
      <w:spacing w:val="6"/>
      <w:sz w:val="24"/>
    </w:rPr>
  </w:style>
  <w:style w:type="paragraph" w:customStyle="1" w:styleId="ps0">
    <w:name w:val="ps"/>
    <w:basedOn w:val="Normal"/>
    <w:uiPriority w:val="99"/>
    <w:rsid w:val="00395E65"/>
    <w:pPr>
      <w:spacing w:after="480"/>
      <w:ind w:left="1701" w:firstLine="1134"/>
      <w:jc w:val="both"/>
    </w:pPr>
    <w:rPr>
      <w:rFonts w:ascii="CG Times (WN)" w:hAnsi="CG Times (WN)"/>
      <w:sz w:val="24"/>
      <w:szCs w:val="24"/>
    </w:rPr>
  </w:style>
  <w:style w:type="paragraph" w:styleId="BalloonText">
    <w:name w:val="Balloon Text"/>
    <w:basedOn w:val="Normal"/>
    <w:link w:val="BalloonTextChar"/>
    <w:uiPriority w:val="99"/>
    <w:semiHidden/>
    <w:rsid w:val="00BC0188"/>
    <w:rPr>
      <w:rFonts w:ascii="Tahoma" w:hAnsi="Tahoma" w:cs="Tahoma"/>
      <w:sz w:val="16"/>
      <w:szCs w:val="16"/>
    </w:rPr>
  </w:style>
  <w:style w:type="character" w:customStyle="1" w:styleId="BalloonTextChar">
    <w:name w:val="Balloon Text Char"/>
    <w:basedOn w:val="DefaultParagraphFont"/>
    <w:link w:val="BalloonText"/>
    <w:uiPriority w:val="99"/>
    <w:semiHidden/>
    <w:rsid w:val="00147A26"/>
    <w:rPr>
      <w:sz w:val="0"/>
      <w:szCs w:val="0"/>
    </w:rPr>
  </w:style>
</w:styles>
</file>

<file path=word/webSettings.xml><?xml version="1.0" encoding="utf-8"?>
<w:webSettings xmlns:r="http://schemas.openxmlformats.org/officeDocument/2006/relationships" xmlns:w="http://schemas.openxmlformats.org/wordprocessingml/2006/main">
  <w:divs>
    <w:div w:id="16302357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2025</Words>
  <Characters>11143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2008-11-21T08:47:00Z</cp:lastPrinted>
  <dcterms:created xsi:type="dcterms:W3CDTF">2008-12-23T11:13:00Z</dcterms:created>
  <dcterms:modified xsi:type="dcterms:W3CDTF">2008-12-23T11:13:00Z</dcterms:modified>
</cp:coreProperties>
</file>