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9A5" w:rsidRDefault="009049A5">
      <w:pPr>
        <w:pStyle w:val="ET"/>
      </w:pPr>
      <w:r>
        <w:t>COUR DES COMPTES</w:t>
      </w:r>
    </w:p>
    <w:p w:rsidR="009049A5" w:rsidRDefault="009049A5">
      <w:pPr>
        <w:pStyle w:val="ET"/>
      </w:pPr>
      <w:r>
        <w:tab/>
        <w:t xml:space="preserve">    ------ </w:t>
      </w:r>
    </w:p>
    <w:p w:rsidR="009049A5" w:rsidRDefault="009049A5">
      <w:pPr>
        <w:pStyle w:val="ET"/>
      </w:pPr>
      <w:r>
        <w:t>TROISIEME CHAMBRE</w:t>
      </w:r>
    </w:p>
    <w:p w:rsidR="009049A5" w:rsidRDefault="009049A5" w:rsidP="000434DD">
      <w:pPr>
        <w:pStyle w:val="ET"/>
      </w:pPr>
      <w:r>
        <w:tab/>
        <w:t xml:space="preserve">    ------ </w:t>
      </w:r>
    </w:p>
    <w:p w:rsidR="009049A5" w:rsidRDefault="009049A5">
      <w:pPr>
        <w:pStyle w:val="ET"/>
      </w:pPr>
      <w:r>
        <w:t>QUATRIEMe SECTION</w:t>
      </w:r>
    </w:p>
    <w:p w:rsidR="009049A5" w:rsidRDefault="009049A5">
      <w:pPr>
        <w:pStyle w:val="ET"/>
      </w:pPr>
      <w:r>
        <w:tab/>
        <w:t xml:space="preserve">    ------ </w:t>
      </w:r>
    </w:p>
    <w:p w:rsidR="009049A5" w:rsidRPr="00947C81" w:rsidRDefault="009049A5" w:rsidP="000434DD">
      <w:pPr>
        <w:pStyle w:val="Header"/>
        <w:rPr>
          <w:b/>
          <w:bCs/>
          <w:i/>
          <w:iCs/>
        </w:rPr>
      </w:pPr>
      <w:r>
        <w:t xml:space="preserve">       </w:t>
      </w:r>
      <w:r w:rsidRPr="00947C81">
        <w:rPr>
          <w:b/>
          <w:bCs/>
          <w:i/>
          <w:iCs/>
        </w:rPr>
        <w:t xml:space="preserve">Arrêt n° </w:t>
      </w:r>
      <w:r>
        <w:rPr>
          <w:b/>
          <w:bCs/>
          <w:i/>
          <w:iCs/>
        </w:rPr>
        <w:t>52865</w:t>
      </w:r>
      <w:r>
        <w:fldChar w:fldCharType="begin"/>
      </w:r>
      <w:r>
        <w:fldChar w:fldCharType="end"/>
      </w:r>
    </w:p>
    <w:p w:rsidR="009049A5" w:rsidRDefault="009049A5" w:rsidP="007C6484">
      <w:pPr>
        <w:pStyle w:val="OR"/>
        <w:ind w:right="-284"/>
      </w:pPr>
      <w:r>
        <w:t>FONDATION NATIONALE</w:t>
      </w:r>
    </w:p>
    <w:p w:rsidR="009049A5" w:rsidRDefault="009049A5" w:rsidP="007C6484">
      <w:pPr>
        <w:pStyle w:val="OR"/>
        <w:ind w:right="-284"/>
      </w:pPr>
      <w:r>
        <w:t>DES SCIENCES POLITIQUES (FNSP)</w:t>
      </w:r>
    </w:p>
    <w:p w:rsidR="009049A5" w:rsidRDefault="009049A5" w:rsidP="006F2EDD">
      <w:pPr>
        <w:pStyle w:val="OR"/>
      </w:pPr>
    </w:p>
    <w:p w:rsidR="009049A5" w:rsidRDefault="009049A5" w:rsidP="006F2EDD">
      <w:pPr>
        <w:pStyle w:val="OR"/>
      </w:pPr>
      <w:r>
        <w:t>Gestion de fait des deniers de l’Etat</w:t>
      </w:r>
    </w:p>
    <w:p w:rsidR="009049A5" w:rsidRDefault="009049A5" w:rsidP="006F2EDD">
      <w:pPr>
        <w:pStyle w:val="OR"/>
      </w:pPr>
    </w:p>
    <w:p w:rsidR="009049A5" w:rsidRDefault="009049A5" w:rsidP="006F2EDD">
      <w:pPr>
        <w:pStyle w:val="OR"/>
      </w:pPr>
      <w:r>
        <w:t>Rapport n° 2008-545-0</w:t>
      </w:r>
    </w:p>
    <w:p w:rsidR="009049A5" w:rsidRDefault="009049A5" w:rsidP="006F2EDD">
      <w:pPr>
        <w:pStyle w:val="OR"/>
      </w:pPr>
    </w:p>
    <w:p w:rsidR="009049A5" w:rsidRDefault="009049A5" w:rsidP="007C6484">
      <w:pPr>
        <w:pStyle w:val="OR"/>
        <w:ind w:right="-284"/>
      </w:pPr>
      <w:r>
        <w:t>Séance du 12 septembre 2008</w:t>
      </w:r>
    </w:p>
    <w:p w:rsidR="009049A5" w:rsidRDefault="009049A5" w:rsidP="007C6484">
      <w:pPr>
        <w:pStyle w:val="OR"/>
        <w:ind w:right="-284"/>
      </w:pPr>
    </w:p>
    <w:p w:rsidR="009049A5" w:rsidRDefault="009049A5" w:rsidP="00C04F68">
      <w:pPr>
        <w:pStyle w:val="OR"/>
        <w:spacing w:after="840"/>
        <w:ind w:right="-284"/>
      </w:pPr>
      <w:r>
        <w:t>Lecture publique du 21 octobre 2008</w:t>
      </w:r>
    </w:p>
    <w:p w:rsidR="009049A5" w:rsidRDefault="009049A5">
      <w:pPr>
        <w:pStyle w:val="PS"/>
      </w:pPr>
      <w:r>
        <w:t>LA COUR DES COMPTES a rendu l’arrêt suivant :</w:t>
      </w:r>
    </w:p>
    <w:p w:rsidR="009049A5" w:rsidRDefault="009049A5">
      <w:pPr>
        <w:pStyle w:val="PS"/>
      </w:pPr>
      <w:r>
        <w:t>LA COUR,</w:t>
      </w:r>
    </w:p>
    <w:p w:rsidR="009049A5" w:rsidRPr="005509B6" w:rsidRDefault="009049A5" w:rsidP="00470B79">
      <w:pPr>
        <w:pStyle w:val="PS"/>
      </w:pPr>
      <w:r w:rsidRPr="005509B6">
        <w:t xml:space="preserve">Vu l'arrêt n° </w:t>
      </w:r>
      <w:hyperlink r:id="rId7" w:history="1">
        <w:r w:rsidRPr="00D051E4">
          <w:t>39812</w:t>
        </w:r>
      </w:hyperlink>
      <w:r w:rsidRPr="005509B6">
        <w:t>, lu en audience publique le 20 juillet 2004, par lequel la Cour a déclaré à titre définitif conjointement et solidairement comptables de fait des deniers de l'État, du chef de treize subventions qui ont été versées à la FONDATION NATIONALE DES SCIENCES POLITIQUES (FNSP) :</w:t>
      </w:r>
    </w:p>
    <w:p w:rsidR="009049A5" w:rsidRPr="005509B6" w:rsidRDefault="009049A5" w:rsidP="00470B79">
      <w:pPr>
        <w:pStyle w:val="PS"/>
        <w:spacing w:after="240"/>
      </w:pPr>
      <w:r w:rsidRPr="005509B6">
        <w:t>- MM. X, Y, Mme Z et M. A, directeurs successifs de la direction chargée de l'enseignement supérieur (DES) ;</w:t>
      </w:r>
    </w:p>
    <w:p w:rsidR="009049A5" w:rsidRPr="005509B6" w:rsidRDefault="009049A5" w:rsidP="00470B79">
      <w:pPr>
        <w:pStyle w:val="PS"/>
        <w:spacing w:after="240"/>
      </w:pPr>
      <w:r w:rsidRPr="005509B6">
        <w:t>- Mme B et M. C, chefs successifs du service des établissements de la DES ;</w:t>
      </w:r>
    </w:p>
    <w:p w:rsidR="009049A5" w:rsidRPr="005509B6" w:rsidRDefault="009049A5" w:rsidP="00470B79">
      <w:pPr>
        <w:pStyle w:val="PS"/>
        <w:spacing w:after="240"/>
      </w:pPr>
      <w:r w:rsidRPr="005509B6">
        <w:t xml:space="preserve">- Mme </w:t>
      </w:r>
      <w:r>
        <w:t>D</w:t>
      </w:r>
      <w:r w:rsidRPr="005509B6">
        <w:t>, chargée de la sous direction de la gestion des moyens et des constructions à la DES ;</w:t>
      </w:r>
    </w:p>
    <w:p w:rsidR="009049A5" w:rsidRPr="005509B6" w:rsidRDefault="009049A5" w:rsidP="00470B79">
      <w:pPr>
        <w:pStyle w:val="PS"/>
        <w:spacing w:after="240"/>
      </w:pPr>
      <w:r w:rsidRPr="005509B6">
        <w:t>- M. E, adjoint à la directrice de l'enseignement supérieur ;</w:t>
      </w:r>
    </w:p>
    <w:p w:rsidR="009049A5" w:rsidRPr="005509B6" w:rsidRDefault="009049A5" w:rsidP="00470B79">
      <w:pPr>
        <w:pStyle w:val="PS"/>
        <w:spacing w:after="240"/>
      </w:pPr>
      <w:r w:rsidRPr="005509B6">
        <w:t>- MM. F et G, administrateurs successifs de la FNSP</w:t>
      </w:r>
      <w:r>
        <w:t> </w:t>
      </w:r>
      <w:r w:rsidRPr="005509B6">
        <w:t> ;</w:t>
      </w:r>
    </w:p>
    <w:p w:rsidR="009049A5" w:rsidRPr="005509B6" w:rsidRDefault="009049A5" w:rsidP="00470B79">
      <w:pPr>
        <w:pStyle w:val="PS"/>
        <w:spacing w:after="240"/>
      </w:pPr>
      <w:r w:rsidRPr="005509B6">
        <w:t>- M. H, directeur administratif et financier de la FNSP  ;</w:t>
      </w:r>
    </w:p>
    <w:p w:rsidR="009049A5" w:rsidRPr="005509B6" w:rsidRDefault="009049A5" w:rsidP="00470B79">
      <w:pPr>
        <w:pStyle w:val="PS"/>
      </w:pPr>
      <w:r w:rsidRPr="005509B6">
        <w:t>- M. I, directeur des finances de la FNSP.</w:t>
      </w:r>
    </w:p>
    <w:p w:rsidR="009049A5" w:rsidRDefault="009049A5" w:rsidP="00A41545">
      <w:pPr>
        <w:pStyle w:val="PS"/>
        <w:spacing w:after="240"/>
      </w:pPr>
      <w:r w:rsidRPr="005509B6">
        <w:t xml:space="preserve">Vu l'arrêt n° </w:t>
      </w:r>
      <w:hyperlink r:id="rId8" w:history="1">
        <w:r w:rsidRPr="00D051E4">
          <w:t>39813</w:t>
        </w:r>
      </w:hyperlink>
      <w:r w:rsidRPr="005509B6">
        <w:t xml:space="preserve"> </w:t>
      </w:r>
      <w:r>
        <w:t xml:space="preserve">du </w:t>
      </w:r>
      <w:r w:rsidRPr="005509B6">
        <w:t>17 juin 2004 par lequel la Cour</w:t>
      </w:r>
      <w:r>
        <w:t>, statuant à titre provisoire,</w:t>
      </w:r>
      <w:r w:rsidRPr="005509B6">
        <w:t xml:space="preserve"> a enjoint </w:t>
      </w:r>
      <w:r>
        <w:t>les</w:t>
      </w:r>
      <w:r w:rsidRPr="005509B6">
        <w:t xml:space="preserve"> comptables de fait de produire, dans un délai de deux mois à compter de la notification de cet arrêt :</w:t>
      </w:r>
    </w:p>
    <w:p w:rsidR="009049A5" w:rsidRPr="005509B6" w:rsidRDefault="009049A5" w:rsidP="00470B79">
      <w:pPr>
        <w:pStyle w:val="IN"/>
      </w:pPr>
      <w:r>
        <w:t>MNT</w:t>
      </w:r>
    </w:p>
    <w:p w:rsidR="009049A5" w:rsidRDefault="009049A5" w:rsidP="00470B79">
      <w:pPr>
        <w:pStyle w:val="PS"/>
        <w:sectPr w:rsidR="009049A5" w:rsidSect="00A41545">
          <w:headerReference w:type="default" r:id="rId9"/>
          <w:headerReference w:type="first" r:id="rId10"/>
          <w:pgSz w:w="11907" w:h="16840" w:code="9"/>
          <w:pgMar w:top="1021" w:right="1134" w:bottom="851" w:left="567" w:header="720" w:footer="720" w:gutter="0"/>
          <w:cols w:space="720"/>
          <w:titlePg/>
        </w:sectPr>
      </w:pPr>
    </w:p>
    <w:p w:rsidR="009049A5" w:rsidRPr="005509B6" w:rsidRDefault="009049A5" w:rsidP="00470B79">
      <w:pPr>
        <w:pStyle w:val="PS"/>
      </w:pPr>
      <w:r w:rsidRPr="005509B6">
        <w:t>- un compte unique, dûment certifié et signé par chacun d'eux pour la période qui le concerne, retraçant l'ensemble des opérations effectuées au moyen des fonds publics en cause, en recettes et dépenses ;</w:t>
      </w:r>
    </w:p>
    <w:p w:rsidR="009049A5" w:rsidRPr="005509B6" w:rsidRDefault="009049A5" w:rsidP="00470B79">
      <w:pPr>
        <w:pStyle w:val="PS"/>
      </w:pPr>
      <w:r w:rsidRPr="005509B6">
        <w:t>- toutes justifications sur la nature et la matérialité des recettes et des dépenses correspondantes qui auront été faites dans l'intérêt de l'État ;</w:t>
      </w:r>
    </w:p>
    <w:p w:rsidR="009049A5" w:rsidRDefault="009049A5" w:rsidP="00470B79">
      <w:pPr>
        <w:pStyle w:val="PS"/>
      </w:pPr>
      <w:r w:rsidRPr="005509B6">
        <w:t>- la preuve du reversement dans la caisse du Trésor des sommes dont ils demeureraient détenteurs et du produit tiré du placement éventuel des fonds irrégulièrement extraits de la caisse de l'État</w:t>
      </w:r>
      <w:r>
        <w:t> ;</w:t>
      </w:r>
    </w:p>
    <w:p w:rsidR="009049A5" w:rsidRPr="003A5F9A" w:rsidRDefault="009049A5" w:rsidP="00470B79">
      <w:pPr>
        <w:pStyle w:val="PS"/>
      </w:pPr>
      <w:r w:rsidRPr="003A5F9A">
        <w:t>Vu les arrêts n° 44072 du 7 novembre 2005 et n°</w:t>
      </w:r>
      <w:r>
        <w:t> </w:t>
      </w:r>
      <w:r w:rsidRPr="003A5F9A">
        <w:t>48554 du 13 mars 2007 par lesquels la Cour, statuant à titre provisoire, a maintenu l’injonction précitée ;</w:t>
      </w:r>
    </w:p>
    <w:p w:rsidR="009049A5" w:rsidRPr="005509B6" w:rsidRDefault="009049A5" w:rsidP="00470B79">
      <w:pPr>
        <w:pStyle w:val="PS"/>
      </w:pPr>
      <w:r w:rsidRPr="003A5F9A">
        <w:t>Vu les pièces attestant la notification des arrêts susvisés ;</w:t>
      </w:r>
    </w:p>
    <w:p w:rsidR="009049A5" w:rsidRDefault="009049A5" w:rsidP="00470B79">
      <w:pPr>
        <w:pStyle w:val="PS"/>
      </w:pPr>
      <w:r w:rsidRPr="005509B6">
        <w:t>Vu l'ensemble des réponses produites à la Cour par les comptables de fait, et en particulier la lettre du 29 août 2006 à laquelle est joint un compte de la gestion de fait et celle du 24 octobre 2007 transmettant un ensemble de pièces justificatives complémentaires ;</w:t>
      </w:r>
    </w:p>
    <w:p w:rsidR="009049A5" w:rsidRPr="005509B6" w:rsidRDefault="009049A5" w:rsidP="000543F0">
      <w:pPr>
        <w:pStyle w:val="PS"/>
      </w:pPr>
      <w:r w:rsidRPr="005509B6">
        <w:t>Vu les lettres reçues respectivement le 30 octobre 2007</w:t>
      </w:r>
      <w:r>
        <w:t xml:space="preserve"> </w:t>
      </w:r>
      <w:r w:rsidRPr="005509B6">
        <w:t>de Mme Z et de M.</w:t>
      </w:r>
      <w:r>
        <w:t> </w:t>
      </w:r>
      <w:r w:rsidRPr="005509B6">
        <w:t>E, le 6 novembre 2007 de Mme B, de M.</w:t>
      </w:r>
      <w:r>
        <w:t> </w:t>
      </w:r>
      <w:r w:rsidRPr="005509B6">
        <w:t>X et de M.</w:t>
      </w:r>
      <w:r>
        <w:t> </w:t>
      </w:r>
      <w:r w:rsidRPr="005509B6">
        <w:t>C, le 9 novembre 2007 de M.</w:t>
      </w:r>
      <w:r>
        <w:t> </w:t>
      </w:r>
      <w:r w:rsidRPr="005509B6">
        <w:t>Y et le 15 novembre 2007 de M.</w:t>
      </w:r>
      <w:r>
        <w:t> </w:t>
      </w:r>
      <w:r w:rsidRPr="005509B6">
        <w:t>A</w:t>
      </w:r>
      <w:r>
        <w:t> ;</w:t>
      </w:r>
    </w:p>
    <w:p w:rsidR="009049A5" w:rsidRPr="005509B6" w:rsidRDefault="009049A5" w:rsidP="00470B79">
      <w:pPr>
        <w:pStyle w:val="PS"/>
      </w:pPr>
      <w:r w:rsidRPr="005509B6">
        <w:t>Vu le code des juridictions financières</w:t>
      </w:r>
      <w:r>
        <w:t xml:space="preserve"> </w:t>
      </w:r>
      <w:r w:rsidRPr="005509B6">
        <w:t>;</w:t>
      </w:r>
    </w:p>
    <w:p w:rsidR="009049A5" w:rsidRPr="005509B6" w:rsidRDefault="009049A5" w:rsidP="005147D5">
      <w:pPr>
        <w:pStyle w:val="PS"/>
      </w:pPr>
      <w:r w:rsidRPr="005509B6">
        <w:t>Vu l'article 60 alinéa XI de la loi de finances n°</w:t>
      </w:r>
      <w:r>
        <w:t> </w:t>
      </w:r>
      <w:r w:rsidRPr="005509B6">
        <w:t xml:space="preserve">63-156 du </w:t>
      </w:r>
      <w:r w:rsidRPr="003A5F9A">
        <w:t>23 février 1963 modifiée ;</w:t>
      </w:r>
    </w:p>
    <w:p w:rsidR="009049A5" w:rsidRPr="005509B6" w:rsidRDefault="009049A5" w:rsidP="005147D5">
      <w:pPr>
        <w:pStyle w:val="PS"/>
      </w:pPr>
      <w:r w:rsidRPr="005509B6">
        <w:t>Vu le décret n°</w:t>
      </w:r>
      <w:r>
        <w:t> </w:t>
      </w:r>
      <w:r w:rsidRPr="005509B6">
        <w:t>62-1587 du 29</w:t>
      </w:r>
      <w:r>
        <w:t> </w:t>
      </w:r>
      <w:r w:rsidRPr="005509B6">
        <w:t>décembre</w:t>
      </w:r>
      <w:r>
        <w:t> </w:t>
      </w:r>
      <w:r w:rsidRPr="005509B6">
        <w:t>1962 portant règlement général sur la comptabilité publique ;</w:t>
      </w:r>
    </w:p>
    <w:p w:rsidR="009049A5" w:rsidRDefault="009049A5" w:rsidP="005147D5">
      <w:pPr>
        <w:pStyle w:val="PS"/>
      </w:pPr>
      <w:r w:rsidRPr="003A5F9A">
        <w:t>Vu la lettre en date du</w:t>
      </w:r>
      <w:r>
        <w:t xml:space="preserve"> 21 août 2008 </w:t>
      </w:r>
      <w:r w:rsidRPr="003A5F9A">
        <w:t>informant les personnes désignées ci</w:t>
      </w:r>
      <w:r>
        <w:noBreakHyphen/>
      </w:r>
      <w:r w:rsidRPr="003A5F9A">
        <w:t>dessus de la tenue d’une audience publique et de la possibilité d’y présenter leurs observations dans les conditions prévues par l’article L.131-2 du code des juridictions financières ;</w:t>
      </w:r>
    </w:p>
    <w:p w:rsidR="009049A5" w:rsidRPr="005509B6" w:rsidRDefault="009049A5" w:rsidP="005147D5">
      <w:pPr>
        <w:pStyle w:val="PS"/>
      </w:pPr>
      <w:r w:rsidRPr="003A5F9A">
        <w:t>Vu la feuille de présence à l’audience publique du 12</w:t>
      </w:r>
      <w:r>
        <w:t> </w:t>
      </w:r>
      <w:r w:rsidRPr="003A5F9A">
        <w:t>septembre</w:t>
      </w:r>
      <w:r>
        <w:t> </w:t>
      </w:r>
      <w:r w:rsidRPr="003A5F9A">
        <w:t>2008 attestant que l’ensemble des gestionnaires de fait se sont présentés à celle-ci, à l’exception de Mme B et de M. F qui se sont excusés et de M.</w:t>
      </w:r>
      <w:r>
        <w:t> </w:t>
      </w:r>
      <w:r w:rsidRPr="003A5F9A">
        <w:t>G ;</w:t>
      </w:r>
    </w:p>
    <w:p w:rsidR="009049A5" w:rsidRPr="005509B6" w:rsidRDefault="009049A5" w:rsidP="005147D5">
      <w:pPr>
        <w:pStyle w:val="PS"/>
      </w:pPr>
      <w:r w:rsidRPr="005509B6">
        <w:t>Sur le rapport de M.</w:t>
      </w:r>
      <w:r>
        <w:t> </w:t>
      </w:r>
      <w:r w:rsidRPr="005509B6">
        <w:t>Lesueur, conseiller référendaire ;</w:t>
      </w:r>
    </w:p>
    <w:p w:rsidR="009049A5" w:rsidRPr="005509B6" w:rsidRDefault="009049A5" w:rsidP="00470B79">
      <w:pPr>
        <w:pStyle w:val="PS"/>
      </w:pPr>
      <w:r w:rsidRPr="005509B6">
        <w:t>Vu les conclusions n°</w:t>
      </w:r>
      <w:r>
        <w:t> </w:t>
      </w:r>
      <w:r w:rsidRPr="005509B6">
        <w:t>537 du 16 juillet 2008 du procureur général de la République ;</w:t>
      </w:r>
    </w:p>
    <w:p w:rsidR="009049A5" w:rsidRPr="005509B6" w:rsidRDefault="009049A5" w:rsidP="005147D5">
      <w:pPr>
        <w:pStyle w:val="PS"/>
      </w:pPr>
      <w:r w:rsidRPr="005509B6">
        <w:t>Entendu à l'audience publique de ce jour M.</w:t>
      </w:r>
      <w:r>
        <w:t> </w:t>
      </w:r>
      <w:r w:rsidRPr="005509B6">
        <w:t>Lesueur, en son rapport</w:t>
      </w:r>
      <w:r>
        <w:t>,</w:t>
      </w:r>
      <w:r w:rsidRPr="005509B6">
        <w:t xml:space="preserve"> M.</w:t>
      </w:r>
      <w:r>
        <w:t> </w:t>
      </w:r>
      <w:r w:rsidRPr="005509B6">
        <w:t>Filippini, avocat général</w:t>
      </w:r>
      <w:r>
        <w:t>,</w:t>
      </w:r>
      <w:r w:rsidRPr="005509B6">
        <w:t xml:space="preserve"> en ses conclusions, ainsi que Mmes Z, </w:t>
      </w:r>
      <w:r>
        <w:t xml:space="preserve">et </w:t>
      </w:r>
      <w:r w:rsidRPr="005509B6">
        <w:t>D, MM</w:t>
      </w:r>
      <w:r>
        <w:t>. </w:t>
      </w:r>
      <w:r w:rsidRPr="005509B6">
        <w:t xml:space="preserve">X, Y, A, </w:t>
      </w:r>
      <w:r>
        <w:t>E</w:t>
      </w:r>
      <w:r w:rsidRPr="005509B6">
        <w:t xml:space="preserve">, C, H et I, </w:t>
      </w:r>
      <w:r w:rsidRPr="003A5F9A">
        <w:t>les gestionnaires de fait ayant eu la parole en dernier ;</w:t>
      </w:r>
    </w:p>
    <w:p w:rsidR="009049A5" w:rsidRDefault="009049A5" w:rsidP="00470B79">
      <w:pPr>
        <w:pStyle w:val="PS"/>
      </w:pPr>
      <w:r w:rsidRPr="005509B6">
        <w:t>Ayant délibéré hors la présence du rapporteur et du ministère public et après avoir entendu M. Mayaud, conseiller maître, en ses observations ;</w:t>
      </w:r>
    </w:p>
    <w:p w:rsidR="009049A5" w:rsidRPr="00564F7C" w:rsidRDefault="009049A5" w:rsidP="00470B79">
      <w:pPr>
        <w:pStyle w:val="PS"/>
        <w:rPr>
          <w:b/>
        </w:rPr>
      </w:pPr>
      <w:r w:rsidRPr="00564F7C">
        <w:rPr>
          <w:b/>
        </w:rPr>
        <w:t>En ce qui concerne l’injonction</w:t>
      </w:r>
      <w:r>
        <w:rPr>
          <w:b/>
        </w:rPr>
        <w:t xml:space="preserve"> de production d’un compte de la gestion de fait </w:t>
      </w:r>
      <w:r w:rsidRPr="00564F7C">
        <w:rPr>
          <w:b/>
        </w:rPr>
        <w:t xml:space="preserve"> formulée par l’arrêt </w:t>
      </w:r>
      <w:r>
        <w:rPr>
          <w:b/>
        </w:rPr>
        <w:t>n° </w:t>
      </w:r>
      <w:r w:rsidRPr="00564F7C">
        <w:rPr>
          <w:b/>
        </w:rPr>
        <w:t>39813 du 17 juin 2004 :</w:t>
      </w:r>
    </w:p>
    <w:p w:rsidR="009049A5" w:rsidRPr="005509B6" w:rsidRDefault="009049A5" w:rsidP="005147D5">
      <w:pPr>
        <w:pStyle w:val="PS"/>
      </w:pPr>
      <w:r w:rsidRPr="005509B6">
        <w:t>Attendu que les comptables de fait ont produit, dans leur réponse à l'arrêt provisoire n°</w:t>
      </w:r>
      <w:r>
        <w:t> </w:t>
      </w:r>
      <w:r w:rsidRPr="005509B6">
        <w:t>44072 du 7 novembre 2005 susvisé, un compte qui reprend</w:t>
      </w:r>
      <w:r w:rsidRPr="005D1796">
        <w:t xml:space="preserve"> </w:t>
      </w:r>
      <w:r>
        <w:t>en recettes</w:t>
      </w:r>
      <w:r w:rsidRPr="005509B6">
        <w:t>, à juste titre, la somme des treize subventions énumérées par l'arrêt définitif de la Cour n°</w:t>
      </w:r>
      <w:r>
        <w:t> </w:t>
      </w:r>
      <w:hyperlink r:id="rId11" w:history="1">
        <w:r w:rsidRPr="00D051E4">
          <w:t>39812</w:t>
        </w:r>
      </w:hyperlink>
      <w:r w:rsidRPr="005509B6">
        <w:t>, lu en audience publique le 20 juillet 2004, pour un total de 568.622,57 € ;</w:t>
      </w:r>
    </w:p>
    <w:p w:rsidR="009049A5" w:rsidRPr="003A5F9A" w:rsidRDefault="009049A5" w:rsidP="00470B79">
      <w:pPr>
        <w:pStyle w:val="PS"/>
      </w:pPr>
      <w:r w:rsidRPr="005509B6">
        <w:t xml:space="preserve">Attendu que ce compte présente des dépenses pour un total de 568.622,57 €, équilibrant les recettes à un montant identique ; que le compte en dépenses est présenté de telle sorte qu'il fait clairement apparaître les gestionnaires de fait solidairement responsables à raison des opérations qui y sont retracées, conformément aux indications formulées par la Cour dans son arrêt provisoire n° 44072 du 7 </w:t>
      </w:r>
      <w:r w:rsidRPr="003A5F9A">
        <w:t>novembre 2005 susvisé ;</w:t>
      </w:r>
    </w:p>
    <w:p w:rsidR="009049A5" w:rsidRDefault="009049A5" w:rsidP="00470B79">
      <w:pPr>
        <w:pStyle w:val="PS"/>
      </w:pPr>
      <w:r w:rsidRPr="003A5F9A">
        <w:t>Attendu, en outre, que les comptables de fait ont déterminé que le solde d'ouverture de la gestion de fait s'élevait à 30.246,33 € et qu'ils ont retranché du compte les opérations financées par ce solde alimenté par des subventions antérieures non incluses dans le périmètre de la gestion de fait</w:t>
      </w:r>
      <w:r>
        <w:t> ;</w:t>
      </w:r>
      <w:r w:rsidRPr="005509B6">
        <w:t xml:space="preserve"> </w:t>
      </w:r>
      <w:r w:rsidRPr="003A5F9A">
        <w:t xml:space="preserve">qu'au regard des recettes correspondant aux treize subventions irrégulières précitées, des dépenses ont été inscrites à due concurrence, de sorte que, par voie de conséquence, le solde d'emploi de chaque subvention est nul; qu’en définitive, le compte et les sous-comptes se présentent </w:t>
      </w:r>
      <w:r>
        <w:t>comme indiqué dans le tableau de la page suivante</w:t>
      </w:r>
      <w:r w:rsidRPr="003A5F9A">
        <w:t> :</w:t>
      </w:r>
    </w:p>
    <w:p w:rsidR="009049A5" w:rsidRPr="005509B6" w:rsidRDefault="009049A5" w:rsidP="00470B79">
      <w:pPr>
        <w:pStyle w:val="PS"/>
      </w:pPr>
      <w:r>
        <w:br w:type="page"/>
      </w:r>
    </w:p>
    <w:tbl>
      <w:tblPr>
        <w:tblW w:w="4985" w:type="pct"/>
        <w:tblInd w:w="65" w:type="dxa"/>
        <w:tblCellMar>
          <w:left w:w="0" w:type="dxa"/>
          <w:right w:w="0" w:type="dxa"/>
        </w:tblCellMar>
        <w:tblLook w:val="0000"/>
      </w:tblPr>
      <w:tblGrid>
        <w:gridCol w:w="1109"/>
        <w:gridCol w:w="804"/>
        <w:gridCol w:w="1821"/>
        <w:gridCol w:w="3891"/>
        <w:gridCol w:w="1214"/>
        <w:gridCol w:w="1416"/>
      </w:tblGrid>
      <w:tr w:rsidR="009049A5" w:rsidRPr="002A3B32">
        <w:trPr>
          <w:trHeight w:val="405"/>
        </w:trPr>
        <w:tc>
          <w:tcPr>
            <w:tcW w:w="988" w:type="dxa"/>
            <w:vMerge w:val="restart"/>
            <w:tcBorders>
              <w:top w:val="single" w:sz="8" w:space="0" w:color="auto"/>
              <w:left w:val="single" w:sz="8" w:space="0" w:color="auto"/>
              <w:bottom w:val="single" w:sz="8" w:space="0" w:color="000000"/>
              <w:right w:val="single" w:sz="8" w:space="0" w:color="auto"/>
            </w:tcBorders>
            <w:vAlign w:val="center"/>
          </w:tcPr>
          <w:p w:rsidR="009049A5" w:rsidRPr="002A3B32" w:rsidRDefault="009049A5" w:rsidP="00E427F3">
            <w:pPr>
              <w:spacing w:before="100" w:beforeAutospacing="1" w:after="100" w:afterAutospacing="1"/>
              <w:jc w:val="center"/>
            </w:pPr>
            <w:r w:rsidRPr="002A3B32">
              <w:rPr>
                <w:b/>
                <w:bCs/>
              </w:rPr>
              <w:t>Subvention</w:t>
            </w:r>
            <w:r w:rsidRPr="002A3B32">
              <w:rPr>
                <w:b/>
                <w:bCs/>
              </w:rPr>
              <w:br/>
              <w:t>(sous-compte)</w:t>
            </w:r>
          </w:p>
        </w:tc>
        <w:tc>
          <w:tcPr>
            <w:tcW w:w="715" w:type="dxa"/>
            <w:vMerge w:val="restart"/>
            <w:tcBorders>
              <w:top w:val="single" w:sz="8" w:space="0" w:color="auto"/>
              <w:left w:val="nil"/>
              <w:bottom w:val="single" w:sz="8" w:space="0" w:color="000000"/>
              <w:right w:val="single" w:sz="8" w:space="0" w:color="auto"/>
            </w:tcBorders>
            <w:vAlign w:val="center"/>
          </w:tcPr>
          <w:p w:rsidR="009049A5" w:rsidRPr="002A3B32" w:rsidRDefault="009049A5" w:rsidP="00E427F3">
            <w:pPr>
              <w:spacing w:before="100" w:beforeAutospacing="1" w:after="100" w:afterAutospacing="1"/>
              <w:jc w:val="center"/>
            </w:pPr>
            <w:r w:rsidRPr="002A3B32">
              <w:rPr>
                <w:b/>
                <w:bCs/>
              </w:rPr>
              <w:t>N° des</w:t>
            </w:r>
            <w:r w:rsidRPr="002A3B32">
              <w:rPr>
                <w:b/>
                <w:bCs/>
              </w:rPr>
              <w:br/>
              <w:t> sphères</w:t>
            </w:r>
          </w:p>
        </w:tc>
        <w:tc>
          <w:tcPr>
            <w:tcW w:w="5082" w:type="dxa"/>
            <w:gridSpan w:val="2"/>
            <w:tcBorders>
              <w:top w:val="single" w:sz="8" w:space="0" w:color="auto"/>
              <w:left w:val="nil"/>
              <w:bottom w:val="single" w:sz="8" w:space="0" w:color="auto"/>
              <w:right w:val="single" w:sz="8" w:space="0" w:color="auto"/>
            </w:tcBorders>
            <w:noWrap/>
            <w:vAlign w:val="center"/>
          </w:tcPr>
          <w:p w:rsidR="009049A5" w:rsidRPr="002A3B32" w:rsidRDefault="009049A5" w:rsidP="00E427F3">
            <w:pPr>
              <w:spacing w:before="100" w:beforeAutospacing="1" w:after="100" w:afterAutospacing="1"/>
              <w:jc w:val="center"/>
            </w:pPr>
            <w:r w:rsidRPr="002A3B32">
              <w:rPr>
                <w:b/>
                <w:bCs/>
              </w:rPr>
              <w:t>Sphère de responsabilité</w:t>
            </w:r>
          </w:p>
        </w:tc>
        <w:tc>
          <w:tcPr>
            <w:tcW w:w="1080" w:type="dxa"/>
            <w:vMerge w:val="restart"/>
            <w:tcBorders>
              <w:top w:val="single" w:sz="8" w:space="0" w:color="auto"/>
              <w:left w:val="nil"/>
              <w:bottom w:val="single" w:sz="8" w:space="0" w:color="000000"/>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rPr>
                <w:b/>
                <w:bCs/>
              </w:rPr>
              <w:t>Recettes</w:t>
            </w:r>
          </w:p>
        </w:tc>
        <w:tc>
          <w:tcPr>
            <w:tcW w:w="1260" w:type="dxa"/>
            <w:vMerge w:val="restart"/>
            <w:tcBorders>
              <w:top w:val="single" w:sz="8" w:space="0" w:color="auto"/>
              <w:left w:val="nil"/>
              <w:bottom w:val="single" w:sz="8" w:space="0" w:color="000000"/>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rPr>
                <w:b/>
                <w:bCs/>
              </w:rPr>
              <w:t>Dépenses</w:t>
            </w:r>
          </w:p>
        </w:tc>
      </w:tr>
      <w:tr w:rsidR="009049A5" w:rsidRPr="002A3B32">
        <w:trPr>
          <w:trHeight w:val="375"/>
        </w:trPr>
        <w:tc>
          <w:tcPr>
            <w:tcW w:w="988" w:type="dxa"/>
            <w:vMerge/>
            <w:tcBorders>
              <w:top w:val="single" w:sz="8" w:space="0" w:color="auto"/>
              <w:left w:val="single" w:sz="8" w:space="0" w:color="auto"/>
              <w:bottom w:val="single" w:sz="8" w:space="0" w:color="000000"/>
              <w:right w:val="single" w:sz="8" w:space="0" w:color="auto"/>
            </w:tcBorders>
            <w:vAlign w:val="center"/>
          </w:tcPr>
          <w:p w:rsidR="009049A5" w:rsidRPr="002A3B32" w:rsidRDefault="009049A5" w:rsidP="00E427F3"/>
        </w:tc>
        <w:tc>
          <w:tcPr>
            <w:tcW w:w="715" w:type="dxa"/>
            <w:vMerge/>
            <w:tcBorders>
              <w:top w:val="single" w:sz="8" w:space="0" w:color="auto"/>
              <w:left w:val="nil"/>
              <w:bottom w:val="single" w:sz="8" w:space="0" w:color="000000"/>
              <w:right w:val="single" w:sz="8" w:space="0" w:color="auto"/>
            </w:tcBorders>
            <w:vAlign w:val="center"/>
          </w:tcPr>
          <w:p w:rsidR="009049A5" w:rsidRPr="002A3B32" w:rsidRDefault="009049A5" w:rsidP="00E427F3"/>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Auteur de la subvention</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Auteurs des dépenses</w:t>
            </w:r>
          </w:p>
        </w:tc>
        <w:tc>
          <w:tcPr>
            <w:tcW w:w="1080" w:type="dxa"/>
            <w:vMerge/>
            <w:tcBorders>
              <w:top w:val="single" w:sz="8" w:space="0" w:color="auto"/>
              <w:left w:val="nil"/>
              <w:bottom w:val="single" w:sz="8" w:space="0" w:color="000000"/>
              <w:right w:val="single" w:sz="8" w:space="0" w:color="auto"/>
            </w:tcBorders>
            <w:vAlign w:val="center"/>
          </w:tcPr>
          <w:p w:rsidR="009049A5" w:rsidRPr="002A3B32" w:rsidRDefault="009049A5" w:rsidP="00E427F3"/>
        </w:tc>
        <w:tc>
          <w:tcPr>
            <w:tcW w:w="1260" w:type="dxa"/>
            <w:vMerge/>
            <w:tcBorders>
              <w:top w:val="single" w:sz="8" w:space="0" w:color="auto"/>
              <w:left w:val="nil"/>
              <w:bottom w:val="single" w:sz="8" w:space="0" w:color="000000"/>
              <w:right w:val="single" w:sz="8" w:space="0" w:color="auto"/>
            </w:tcBorders>
            <w:vAlign w:val="center"/>
          </w:tcPr>
          <w:p w:rsidR="009049A5" w:rsidRPr="002A3B32" w:rsidRDefault="009049A5" w:rsidP="00E427F3"/>
        </w:tc>
      </w:tr>
      <w:tr w:rsidR="009049A5" w:rsidRPr="002A3B32">
        <w:trPr>
          <w:trHeight w:val="255"/>
        </w:trPr>
        <w:tc>
          <w:tcPr>
            <w:tcW w:w="98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B</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F-H-X</w:t>
            </w:r>
          </w:p>
        </w:tc>
        <w:tc>
          <w:tcPr>
            <w:tcW w:w="108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22 867,35  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22 867,35  </w:t>
            </w:r>
          </w:p>
        </w:tc>
      </w:tr>
      <w:tr w:rsidR="009049A5" w:rsidRPr="002A3B32">
        <w:trPr>
          <w:trHeight w:val="255"/>
        </w:trPr>
        <w:tc>
          <w:tcPr>
            <w:tcW w:w="988" w:type="dxa"/>
            <w:vMerge w:val="restar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2</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2-1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B</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F-H-X</w:t>
            </w:r>
          </w:p>
        </w:tc>
        <w:tc>
          <w:tcPr>
            <w:tcW w:w="1080"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15 244,90  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12 004,85  </w:t>
            </w:r>
          </w:p>
        </w:tc>
      </w:tr>
      <w:tr w:rsidR="009049A5" w:rsidRPr="002A3B32">
        <w:trPr>
          <w:trHeight w:val="255"/>
        </w:trPr>
        <w:tc>
          <w:tcPr>
            <w:tcW w:w="988" w:type="dxa"/>
            <w:vMerge/>
            <w:tcBorders>
              <w:top w:val="nil"/>
              <w:left w:val="single" w:sz="8" w:space="0" w:color="auto"/>
              <w:bottom w:val="single" w:sz="8" w:space="0" w:color="auto"/>
              <w:right w:val="single" w:sz="8" w:space="0" w:color="auto"/>
            </w:tcBorders>
            <w:vAlign w:val="center"/>
          </w:tcPr>
          <w:p w:rsidR="009049A5" w:rsidRPr="002A3B32" w:rsidRDefault="009049A5" w:rsidP="00E427F3"/>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2-2</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B</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F-H-Y</w:t>
            </w:r>
          </w:p>
        </w:tc>
        <w:tc>
          <w:tcPr>
            <w:tcW w:w="1080" w:type="dxa"/>
            <w:vMerge/>
            <w:tcBorders>
              <w:top w:val="nil"/>
              <w:left w:val="nil"/>
              <w:bottom w:val="single" w:sz="8" w:space="0" w:color="auto"/>
              <w:right w:val="single" w:sz="8" w:space="0" w:color="auto"/>
            </w:tcBorders>
            <w:vAlign w:val="center"/>
          </w:tcPr>
          <w:p w:rsidR="009049A5" w:rsidRPr="002A3B32" w:rsidRDefault="009049A5" w:rsidP="00E427F3"/>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3 240,05  </w:t>
            </w:r>
          </w:p>
        </w:tc>
      </w:tr>
      <w:tr w:rsidR="009049A5" w:rsidRPr="002A3B32">
        <w:trPr>
          <w:trHeight w:val="255"/>
        </w:trPr>
        <w:tc>
          <w:tcPr>
            <w:tcW w:w="988" w:type="dxa"/>
            <w:vMerge w:val="restar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X</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F-H-Y</w:t>
            </w:r>
          </w:p>
        </w:tc>
        <w:tc>
          <w:tcPr>
            <w:tcW w:w="1080"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41 161,23  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18 430,9</w:t>
            </w:r>
            <w:r>
              <w:t>1</w:t>
            </w:r>
            <w:r w:rsidRPr="002A3B32">
              <w:t>  </w:t>
            </w:r>
          </w:p>
        </w:tc>
      </w:tr>
      <w:tr w:rsidR="009049A5" w:rsidRPr="002A3B32">
        <w:trPr>
          <w:trHeight w:val="255"/>
        </w:trPr>
        <w:tc>
          <w:tcPr>
            <w:tcW w:w="988" w:type="dxa"/>
            <w:vMerge/>
            <w:tcBorders>
              <w:top w:val="nil"/>
              <w:left w:val="single" w:sz="8" w:space="0" w:color="auto"/>
              <w:bottom w:val="single" w:sz="8" w:space="0" w:color="auto"/>
              <w:right w:val="single" w:sz="8" w:space="0" w:color="auto"/>
            </w:tcBorders>
            <w:vAlign w:val="center"/>
          </w:tcPr>
          <w:p w:rsidR="009049A5" w:rsidRPr="002A3B32" w:rsidRDefault="009049A5" w:rsidP="00E427F3"/>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3-2</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X</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F-H-Y-C</w:t>
            </w:r>
          </w:p>
        </w:tc>
        <w:tc>
          <w:tcPr>
            <w:tcW w:w="1080" w:type="dxa"/>
            <w:vMerge/>
            <w:tcBorders>
              <w:top w:val="nil"/>
              <w:left w:val="nil"/>
              <w:bottom w:val="single" w:sz="8" w:space="0" w:color="auto"/>
              <w:right w:val="single" w:sz="8" w:space="0" w:color="auto"/>
            </w:tcBorders>
            <w:vAlign w:val="center"/>
          </w:tcPr>
          <w:p w:rsidR="009049A5" w:rsidRPr="002A3B32" w:rsidRDefault="009049A5" w:rsidP="00E427F3"/>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9 365,40  </w:t>
            </w:r>
          </w:p>
        </w:tc>
      </w:tr>
      <w:tr w:rsidR="009049A5" w:rsidRPr="002A3B32">
        <w:trPr>
          <w:trHeight w:val="255"/>
        </w:trPr>
        <w:tc>
          <w:tcPr>
            <w:tcW w:w="988" w:type="dxa"/>
            <w:vMerge/>
            <w:tcBorders>
              <w:top w:val="nil"/>
              <w:left w:val="single" w:sz="8" w:space="0" w:color="auto"/>
              <w:bottom w:val="single" w:sz="8" w:space="0" w:color="auto"/>
              <w:right w:val="single" w:sz="8" w:space="0" w:color="auto"/>
            </w:tcBorders>
            <w:vAlign w:val="center"/>
          </w:tcPr>
          <w:p w:rsidR="009049A5" w:rsidRPr="002A3B32" w:rsidRDefault="009049A5" w:rsidP="00E427F3"/>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3-3</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X</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jc w:val="center"/>
              <w:rPr>
                <w:lang w:val="en-GB"/>
              </w:rPr>
            </w:pPr>
            <w:r w:rsidRPr="002A3B32">
              <w:rPr>
                <w:lang w:val="en-GB"/>
              </w:rPr>
              <w:t>F-H-Y-C-D</w:t>
            </w:r>
          </w:p>
        </w:tc>
        <w:tc>
          <w:tcPr>
            <w:tcW w:w="1080" w:type="dxa"/>
            <w:vMerge/>
            <w:tcBorders>
              <w:top w:val="nil"/>
              <w:left w:val="nil"/>
              <w:bottom w:val="single" w:sz="8" w:space="0" w:color="auto"/>
              <w:right w:val="single" w:sz="8" w:space="0" w:color="auto"/>
            </w:tcBorders>
            <w:vAlign w:val="center"/>
          </w:tcPr>
          <w:p w:rsidR="009049A5" w:rsidRPr="002A3B32" w:rsidRDefault="009049A5" w:rsidP="00E427F3">
            <w:pPr>
              <w:rPr>
                <w:lang w:val="en-GB"/>
              </w:rPr>
            </w:pP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13 364,92  </w:t>
            </w:r>
          </w:p>
        </w:tc>
      </w:tr>
      <w:tr w:rsidR="009049A5" w:rsidRPr="002A3B32">
        <w:trPr>
          <w:trHeight w:val="255"/>
        </w:trPr>
        <w:tc>
          <w:tcPr>
            <w:tcW w:w="98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4</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4-1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Y</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rPr>
                <w:lang w:val="en-GB"/>
              </w:rPr>
            </w:pPr>
            <w:r w:rsidRPr="002A3B32">
              <w:rPr>
                <w:lang w:val="en-GB"/>
              </w:rPr>
              <w:t>F-H-Y-C-D</w:t>
            </w:r>
          </w:p>
        </w:tc>
        <w:tc>
          <w:tcPr>
            <w:tcW w:w="108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30 489,80  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30 489,80  </w:t>
            </w:r>
          </w:p>
        </w:tc>
      </w:tr>
      <w:tr w:rsidR="009049A5" w:rsidRPr="002A3B32">
        <w:trPr>
          <w:trHeight w:val="255"/>
        </w:trPr>
        <w:tc>
          <w:tcPr>
            <w:tcW w:w="98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5</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5-1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rPr>
                <w:lang w:val="en-GB"/>
              </w:rPr>
            </w:pPr>
            <w:r w:rsidRPr="002A3B32">
              <w:rPr>
                <w:lang w:val="en-GB"/>
              </w:rPr>
              <w:t>F-H-Y-C-D</w:t>
            </w:r>
          </w:p>
        </w:tc>
        <w:tc>
          <w:tcPr>
            <w:tcW w:w="108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15 244,90  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15 244,90  </w:t>
            </w:r>
          </w:p>
        </w:tc>
      </w:tr>
      <w:tr w:rsidR="009049A5" w:rsidRPr="002A3B32">
        <w:trPr>
          <w:trHeight w:val="255"/>
        </w:trPr>
        <w:tc>
          <w:tcPr>
            <w:tcW w:w="988" w:type="dxa"/>
            <w:vMerge w:val="restar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6</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6-1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D</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rPr>
                <w:lang w:val="en-GB"/>
              </w:rPr>
            </w:pPr>
            <w:r w:rsidRPr="002A3B32">
              <w:rPr>
                <w:lang w:val="en-GB"/>
              </w:rPr>
              <w:t>F-H-Y-C-D</w:t>
            </w:r>
          </w:p>
        </w:tc>
        <w:tc>
          <w:tcPr>
            <w:tcW w:w="1080"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83 846,96  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969,73  </w:t>
            </w:r>
          </w:p>
        </w:tc>
      </w:tr>
      <w:tr w:rsidR="009049A5" w:rsidRPr="002A3B32">
        <w:trPr>
          <w:trHeight w:val="255"/>
        </w:trPr>
        <w:tc>
          <w:tcPr>
            <w:tcW w:w="988" w:type="dxa"/>
            <w:vMerge/>
            <w:tcBorders>
              <w:top w:val="nil"/>
              <w:left w:val="single" w:sz="8" w:space="0" w:color="auto"/>
              <w:bottom w:val="single" w:sz="8" w:space="0" w:color="auto"/>
              <w:right w:val="single" w:sz="8" w:space="0" w:color="auto"/>
            </w:tcBorders>
            <w:vAlign w:val="center"/>
          </w:tcPr>
          <w:p w:rsidR="009049A5" w:rsidRPr="002A3B32" w:rsidRDefault="009049A5" w:rsidP="00E427F3"/>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6-2</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D</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rPr>
                <w:lang w:val="en-GB"/>
              </w:rPr>
            </w:pPr>
            <w:r w:rsidRPr="002A3B32">
              <w:rPr>
                <w:lang w:val="en-GB"/>
              </w:rPr>
              <w:t>G-H-Y-C-D</w:t>
            </w:r>
          </w:p>
        </w:tc>
        <w:tc>
          <w:tcPr>
            <w:tcW w:w="1080" w:type="dxa"/>
            <w:vMerge/>
            <w:tcBorders>
              <w:top w:val="nil"/>
              <w:left w:val="nil"/>
              <w:bottom w:val="single" w:sz="8" w:space="0" w:color="auto"/>
              <w:right w:val="single" w:sz="8" w:space="0" w:color="auto"/>
            </w:tcBorders>
            <w:vAlign w:val="center"/>
          </w:tcPr>
          <w:p w:rsidR="009049A5" w:rsidRPr="002A3B32" w:rsidRDefault="009049A5" w:rsidP="00E427F3">
            <w:pPr>
              <w:rPr>
                <w:lang w:val="en-GB"/>
              </w:rPr>
            </w:pP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82 877,23  </w:t>
            </w:r>
          </w:p>
        </w:tc>
      </w:tr>
      <w:tr w:rsidR="009049A5" w:rsidRPr="002A3B32">
        <w:trPr>
          <w:trHeight w:val="255"/>
        </w:trPr>
        <w:tc>
          <w:tcPr>
            <w:tcW w:w="98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7</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7-1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C</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rPr>
                <w:lang w:val="en-GB"/>
              </w:rPr>
            </w:pPr>
            <w:r w:rsidRPr="002A3B32">
              <w:rPr>
                <w:lang w:val="en-GB"/>
              </w:rPr>
              <w:t>G-H-Y-C-D</w:t>
            </w:r>
          </w:p>
        </w:tc>
        <w:tc>
          <w:tcPr>
            <w:tcW w:w="108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15 244,90  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15 244,90  </w:t>
            </w:r>
          </w:p>
        </w:tc>
      </w:tr>
      <w:tr w:rsidR="009049A5" w:rsidRPr="002A3B32">
        <w:trPr>
          <w:trHeight w:val="255"/>
        </w:trPr>
        <w:tc>
          <w:tcPr>
            <w:tcW w:w="988" w:type="dxa"/>
            <w:vMerge w:val="restar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8</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8-1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C</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rPr>
                <w:lang w:val="en-GB"/>
              </w:rPr>
            </w:pPr>
            <w:r w:rsidRPr="002A3B32">
              <w:rPr>
                <w:lang w:val="en-GB"/>
              </w:rPr>
              <w:t>G-H-Y-C-D</w:t>
            </w:r>
          </w:p>
        </w:tc>
        <w:tc>
          <w:tcPr>
            <w:tcW w:w="1080"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3A5F9A" w:rsidRDefault="009049A5" w:rsidP="00E427F3">
            <w:pPr>
              <w:spacing w:before="100" w:beforeAutospacing="1" w:after="100" w:afterAutospacing="1"/>
              <w:jc w:val="center"/>
              <w:rPr>
                <w:sz w:val="18"/>
                <w:szCs w:val="18"/>
              </w:rPr>
            </w:pPr>
            <w:r w:rsidRPr="003A5F9A">
              <w:rPr>
                <w:sz w:val="18"/>
                <w:szCs w:val="18"/>
              </w:rPr>
              <w:t>153 973,51  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51 487,95  </w:t>
            </w:r>
          </w:p>
        </w:tc>
      </w:tr>
      <w:tr w:rsidR="009049A5" w:rsidRPr="002A3B32">
        <w:trPr>
          <w:trHeight w:val="255"/>
        </w:trPr>
        <w:tc>
          <w:tcPr>
            <w:tcW w:w="988" w:type="dxa"/>
            <w:vMerge/>
            <w:tcBorders>
              <w:top w:val="nil"/>
              <w:left w:val="single" w:sz="8" w:space="0" w:color="auto"/>
              <w:bottom w:val="single" w:sz="8" w:space="0" w:color="auto"/>
              <w:right w:val="single" w:sz="8" w:space="0" w:color="auto"/>
            </w:tcBorders>
            <w:vAlign w:val="center"/>
          </w:tcPr>
          <w:p w:rsidR="009049A5" w:rsidRPr="002A3B32" w:rsidRDefault="009049A5" w:rsidP="00E427F3"/>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8-2</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C</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G-H-Y</w:t>
            </w:r>
          </w:p>
        </w:tc>
        <w:tc>
          <w:tcPr>
            <w:tcW w:w="1080" w:type="dxa"/>
            <w:vMerge/>
            <w:tcBorders>
              <w:top w:val="nil"/>
              <w:left w:val="nil"/>
              <w:bottom w:val="single" w:sz="8" w:space="0" w:color="auto"/>
              <w:right w:val="single" w:sz="8" w:space="0" w:color="auto"/>
            </w:tcBorders>
            <w:vAlign w:val="center"/>
          </w:tcPr>
          <w:p w:rsidR="009049A5" w:rsidRPr="002A3B32" w:rsidRDefault="009049A5" w:rsidP="00E427F3"/>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65 190,74  </w:t>
            </w:r>
          </w:p>
        </w:tc>
      </w:tr>
      <w:tr w:rsidR="009049A5" w:rsidRPr="002A3B32">
        <w:trPr>
          <w:trHeight w:val="255"/>
        </w:trPr>
        <w:tc>
          <w:tcPr>
            <w:tcW w:w="988" w:type="dxa"/>
            <w:vMerge/>
            <w:tcBorders>
              <w:top w:val="nil"/>
              <w:left w:val="single" w:sz="8" w:space="0" w:color="auto"/>
              <w:bottom w:val="single" w:sz="8" w:space="0" w:color="auto"/>
              <w:right w:val="single" w:sz="8" w:space="0" w:color="auto"/>
            </w:tcBorders>
            <w:vAlign w:val="center"/>
          </w:tcPr>
          <w:p w:rsidR="009049A5" w:rsidRPr="002A3B32" w:rsidRDefault="009049A5" w:rsidP="00E427F3"/>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8-3</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C</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G-H-Z-E</w:t>
            </w:r>
          </w:p>
        </w:tc>
        <w:tc>
          <w:tcPr>
            <w:tcW w:w="1080" w:type="dxa"/>
            <w:vMerge/>
            <w:tcBorders>
              <w:top w:val="nil"/>
              <w:left w:val="nil"/>
              <w:bottom w:val="single" w:sz="8" w:space="0" w:color="auto"/>
              <w:right w:val="single" w:sz="8" w:space="0" w:color="auto"/>
            </w:tcBorders>
            <w:vAlign w:val="center"/>
          </w:tcPr>
          <w:p w:rsidR="009049A5" w:rsidRPr="002A3B32" w:rsidRDefault="009049A5" w:rsidP="00E427F3"/>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37 294,82  </w:t>
            </w:r>
          </w:p>
        </w:tc>
      </w:tr>
      <w:tr w:rsidR="009049A5" w:rsidRPr="002A3B32">
        <w:trPr>
          <w:trHeight w:val="255"/>
        </w:trPr>
        <w:tc>
          <w:tcPr>
            <w:tcW w:w="988" w:type="dxa"/>
            <w:vMerge w:val="restar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9</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9-1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E</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G-H-Z-E</w:t>
            </w:r>
          </w:p>
        </w:tc>
        <w:tc>
          <w:tcPr>
            <w:tcW w:w="1080"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45 734,71  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44 213,79  </w:t>
            </w:r>
          </w:p>
        </w:tc>
      </w:tr>
      <w:tr w:rsidR="009049A5" w:rsidRPr="002A3B32">
        <w:trPr>
          <w:trHeight w:val="255"/>
        </w:trPr>
        <w:tc>
          <w:tcPr>
            <w:tcW w:w="988" w:type="dxa"/>
            <w:vMerge/>
            <w:tcBorders>
              <w:top w:val="nil"/>
              <w:left w:val="single" w:sz="8" w:space="0" w:color="auto"/>
              <w:bottom w:val="single" w:sz="8" w:space="0" w:color="auto"/>
              <w:right w:val="single" w:sz="8" w:space="0" w:color="auto"/>
            </w:tcBorders>
            <w:vAlign w:val="center"/>
          </w:tcPr>
          <w:p w:rsidR="009049A5" w:rsidRPr="002A3B32" w:rsidRDefault="009049A5" w:rsidP="00E427F3"/>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9-2</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E</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G-I-Z-E</w:t>
            </w:r>
          </w:p>
        </w:tc>
        <w:tc>
          <w:tcPr>
            <w:tcW w:w="1080" w:type="dxa"/>
            <w:vMerge/>
            <w:tcBorders>
              <w:top w:val="nil"/>
              <w:left w:val="nil"/>
              <w:bottom w:val="single" w:sz="8" w:space="0" w:color="auto"/>
              <w:right w:val="single" w:sz="8" w:space="0" w:color="auto"/>
            </w:tcBorders>
            <w:vAlign w:val="center"/>
          </w:tcPr>
          <w:p w:rsidR="009049A5" w:rsidRPr="002A3B32" w:rsidRDefault="009049A5" w:rsidP="00E427F3"/>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1 520,92  </w:t>
            </w:r>
          </w:p>
        </w:tc>
      </w:tr>
      <w:tr w:rsidR="009049A5" w:rsidRPr="002A3B32">
        <w:trPr>
          <w:trHeight w:val="255"/>
        </w:trPr>
        <w:tc>
          <w:tcPr>
            <w:tcW w:w="98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10</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10-1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E</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G-I-Z-E</w:t>
            </w:r>
          </w:p>
        </w:tc>
        <w:tc>
          <w:tcPr>
            <w:tcW w:w="108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38 112,26  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38 112,2</w:t>
            </w:r>
            <w:r>
              <w:t>6</w:t>
            </w:r>
            <w:r w:rsidRPr="002A3B32">
              <w:t>  </w:t>
            </w:r>
          </w:p>
        </w:tc>
      </w:tr>
      <w:tr w:rsidR="009049A5" w:rsidRPr="002A3B32">
        <w:trPr>
          <w:trHeight w:val="255"/>
        </w:trPr>
        <w:tc>
          <w:tcPr>
            <w:tcW w:w="98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11</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11-1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Z</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G-I-Z-E</w:t>
            </w:r>
          </w:p>
        </w:tc>
        <w:tc>
          <w:tcPr>
            <w:tcW w:w="108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30 489,80  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30 489,80  </w:t>
            </w:r>
          </w:p>
        </w:tc>
      </w:tr>
      <w:tr w:rsidR="009049A5" w:rsidRPr="002A3B32">
        <w:trPr>
          <w:trHeight w:val="255"/>
        </w:trPr>
        <w:tc>
          <w:tcPr>
            <w:tcW w:w="988"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12</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12-1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Z</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G-I-Z-E</w:t>
            </w:r>
          </w:p>
        </w:tc>
        <w:tc>
          <w:tcPr>
            <w:tcW w:w="108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38 112,25  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38 112,25  </w:t>
            </w:r>
          </w:p>
        </w:tc>
      </w:tr>
      <w:tr w:rsidR="009049A5" w:rsidRPr="002A3B32">
        <w:trPr>
          <w:trHeight w:val="255"/>
        </w:trPr>
        <w:tc>
          <w:tcPr>
            <w:tcW w:w="988" w:type="dxa"/>
            <w:vMerge w:val="restart"/>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13</w:t>
            </w:r>
          </w:p>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13-1</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Z</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G-I-Z-E</w:t>
            </w:r>
          </w:p>
        </w:tc>
        <w:tc>
          <w:tcPr>
            <w:tcW w:w="1080"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38 100,00  </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20 843,58  </w:t>
            </w:r>
          </w:p>
        </w:tc>
      </w:tr>
      <w:tr w:rsidR="009049A5" w:rsidRPr="002A3B32">
        <w:trPr>
          <w:trHeight w:val="255"/>
        </w:trPr>
        <w:tc>
          <w:tcPr>
            <w:tcW w:w="988" w:type="dxa"/>
            <w:vMerge/>
            <w:tcBorders>
              <w:top w:val="nil"/>
              <w:left w:val="single" w:sz="8" w:space="0" w:color="auto"/>
              <w:bottom w:val="single" w:sz="8" w:space="0" w:color="auto"/>
              <w:right w:val="single" w:sz="8" w:space="0" w:color="auto"/>
            </w:tcBorders>
            <w:vAlign w:val="center"/>
          </w:tcPr>
          <w:p w:rsidR="009049A5" w:rsidRPr="002A3B32" w:rsidRDefault="009049A5" w:rsidP="00E427F3"/>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13-2</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Z</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G-I-A-E</w:t>
            </w:r>
          </w:p>
        </w:tc>
        <w:tc>
          <w:tcPr>
            <w:tcW w:w="1080" w:type="dxa"/>
            <w:vMerge/>
            <w:tcBorders>
              <w:top w:val="nil"/>
              <w:left w:val="nil"/>
              <w:bottom w:val="single" w:sz="8" w:space="0" w:color="auto"/>
              <w:right w:val="single" w:sz="8" w:space="0" w:color="auto"/>
            </w:tcBorders>
            <w:vAlign w:val="center"/>
          </w:tcPr>
          <w:p w:rsidR="009049A5" w:rsidRPr="002A3B32" w:rsidRDefault="009049A5" w:rsidP="00E427F3"/>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16 432,81  </w:t>
            </w:r>
          </w:p>
        </w:tc>
      </w:tr>
      <w:tr w:rsidR="009049A5" w:rsidRPr="002A3B32">
        <w:trPr>
          <w:trHeight w:val="255"/>
        </w:trPr>
        <w:tc>
          <w:tcPr>
            <w:tcW w:w="988" w:type="dxa"/>
            <w:vMerge/>
            <w:tcBorders>
              <w:top w:val="nil"/>
              <w:left w:val="single" w:sz="8" w:space="0" w:color="auto"/>
              <w:bottom w:val="single" w:sz="8" w:space="0" w:color="auto"/>
              <w:right w:val="single" w:sz="8" w:space="0" w:color="auto"/>
            </w:tcBorders>
            <w:vAlign w:val="center"/>
          </w:tcPr>
          <w:p w:rsidR="009049A5" w:rsidRPr="002A3B32" w:rsidRDefault="009049A5" w:rsidP="00E427F3"/>
        </w:tc>
        <w:tc>
          <w:tcPr>
            <w:tcW w:w="715"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13-3</w:t>
            </w:r>
          </w:p>
        </w:tc>
        <w:tc>
          <w:tcPr>
            <w:tcW w:w="162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Z</w:t>
            </w:r>
          </w:p>
        </w:tc>
        <w:tc>
          <w:tcPr>
            <w:tcW w:w="3462"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G-I-A</w:t>
            </w:r>
          </w:p>
        </w:tc>
        <w:tc>
          <w:tcPr>
            <w:tcW w:w="1080" w:type="dxa"/>
            <w:vMerge/>
            <w:tcBorders>
              <w:top w:val="nil"/>
              <w:left w:val="nil"/>
              <w:bottom w:val="single" w:sz="8" w:space="0" w:color="auto"/>
              <w:right w:val="single" w:sz="8" w:space="0" w:color="auto"/>
            </w:tcBorders>
            <w:vAlign w:val="center"/>
          </w:tcPr>
          <w:p w:rsidR="009049A5" w:rsidRPr="002A3B32" w:rsidRDefault="009049A5" w:rsidP="00E427F3"/>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t>823,61  </w:t>
            </w:r>
          </w:p>
        </w:tc>
      </w:tr>
      <w:tr w:rsidR="009049A5" w:rsidRPr="002A3B32">
        <w:trPr>
          <w:trHeight w:val="255"/>
        </w:trPr>
        <w:tc>
          <w:tcPr>
            <w:tcW w:w="988" w:type="dxa"/>
            <w:noWrap/>
            <w:tcMar>
              <w:top w:w="0" w:type="dxa"/>
              <w:left w:w="70" w:type="dxa"/>
              <w:bottom w:w="0" w:type="dxa"/>
              <w:right w:w="70" w:type="dxa"/>
            </w:tcMar>
            <w:vAlign w:val="bottom"/>
          </w:tcPr>
          <w:p w:rsidR="009049A5" w:rsidRPr="002A3B32" w:rsidRDefault="009049A5" w:rsidP="00E427F3"/>
        </w:tc>
        <w:tc>
          <w:tcPr>
            <w:tcW w:w="715" w:type="dxa"/>
            <w:noWrap/>
            <w:tcMar>
              <w:top w:w="0" w:type="dxa"/>
              <w:left w:w="70" w:type="dxa"/>
              <w:bottom w:w="0" w:type="dxa"/>
              <w:right w:w="70" w:type="dxa"/>
            </w:tcMar>
            <w:vAlign w:val="bottom"/>
          </w:tcPr>
          <w:p w:rsidR="009049A5" w:rsidRPr="002A3B32" w:rsidRDefault="009049A5" w:rsidP="00E427F3"/>
        </w:tc>
        <w:tc>
          <w:tcPr>
            <w:tcW w:w="1620" w:type="dxa"/>
            <w:noWrap/>
            <w:tcMar>
              <w:top w:w="0" w:type="dxa"/>
              <w:left w:w="70" w:type="dxa"/>
              <w:bottom w:w="0" w:type="dxa"/>
              <w:right w:w="70" w:type="dxa"/>
            </w:tcMar>
            <w:vAlign w:val="bottom"/>
          </w:tcPr>
          <w:p w:rsidR="009049A5" w:rsidRPr="002A3B32" w:rsidRDefault="009049A5" w:rsidP="00E427F3"/>
        </w:tc>
        <w:tc>
          <w:tcPr>
            <w:tcW w:w="3462"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rsidR="009049A5" w:rsidRPr="002A3B32" w:rsidRDefault="009049A5" w:rsidP="00E427F3">
            <w:pPr>
              <w:spacing w:before="100" w:beforeAutospacing="1" w:after="100" w:afterAutospacing="1"/>
              <w:jc w:val="center"/>
            </w:pPr>
            <w:r w:rsidRPr="002A3B32">
              <w:rPr>
                <w:b/>
                <w:bCs/>
              </w:rPr>
              <w:t>TOTAL</w:t>
            </w:r>
          </w:p>
        </w:tc>
        <w:tc>
          <w:tcPr>
            <w:tcW w:w="1080" w:type="dxa"/>
            <w:tcBorders>
              <w:top w:val="nil"/>
              <w:left w:val="nil"/>
              <w:bottom w:val="single" w:sz="8" w:space="0" w:color="auto"/>
              <w:right w:val="single" w:sz="8" w:space="0" w:color="auto"/>
            </w:tcBorders>
            <w:noWrap/>
            <w:tcMar>
              <w:top w:w="0" w:type="dxa"/>
              <w:left w:w="70" w:type="dxa"/>
              <w:bottom w:w="0" w:type="dxa"/>
              <w:right w:w="70" w:type="dxa"/>
            </w:tcMar>
            <w:vAlign w:val="bottom"/>
          </w:tcPr>
          <w:p w:rsidR="009049A5" w:rsidRPr="002A3B32" w:rsidRDefault="009049A5" w:rsidP="00E427F3">
            <w:pPr>
              <w:spacing w:before="100" w:beforeAutospacing="1" w:after="100" w:afterAutospacing="1"/>
            </w:pPr>
            <w:r w:rsidRPr="002A3B32">
              <w:rPr>
                <w:b/>
                <w:bCs/>
              </w:rPr>
              <w:t>568 622,57</w:t>
            </w:r>
          </w:p>
        </w:tc>
        <w:tc>
          <w:tcPr>
            <w:tcW w:w="1260" w:type="dxa"/>
            <w:tcBorders>
              <w:top w:val="nil"/>
              <w:left w:val="nil"/>
              <w:bottom w:val="single" w:sz="8" w:space="0" w:color="auto"/>
              <w:right w:val="single" w:sz="8" w:space="0" w:color="auto"/>
            </w:tcBorders>
            <w:noWrap/>
            <w:tcMar>
              <w:top w:w="0" w:type="dxa"/>
              <w:left w:w="70" w:type="dxa"/>
              <w:bottom w:w="0" w:type="dxa"/>
              <w:right w:w="70" w:type="dxa"/>
            </w:tcMar>
            <w:vAlign w:val="bottom"/>
          </w:tcPr>
          <w:p w:rsidR="009049A5" w:rsidRPr="002A3B32" w:rsidRDefault="009049A5" w:rsidP="00E427F3">
            <w:pPr>
              <w:spacing w:before="100" w:beforeAutospacing="1" w:after="100" w:afterAutospacing="1"/>
            </w:pPr>
            <w:r w:rsidRPr="002A3B32">
              <w:rPr>
                <w:b/>
                <w:bCs/>
              </w:rPr>
              <w:t>568 622,57  </w:t>
            </w:r>
          </w:p>
        </w:tc>
      </w:tr>
    </w:tbl>
    <w:p w:rsidR="009049A5" w:rsidRPr="002A3B32" w:rsidRDefault="009049A5" w:rsidP="00470B79">
      <w:pPr>
        <w:pStyle w:val="ps0"/>
        <w:spacing w:before="0" w:beforeAutospacing="0" w:after="120" w:afterAutospacing="0"/>
        <w:rPr>
          <w:rFonts w:ascii="Arial" w:hAnsi="Arial" w:cs="Arial"/>
          <w:sz w:val="20"/>
          <w:szCs w:val="20"/>
        </w:rPr>
      </w:pPr>
    </w:p>
    <w:p w:rsidR="009049A5" w:rsidRPr="00564F7C" w:rsidRDefault="009049A5" w:rsidP="000543F0">
      <w:pPr>
        <w:pStyle w:val="PS"/>
        <w:spacing w:after="360"/>
        <w:rPr>
          <w:u w:val="single"/>
        </w:rPr>
      </w:pPr>
      <w:r>
        <w:br w:type="page"/>
      </w:r>
      <w:r w:rsidRPr="00564F7C">
        <w:rPr>
          <w:u w:val="single"/>
        </w:rPr>
        <w:t>Sur l' injonction de production de pièces justificatives</w:t>
      </w:r>
    </w:p>
    <w:p w:rsidR="009049A5" w:rsidRPr="005509B6" w:rsidRDefault="009049A5" w:rsidP="00564F7C">
      <w:pPr>
        <w:pStyle w:val="PS"/>
      </w:pPr>
      <w:r w:rsidRPr="003A5F9A">
        <w:t>Attendu que les comptables de fait ont produit, en réponse à l’arrêt n°</w:t>
      </w:r>
      <w:r>
        <w:t> </w:t>
      </w:r>
      <w:r w:rsidRPr="003A5F9A">
        <w:t>48554 du 13 mars 2007 susvisé, un ensemble complémentaire de copies de pièces justificatives à l’appui de la quasi-totalité des opérations, à l’exception toutefois d’une dizaine de justificatifs qui demeurent manquants ;</w:t>
      </w:r>
    </w:p>
    <w:p w:rsidR="009049A5" w:rsidRPr="005509B6" w:rsidRDefault="009049A5" w:rsidP="00564F7C">
      <w:pPr>
        <w:pStyle w:val="PS"/>
      </w:pPr>
      <w:r w:rsidRPr="005509B6">
        <w:t>Attendu en outre que les lettres susvisées adressées à la Cour par certains comptables de fait ont apporté des précisions sur différentes dépenses rejetées à titre provisoire par la Cour à un stade précédent</w:t>
      </w:r>
      <w:r>
        <w:t xml:space="preserve"> </w:t>
      </w:r>
      <w:r w:rsidRPr="005509B6">
        <w:t>;</w:t>
      </w:r>
    </w:p>
    <w:p w:rsidR="009049A5" w:rsidRPr="00D051E4" w:rsidRDefault="009049A5" w:rsidP="00564F7C">
      <w:pPr>
        <w:pStyle w:val="PS"/>
      </w:pPr>
      <w:r w:rsidRPr="00D051E4">
        <w:t>Sur l' injonction de reversement des sommes encore détenues</w:t>
      </w:r>
    </w:p>
    <w:p w:rsidR="009049A5" w:rsidRPr="005509B6" w:rsidRDefault="009049A5" w:rsidP="00564F7C">
      <w:pPr>
        <w:pStyle w:val="PS"/>
      </w:pPr>
      <w:r w:rsidRPr="005509B6">
        <w:t>Attendu que le compte de la gestion de fait présenté à la Cour est équilibré en recettes et en dépenses et qu’il n’y a par conséquent pas lieu à reversement par les gestionnaires de fait de sommes encore détenues ;</w:t>
      </w:r>
    </w:p>
    <w:p w:rsidR="009049A5" w:rsidRPr="005509B6" w:rsidRDefault="009049A5" w:rsidP="005147D5">
      <w:pPr>
        <w:pStyle w:val="PS"/>
        <w:spacing w:after="360"/>
      </w:pPr>
      <w:r w:rsidRPr="005509B6">
        <w:t>Par ces motifs,</w:t>
      </w:r>
    </w:p>
    <w:p w:rsidR="009049A5" w:rsidRPr="005509B6" w:rsidRDefault="009049A5" w:rsidP="005147D5">
      <w:pPr>
        <w:pStyle w:val="PS"/>
        <w:spacing w:after="360"/>
        <w:jc w:val="center"/>
      </w:pPr>
      <w:r w:rsidRPr="005509B6">
        <w:t>STATUANT DEFINITIVEMENT,</w:t>
      </w:r>
    </w:p>
    <w:p w:rsidR="009049A5" w:rsidRPr="005509B6" w:rsidRDefault="009049A5" w:rsidP="00564F7C">
      <w:pPr>
        <w:pStyle w:val="PS"/>
        <w:jc w:val="center"/>
      </w:pPr>
      <w:r w:rsidRPr="005509B6">
        <w:t>ORDONNE ce qui suit :</w:t>
      </w:r>
    </w:p>
    <w:p w:rsidR="009049A5" w:rsidRPr="005509B6" w:rsidRDefault="009049A5" w:rsidP="00973BDC">
      <w:pPr>
        <w:pStyle w:val="PS"/>
        <w:spacing w:after="360"/>
      </w:pPr>
      <w:r w:rsidRPr="005509B6">
        <w:t>-</w:t>
      </w:r>
      <w:r>
        <w:t> L</w:t>
      </w:r>
      <w:r w:rsidRPr="005509B6">
        <w:t>'injonction prononcée par l'arrêt n°</w:t>
      </w:r>
      <w:r>
        <w:t> </w:t>
      </w:r>
      <w:r w:rsidRPr="005509B6">
        <w:t>39813 du 17 juin</w:t>
      </w:r>
      <w:r>
        <w:t> </w:t>
      </w:r>
      <w:r w:rsidRPr="005509B6">
        <w:t>2004 est levée</w:t>
      </w:r>
      <w:r>
        <w:t>.</w:t>
      </w:r>
    </w:p>
    <w:p w:rsidR="009049A5" w:rsidRDefault="009049A5" w:rsidP="005147D5">
      <w:pPr>
        <w:pStyle w:val="PS"/>
        <w:spacing w:after="360"/>
        <w:jc w:val="center"/>
      </w:pPr>
      <w:r>
        <w:t>-------</w:t>
      </w:r>
    </w:p>
    <w:p w:rsidR="009049A5" w:rsidRPr="00F25768" w:rsidRDefault="009049A5" w:rsidP="00CF77C6">
      <w:pPr>
        <w:pStyle w:val="PS"/>
      </w:pPr>
      <w:r w:rsidRPr="00FC63C0">
        <w:t xml:space="preserve">Fait et jugé en la Cour des Comptes, troisième chambre, </w:t>
      </w:r>
      <w:r>
        <w:t xml:space="preserve">quatrième section, </w:t>
      </w:r>
      <w:r w:rsidRPr="00FC63C0">
        <w:t xml:space="preserve">le </w:t>
      </w:r>
      <w:r>
        <w:t>douze septembre deux mil huit</w:t>
      </w:r>
      <w:r w:rsidRPr="00FC63C0">
        <w:t>. Présents : Mme Colomé, présidente</w:t>
      </w:r>
      <w:r>
        <w:t xml:space="preserve"> de la section, M. Mayaud, </w:t>
      </w:r>
      <w:r w:rsidRPr="00FC63C0">
        <w:t>Mme</w:t>
      </w:r>
      <w:r>
        <w:t> </w:t>
      </w:r>
      <w:r w:rsidRPr="00FC63C0">
        <w:t xml:space="preserve">Froment-Meurice, </w:t>
      </w:r>
      <w:r>
        <w:t>M. Andréani et Mme Seyvet, conseillers maîtres.</w:t>
      </w:r>
    </w:p>
    <w:p w:rsidR="009049A5" w:rsidRDefault="009049A5" w:rsidP="00CF77C6">
      <w:pPr>
        <w:pStyle w:val="PS"/>
      </w:pPr>
      <w:r w:rsidRPr="00FC63C0">
        <w:t>Signé : Colomé, présidente</w:t>
      </w:r>
      <w:r>
        <w:t xml:space="preserve"> de section, et Brulé, greffière</w:t>
      </w:r>
      <w:r w:rsidRPr="00FC63C0">
        <w:t>.</w:t>
      </w:r>
    </w:p>
    <w:p w:rsidR="009049A5" w:rsidRDefault="009049A5" w:rsidP="00CF77C6">
      <w:pPr>
        <w:pStyle w:val="PS"/>
      </w:pPr>
      <w:r>
        <w:t>Collationné, certifié conforme à la minute étant au greffe de la Cour des comptes et délivré par moi, secrétaire générale.</w:t>
      </w:r>
    </w:p>
    <w:sectPr w:rsidR="009049A5" w:rsidSect="00CF77C6">
      <w:headerReference w:type="first" r:id="rId12"/>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9A5" w:rsidRDefault="009049A5">
      <w:r>
        <w:separator/>
      </w:r>
    </w:p>
  </w:endnote>
  <w:endnote w:type="continuationSeparator" w:id="1">
    <w:p w:rsidR="009049A5" w:rsidRDefault="009049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9A5" w:rsidRDefault="009049A5">
      <w:r>
        <w:separator/>
      </w:r>
    </w:p>
  </w:footnote>
  <w:footnote w:type="continuationSeparator" w:id="1">
    <w:p w:rsidR="009049A5" w:rsidRDefault="009049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A5" w:rsidRDefault="009049A5" w:rsidP="00564F7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A5" w:rsidRDefault="009049A5" w:rsidP="00470B79">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9A5" w:rsidRDefault="009049A5" w:rsidP="00470B79">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4">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543F0"/>
    <w:rsid w:val="00061809"/>
    <w:rsid w:val="00070212"/>
    <w:rsid w:val="00071B4F"/>
    <w:rsid w:val="000B1355"/>
    <w:rsid w:val="000D3643"/>
    <w:rsid w:val="000E5AD4"/>
    <w:rsid w:val="000F79D0"/>
    <w:rsid w:val="001036A6"/>
    <w:rsid w:val="00114645"/>
    <w:rsid w:val="00125075"/>
    <w:rsid w:val="00126E76"/>
    <w:rsid w:val="001279DA"/>
    <w:rsid w:val="0013716E"/>
    <w:rsid w:val="00146BF4"/>
    <w:rsid w:val="00167B77"/>
    <w:rsid w:val="00171F87"/>
    <w:rsid w:val="001807C8"/>
    <w:rsid w:val="0018757B"/>
    <w:rsid w:val="001A5310"/>
    <w:rsid w:val="001C2586"/>
    <w:rsid w:val="001D3C77"/>
    <w:rsid w:val="001E5A3D"/>
    <w:rsid w:val="001E6C9F"/>
    <w:rsid w:val="001F3F6D"/>
    <w:rsid w:val="00205475"/>
    <w:rsid w:val="0021293D"/>
    <w:rsid w:val="0021351B"/>
    <w:rsid w:val="00245D17"/>
    <w:rsid w:val="0024676F"/>
    <w:rsid w:val="00267E79"/>
    <w:rsid w:val="00276D9F"/>
    <w:rsid w:val="00277770"/>
    <w:rsid w:val="0028187F"/>
    <w:rsid w:val="00285908"/>
    <w:rsid w:val="00290972"/>
    <w:rsid w:val="00294E2E"/>
    <w:rsid w:val="002A3B32"/>
    <w:rsid w:val="002D4E1A"/>
    <w:rsid w:val="002E3128"/>
    <w:rsid w:val="002F0052"/>
    <w:rsid w:val="002F5398"/>
    <w:rsid w:val="003042E6"/>
    <w:rsid w:val="00322D9C"/>
    <w:rsid w:val="00324068"/>
    <w:rsid w:val="003244FD"/>
    <w:rsid w:val="00330198"/>
    <w:rsid w:val="003332BF"/>
    <w:rsid w:val="0034238B"/>
    <w:rsid w:val="003515AF"/>
    <w:rsid w:val="0035401D"/>
    <w:rsid w:val="003624EC"/>
    <w:rsid w:val="0036320E"/>
    <w:rsid w:val="00371872"/>
    <w:rsid w:val="00384D45"/>
    <w:rsid w:val="0039241F"/>
    <w:rsid w:val="0039367E"/>
    <w:rsid w:val="003A5F9A"/>
    <w:rsid w:val="003A7314"/>
    <w:rsid w:val="003B48E1"/>
    <w:rsid w:val="003E0F96"/>
    <w:rsid w:val="003E4550"/>
    <w:rsid w:val="00410939"/>
    <w:rsid w:val="004145A9"/>
    <w:rsid w:val="00422310"/>
    <w:rsid w:val="004266BA"/>
    <w:rsid w:val="004302DA"/>
    <w:rsid w:val="004361AC"/>
    <w:rsid w:val="00442764"/>
    <w:rsid w:val="00466E92"/>
    <w:rsid w:val="00470B79"/>
    <w:rsid w:val="004761E6"/>
    <w:rsid w:val="00476BE3"/>
    <w:rsid w:val="00477082"/>
    <w:rsid w:val="004A3DE9"/>
    <w:rsid w:val="004A534F"/>
    <w:rsid w:val="004B0ADD"/>
    <w:rsid w:val="004B2E3F"/>
    <w:rsid w:val="004C3AB2"/>
    <w:rsid w:val="004E7A20"/>
    <w:rsid w:val="004F5EDC"/>
    <w:rsid w:val="005069FA"/>
    <w:rsid w:val="00507355"/>
    <w:rsid w:val="005147D5"/>
    <w:rsid w:val="005164C7"/>
    <w:rsid w:val="005174CB"/>
    <w:rsid w:val="005509B6"/>
    <w:rsid w:val="00564F7C"/>
    <w:rsid w:val="00575C50"/>
    <w:rsid w:val="005B7707"/>
    <w:rsid w:val="005C25AC"/>
    <w:rsid w:val="005C30D7"/>
    <w:rsid w:val="005C648F"/>
    <w:rsid w:val="005D1796"/>
    <w:rsid w:val="005D3439"/>
    <w:rsid w:val="005E0652"/>
    <w:rsid w:val="00621D3A"/>
    <w:rsid w:val="00624C22"/>
    <w:rsid w:val="006359DE"/>
    <w:rsid w:val="006366F0"/>
    <w:rsid w:val="00660133"/>
    <w:rsid w:val="006768E5"/>
    <w:rsid w:val="0068378D"/>
    <w:rsid w:val="0069044F"/>
    <w:rsid w:val="006A0CD3"/>
    <w:rsid w:val="006B2C66"/>
    <w:rsid w:val="006B64F2"/>
    <w:rsid w:val="006B674E"/>
    <w:rsid w:val="006F2EDD"/>
    <w:rsid w:val="006F7AB9"/>
    <w:rsid w:val="0072249F"/>
    <w:rsid w:val="00732677"/>
    <w:rsid w:val="00756167"/>
    <w:rsid w:val="007B6EDE"/>
    <w:rsid w:val="007C6484"/>
    <w:rsid w:val="007E0166"/>
    <w:rsid w:val="0080478C"/>
    <w:rsid w:val="008047BA"/>
    <w:rsid w:val="00830504"/>
    <w:rsid w:val="00840C95"/>
    <w:rsid w:val="008429C7"/>
    <w:rsid w:val="00842F54"/>
    <w:rsid w:val="00843AB2"/>
    <w:rsid w:val="00861C65"/>
    <w:rsid w:val="0086613F"/>
    <w:rsid w:val="00866B33"/>
    <w:rsid w:val="008738F8"/>
    <w:rsid w:val="00875127"/>
    <w:rsid w:val="008A1A1A"/>
    <w:rsid w:val="008D62AD"/>
    <w:rsid w:val="008D7208"/>
    <w:rsid w:val="008D7CD7"/>
    <w:rsid w:val="008E49C2"/>
    <w:rsid w:val="008F00D3"/>
    <w:rsid w:val="009049A5"/>
    <w:rsid w:val="009126C5"/>
    <w:rsid w:val="00923AAA"/>
    <w:rsid w:val="009336D3"/>
    <w:rsid w:val="00947C81"/>
    <w:rsid w:val="00973BDC"/>
    <w:rsid w:val="009843F2"/>
    <w:rsid w:val="00995FF9"/>
    <w:rsid w:val="009B2B47"/>
    <w:rsid w:val="009B3858"/>
    <w:rsid w:val="009C3959"/>
    <w:rsid w:val="009C4289"/>
    <w:rsid w:val="009E6704"/>
    <w:rsid w:val="009F6F91"/>
    <w:rsid w:val="009F71A9"/>
    <w:rsid w:val="00A11BA6"/>
    <w:rsid w:val="00A24AB0"/>
    <w:rsid w:val="00A27A51"/>
    <w:rsid w:val="00A41545"/>
    <w:rsid w:val="00A45CFD"/>
    <w:rsid w:val="00A52FEF"/>
    <w:rsid w:val="00A5548A"/>
    <w:rsid w:val="00A6055F"/>
    <w:rsid w:val="00A61508"/>
    <w:rsid w:val="00A67984"/>
    <w:rsid w:val="00A80C0C"/>
    <w:rsid w:val="00AA599C"/>
    <w:rsid w:val="00AB5491"/>
    <w:rsid w:val="00AE6899"/>
    <w:rsid w:val="00B31021"/>
    <w:rsid w:val="00B45105"/>
    <w:rsid w:val="00B66558"/>
    <w:rsid w:val="00B71E65"/>
    <w:rsid w:val="00BB28D9"/>
    <w:rsid w:val="00BC14AF"/>
    <w:rsid w:val="00BC1B0C"/>
    <w:rsid w:val="00BD0003"/>
    <w:rsid w:val="00BD2E1F"/>
    <w:rsid w:val="00BE4AD4"/>
    <w:rsid w:val="00BE57F7"/>
    <w:rsid w:val="00BF669A"/>
    <w:rsid w:val="00BF7B0F"/>
    <w:rsid w:val="00C04F68"/>
    <w:rsid w:val="00C41763"/>
    <w:rsid w:val="00C50A94"/>
    <w:rsid w:val="00C770DC"/>
    <w:rsid w:val="00C94ECC"/>
    <w:rsid w:val="00CD1803"/>
    <w:rsid w:val="00CF77C6"/>
    <w:rsid w:val="00D04BC5"/>
    <w:rsid w:val="00D051E4"/>
    <w:rsid w:val="00D6296A"/>
    <w:rsid w:val="00D70AB8"/>
    <w:rsid w:val="00D70D1A"/>
    <w:rsid w:val="00D70E86"/>
    <w:rsid w:val="00D93348"/>
    <w:rsid w:val="00D957B6"/>
    <w:rsid w:val="00DA697D"/>
    <w:rsid w:val="00DB0746"/>
    <w:rsid w:val="00DD0C26"/>
    <w:rsid w:val="00DE2E5B"/>
    <w:rsid w:val="00DE4654"/>
    <w:rsid w:val="00E03DDC"/>
    <w:rsid w:val="00E1046F"/>
    <w:rsid w:val="00E106D5"/>
    <w:rsid w:val="00E13131"/>
    <w:rsid w:val="00E32A2C"/>
    <w:rsid w:val="00E36A8A"/>
    <w:rsid w:val="00E427F3"/>
    <w:rsid w:val="00E5698E"/>
    <w:rsid w:val="00E6128F"/>
    <w:rsid w:val="00E657C4"/>
    <w:rsid w:val="00E66ABD"/>
    <w:rsid w:val="00E775FD"/>
    <w:rsid w:val="00E823A2"/>
    <w:rsid w:val="00E832BF"/>
    <w:rsid w:val="00E85525"/>
    <w:rsid w:val="00E90D03"/>
    <w:rsid w:val="00E96403"/>
    <w:rsid w:val="00E96F77"/>
    <w:rsid w:val="00EA2401"/>
    <w:rsid w:val="00ED219A"/>
    <w:rsid w:val="00EE7567"/>
    <w:rsid w:val="00F04CA7"/>
    <w:rsid w:val="00F07123"/>
    <w:rsid w:val="00F10E6F"/>
    <w:rsid w:val="00F1533A"/>
    <w:rsid w:val="00F25768"/>
    <w:rsid w:val="00F32F21"/>
    <w:rsid w:val="00F51CA9"/>
    <w:rsid w:val="00F749E3"/>
    <w:rsid w:val="00F80AE6"/>
    <w:rsid w:val="00F94E8E"/>
    <w:rsid w:val="00F97080"/>
    <w:rsid w:val="00F972CB"/>
    <w:rsid w:val="00FA24A8"/>
    <w:rsid w:val="00FA4770"/>
    <w:rsid w:val="00FC63C0"/>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212"/>
    <w:rPr>
      <w:sz w:val="20"/>
      <w:szCs w:val="20"/>
    </w:rPr>
  </w:style>
  <w:style w:type="paragraph" w:styleId="Heading1">
    <w:name w:val="heading 1"/>
    <w:basedOn w:val="Normal"/>
    <w:next w:val="Normal"/>
    <w:link w:val="Heading1Char"/>
    <w:uiPriority w:val="99"/>
    <w:qFormat/>
    <w:rsid w:val="00070212"/>
    <w:pPr>
      <w:spacing w:before="240"/>
      <w:outlineLvl w:val="0"/>
    </w:pPr>
    <w:rPr>
      <w:b/>
      <w:bCs/>
      <w:sz w:val="24"/>
      <w:szCs w:val="24"/>
      <w:u w:val="single"/>
    </w:rPr>
  </w:style>
  <w:style w:type="paragraph" w:styleId="Heading2">
    <w:name w:val="heading 2"/>
    <w:basedOn w:val="Normal"/>
    <w:next w:val="Normal"/>
    <w:link w:val="Heading2Char"/>
    <w:uiPriority w:val="99"/>
    <w:qFormat/>
    <w:rsid w:val="00070212"/>
    <w:pPr>
      <w:spacing w:before="120"/>
      <w:outlineLvl w:val="1"/>
    </w:pPr>
    <w:rPr>
      <w:b/>
      <w:bCs/>
      <w:sz w:val="24"/>
      <w:szCs w:val="24"/>
    </w:rPr>
  </w:style>
  <w:style w:type="paragraph" w:styleId="Heading3">
    <w:name w:val="heading 3"/>
    <w:basedOn w:val="Normal"/>
    <w:next w:val="NormalIndent"/>
    <w:link w:val="Heading3Char"/>
    <w:uiPriority w:val="99"/>
    <w:qFormat/>
    <w:rsid w:val="00070212"/>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070212"/>
    <w:pPr>
      <w:ind w:left="708"/>
    </w:pPr>
  </w:style>
  <w:style w:type="paragraph" w:styleId="Header">
    <w:name w:val="header"/>
    <w:basedOn w:val="Normal"/>
    <w:link w:val="HeaderChar"/>
    <w:uiPriority w:val="99"/>
    <w:rsid w:val="00070212"/>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link w:val="ETCar"/>
    <w:uiPriority w:val="99"/>
    <w:rsid w:val="00070212"/>
    <w:rPr>
      <w:b/>
      <w:bCs/>
      <w:caps/>
      <w:sz w:val="24"/>
      <w:szCs w:val="24"/>
    </w:rPr>
  </w:style>
  <w:style w:type="paragraph" w:customStyle="1" w:styleId="OR">
    <w:name w:val="OR"/>
    <w:basedOn w:val="ET"/>
    <w:uiPriority w:val="99"/>
    <w:rsid w:val="00070212"/>
    <w:pPr>
      <w:ind w:left="5670"/>
    </w:pPr>
    <w:rPr>
      <w:b w:val="0"/>
      <w:bCs w:val="0"/>
      <w:caps w:val="0"/>
    </w:rPr>
  </w:style>
  <w:style w:type="paragraph" w:customStyle="1" w:styleId="TI">
    <w:name w:val="TI"/>
    <w:basedOn w:val="OR"/>
    <w:uiPriority w:val="99"/>
    <w:rsid w:val="00070212"/>
    <w:pPr>
      <w:ind w:left="1701"/>
      <w:jc w:val="center"/>
    </w:pPr>
    <w:rPr>
      <w:caps/>
      <w:u w:val="single"/>
    </w:rPr>
  </w:style>
  <w:style w:type="paragraph" w:customStyle="1" w:styleId="P0">
    <w:name w:val="P0"/>
    <w:basedOn w:val="ET"/>
    <w:link w:val="P0Car"/>
    <w:uiPriority w:val="99"/>
    <w:rsid w:val="00070212"/>
    <w:pPr>
      <w:ind w:left="1701"/>
      <w:jc w:val="both"/>
    </w:pPr>
    <w:rPr>
      <w:b w:val="0"/>
      <w:bCs w:val="0"/>
      <w:caps w:val="0"/>
    </w:rPr>
  </w:style>
  <w:style w:type="paragraph" w:customStyle="1" w:styleId="EL">
    <w:name w:val="EL"/>
    <w:basedOn w:val="P0"/>
    <w:uiPriority w:val="99"/>
    <w:rsid w:val="00070212"/>
    <w:pPr>
      <w:spacing w:after="240"/>
      <w:ind w:firstLine="1418"/>
    </w:pPr>
  </w:style>
  <w:style w:type="paragraph" w:customStyle="1" w:styleId="IN">
    <w:name w:val="IN"/>
    <w:basedOn w:val="P0"/>
    <w:link w:val="INCar"/>
    <w:uiPriority w:val="99"/>
    <w:rsid w:val="00070212"/>
    <w:pPr>
      <w:ind w:left="0"/>
      <w:jc w:val="left"/>
    </w:pPr>
    <w:rPr>
      <w:i/>
      <w:iCs/>
      <w:sz w:val="16"/>
      <w:szCs w:val="16"/>
    </w:rPr>
  </w:style>
  <w:style w:type="paragraph" w:customStyle="1" w:styleId="RE">
    <w:name w:val="RE"/>
    <w:basedOn w:val="P0"/>
    <w:uiPriority w:val="99"/>
    <w:rsid w:val="00070212"/>
    <w:pPr>
      <w:ind w:left="0"/>
    </w:pPr>
  </w:style>
  <w:style w:type="paragraph" w:customStyle="1" w:styleId="PE">
    <w:name w:val="PE"/>
    <w:basedOn w:val="IN"/>
    <w:uiPriority w:val="99"/>
    <w:rsid w:val="00070212"/>
    <w:pPr>
      <w:keepNext/>
      <w:ind w:left="1701"/>
      <w:jc w:val="both"/>
    </w:pPr>
    <w:rPr>
      <w:i w:val="0"/>
      <w:iCs w:val="0"/>
      <w:sz w:val="24"/>
      <w:szCs w:val="24"/>
    </w:rPr>
  </w:style>
  <w:style w:type="paragraph" w:customStyle="1" w:styleId="PC">
    <w:name w:val="PC"/>
    <w:basedOn w:val="IN"/>
    <w:uiPriority w:val="99"/>
    <w:rsid w:val="00070212"/>
    <w:pPr>
      <w:spacing w:after="480"/>
      <w:ind w:left="2268" w:firstLine="1134"/>
      <w:jc w:val="both"/>
    </w:pPr>
    <w:rPr>
      <w:i w:val="0"/>
      <w:iCs w:val="0"/>
      <w:sz w:val="24"/>
      <w:szCs w:val="24"/>
    </w:rPr>
  </w:style>
  <w:style w:type="paragraph" w:customStyle="1" w:styleId="PS">
    <w:name w:val="PS"/>
    <w:basedOn w:val="IN"/>
    <w:link w:val="PSCar"/>
    <w:uiPriority w:val="99"/>
    <w:rsid w:val="00070212"/>
    <w:pPr>
      <w:spacing w:after="480"/>
      <w:ind w:left="1701" w:firstLine="1134"/>
      <w:jc w:val="both"/>
    </w:pPr>
    <w:rPr>
      <w:i w:val="0"/>
      <w:iCs w:val="0"/>
      <w:sz w:val="24"/>
      <w:szCs w:val="24"/>
    </w:rPr>
  </w:style>
  <w:style w:type="paragraph" w:customStyle="1" w:styleId="AR">
    <w:name w:val="AR"/>
    <w:basedOn w:val="IN"/>
    <w:uiPriority w:val="99"/>
    <w:rsid w:val="00070212"/>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 w:type="paragraph" w:styleId="BodyText">
    <w:name w:val="Body Text"/>
    <w:basedOn w:val="Normal"/>
    <w:link w:val="BodyTextChar"/>
    <w:uiPriority w:val="99"/>
    <w:rsid w:val="00EE7567"/>
    <w:pPr>
      <w:spacing w:before="120" w:after="120"/>
      <w:ind w:firstLine="709"/>
      <w:jc w:val="both"/>
    </w:pPr>
    <w:rPr>
      <w:sz w:val="24"/>
    </w:rPr>
  </w:style>
  <w:style w:type="character" w:customStyle="1" w:styleId="BodyTextChar">
    <w:name w:val="Body Text Char"/>
    <w:basedOn w:val="DefaultParagraphFont"/>
    <w:link w:val="BodyText"/>
    <w:uiPriority w:val="99"/>
    <w:semiHidden/>
    <w:locked/>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styleId="BodyTextIndent">
    <w:name w:val="Body Text Indent"/>
    <w:basedOn w:val="Normal"/>
    <w:link w:val="BodyTextIndentChar"/>
    <w:uiPriority w:val="99"/>
    <w:rsid w:val="00470B79"/>
    <w:pPr>
      <w:spacing w:after="120"/>
      <w:ind w:left="283"/>
    </w:pPr>
  </w:style>
  <w:style w:type="character" w:customStyle="1" w:styleId="BodyTextIndentChar">
    <w:name w:val="Body Text Indent Char"/>
    <w:basedOn w:val="DefaultParagraphFont"/>
    <w:link w:val="BodyTextIndent"/>
    <w:uiPriority w:val="99"/>
    <w:semiHidden/>
    <w:locked/>
    <w:rPr>
      <w:rFonts w:cs="Times New Roman"/>
      <w:sz w:val="20"/>
      <w:szCs w:val="20"/>
    </w:rPr>
  </w:style>
</w:styles>
</file>

<file path=word/webSettings.xml><?xml version="1.0" encoding="utf-8"?>
<w:webSettings xmlns:r="http://schemas.openxmlformats.org/officeDocument/2006/relationships" xmlns:w="http://schemas.openxmlformats.org/wordprocessingml/2006/main">
  <w:divs>
    <w:div w:id="147891630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iewDoc('CC703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iewDoc('CC7031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iewDoc('CC70310')" TargetMode="Externa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7</TotalTime>
  <Pages>5</Pages>
  <Words>1204</Words>
  <Characters>6624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3</cp:revision>
  <cp:lastPrinted>2008-10-17T09:24:00Z</cp:lastPrinted>
  <dcterms:created xsi:type="dcterms:W3CDTF">2008-12-18T14:11:00Z</dcterms:created>
  <dcterms:modified xsi:type="dcterms:W3CDTF">2009-01-07T11:03:00Z</dcterms:modified>
</cp:coreProperties>
</file>