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D" w:rsidRDefault="0090534D"/>
    <w:tbl>
      <w:tblPr>
        <w:tblStyle w:val="TableGrid"/>
        <w:tblW w:w="0" w:type="auto"/>
        <w:tblLook w:val="01E0"/>
      </w:tblPr>
      <w:tblGrid>
        <w:gridCol w:w="2943"/>
      </w:tblGrid>
      <w:tr w:rsidR="0090534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0534D" w:rsidRPr="00DD1D9B" w:rsidRDefault="0090534D" w:rsidP="004513A2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DD1D9B">
              <w:rPr>
                <w:rFonts w:ascii="Times New Roman" w:hAnsi="Times New Roman"/>
                <w:b w:val="0"/>
              </w:rPr>
              <w:t>cour des comptes</w:t>
            </w:r>
          </w:p>
          <w:p w:rsidR="0090534D" w:rsidRPr="00DD1D9B" w:rsidRDefault="0090534D" w:rsidP="004513A2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 w:rsidRPr="00DD1D9B">
              <w:rPr>
                <w:rFonts w:ascii="Times New Roman" w:hAnsi="Times New Roman"/>
                <w:b w:val="0"/>
              </w:rPr>
              <w:t>------------</w:t>
            </w:r>
          </w:p>
          <w:p w:rsidR="0090534D" w:rsidRPr="00DD1D9B" w:rsidRDefault="0090534D" w:rsidP="004513A2">
            <w:pPr>
              <w:pStyle w:val="ET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premiere</w:t>
            </w:r>
            <w:r w:rsidRPr="00DD1D9B">
              <w:rPr>
                <w:rFonts w:ascii="Times New Roman" w:hAnsi="Times New Roman"/>
                <w:b w:val="0"/>
              </w:rPr>
              <w:t xml:space="preserve"> chambre</w:t>
            </w:r>
          </w:p>
          <w:p w:rsidR="0090534D" w:rsidRDefault="0090534D" w:rsidP="00926074">
            <w:pPr>
              <w:pStyle w:val="ET"/>
              <w:jc w:val="center"/>
              <w:rPr>
                <w:b w:val="0"/>
              </w:rPr>
            </w:pPr>
            <w:r>
              <w:rPr>
                <w:b w:val="0"/>
              </w:rPr>
              <w:t>------------</w:t>
            </w:r>
          </w:p>
          <w:p w:rsidR="0090534D" w:rsidRDefault="0090534D" w:rsidP="004513A2">
            <w:pPr>
              <w:pStyle w:val="ET"/>
              <w:jc w:val="center"/>
              <w:rPr>
                <w:b w:val="0"/>
              </w:rPr>
            </w:pPr>
            <w:r>
              <w:rPr>
                <w:b w:val="0"/>
              </w:rPr>
              <w:t>PREMIERE SECTION</w:t>
            </w:r>
          </w:p>
          <w:p w:rsidR="0090534D" w:rsidRDefault="0090534D" w:rsidP="004513A2">
            <w:pPr>
              <w:pStyle w:val="ET"/>
              <w:jc w:val="center"/>
              <w:rPr>
                <w:b w:val="0"/>
              </w:rPr>
            </w:pPr>
            <w:r>
              <w:rPr>
                <w:b w:val="0"/>
              </w:rPr>
              <w:t>------------</w:t>
            </w:r>
          </w:p>
          <w:p w:rsidR="0090534D" w:rsidRPr="004513A2" w:rsidRDefault="0090534D" w:rsidP="004513A2">
            <w:pPr>
              <w:pStyle w:val="ET"/>
              <w:jc w:val="center"/>
              <w:rPr>
                <w:rFonts w:ascii="Times New Roman" w:hAnsi="Times New Roman"/>
                <w:b w:val="0"/>
                <w:i/>
                <w:iCs/>
                <w:caps w:val="0"/>
                <w:szCs w:val="24"/>
              </w:rPr>
            </w:pPr>
            <w:r>
              <w:rPr>
                <w:rFonts w:ascii="Times New Roman" w:hAnsi="Times New Roman"/>
                <w:b w:val="0"/>
                <w:i/>
                <w:iCs/>
                <w:caps w:val="0"/>
                <w:szCs w:val="24"/>
              </w:rPr>
              <w:t>Arrêt n° 53193</w:t>
            </w:r>
          </w:p>
          <w:p w:rsidR="0090534D" w:rsidRDefault="0090534D" w:rsidP="004513A2">
            <w:pPr>
              <w:pStyle w:val="ET"/>
              <w:rPr>
                <w:rFonts w:ascii="Times New Roman" w:hAnsi="Times New Roman"/>
                <w:b w:val="0"/>
              </w:rPr>
            </w:pPr>
          </w:p>
        </w:tc>
      </w:tr>
    </w:tbl>
    <w:p w:rsidR="0090534D" w:rsidRDefault="0090534D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DIRECTION DES SERVICES FISCAUX</w:t>
      </w:r>
    </w:p>
    <w:p w:rsidR="0090534D" w:rsidRPr="006A2624" w:rsidRDefault="0090534D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D’AIX-EN-PROVENCE</w:t>
      </w:r>
    </w:p>
    <w:p w:rsidR="0090534D" w:rsidRDefault="0090534D">
      <w:pPr>
        <w:pStyle w:val="OR"/>
        <w:ind w:right="-142"/>
        <w:rPr>
          <w:rFonts w:ascii="Times New Roman" w:hAnsi="Times New Roman"/>
        </w:rPr>
      </w:pPr>
    </w:p>
    <w:p w:rsidR="0090534D" w:rsidRDefault="0090534D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RECETTE PRINCIPALE</w:t>
      </w:r>
    </w:p>
    <w:p w:rsidR="0090534D" w:rsidRDefault="0090534D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D’AIX-EN-PROVENCE SUD</w:t>
      </w:r>
    </w:p>
    <w:p w:rsidR="0090534D" w:rsidRDefault="0090534D">
      <w:pPr>
        <w:pStyle w:val="OR"/>
        <w:ind w:right="-142"/>
        <w:rPr>
          <w:rFonts w:ascii="Times New Roman" w:hAnsi="Times New Roman"/>
          <w:szCs w:val="24"/>
        </w:rPr>
      </w:pPr>
    </w:p>
    <w:p w:rsidR="0090534D" w:rsidRPr="00DD3779" w:rsidRDefault="0090534D">
      <w:pPr>
        <w:pStyle w:val="OR"/>
        <w:ind w:right="-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Exercice 1999</w:t>
      </w:r>
    </w:p>
    <w:p w:rsidR="0090534D" w:rsidRDefault="0090534D">
      <w:pPr>
        <w:pStyle w:val="OR"/>
        <w:ind w:right="-142"/>
        <w:rPr>
          <w:rFonts w:ascii="Times New Roman" w:hAnsi="Times New Roman"/>
        </w:rPr>
      </w:pPr>
    </w:p>
    <w:p w:rsidR="0090534D" w:rsidRDefault="0090534D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Rapport n° 2008-514-0</w:t>
      </w:r>
    </w:p>
    <w:p w:rsidR="0090534D" w:rsidRDefault="0090534D">
      <w:pPr>
        <w:pStyle w:val="OR"/>
        <w:ind w:right="-142"/>
        <w:rPr>
          <w:rFonts w:ascii="Times New Roman" w:hAnsi="Times New Roman"/>
        </w:rPr>
      </w:pPr>
    </w:p>
    <w:p w:rsidR="0090534D" w:rsidRDefault="0090534D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>Audience publique du 14 octobre 2008</w:t>
      </w:r>
    </w:p>
    <w:p w:rsidR="0090534D" w:rsidRDefault="0090534D">
      <w:pPr>
        <w:pStyle w:val="OR"/>
        <w:ind w:right="-142"/>
        <w:rPr>
          <w:rFonts w:ascii="Times New Roman" w:hAnsi="Times New Roman"/>
        </w:rPr>
      </w:pPr>
    </w:p>
    <w:p w:rsidR="0090534D" w:rsidRDefault="0090534D">
      <w:pPr>
        <w:pStyle w:val="OR"/>
        <w:ind w:right="-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Lecture publique du 8 décembre 2008 </w:t>
      </w:r>
    </w:p>
    <w:p w:rsidR="0090534D" w:rsidRDefault="0090534D" w:rsidP="000E0210">
      <w:pPr>
        <w:pStyle w:val="P0"/>
        <w:jc w:val="center"/>
      </w:pPr>
    </w:p>
    <w:p w:rsidR="0090534D" w:rsidRDefault="0090534D" w:rsidP="000E0210">
      <w:pPr>
        <w:pStyle w:val="P0"/>
        <w:jc w:val="center"/>
      </w:pPr>
    </w:p>
    <w:p w:rsidR="0090534D" w:rsidRDefault="0090534D" w:rsidP="000E0210">
      <w:pPr>
        <w:pStyle w:val="P0"/>
        <w:jc w:val="center"/>
      </w:pPr>
      <w:r>
        <w:t>REPUBLIQUE FRANCAISE</w:t>
      </w:r>
    </w:p>
    <w:p w:rsidR="0090534D" w:rsidRDefault="0090534D" w:rsidP="000E0210">
      <w:pPr>
        <w:pStyle w:val="P0"/>
        <w:jc w:val="center"/>
      </w:pPr>
    </w:p>
    <w:p w:rsidR="0090534D" w:rsidRDefault="0090534D" w:rsidP="000E0210">
      <w:pPr>
        <w:pStyle w:val="P0"/>
        <w:jc w:val="center"/>
      </w:pPr>
      <w:r>
        <w:t>AU NOM DU PEUPLE FRANÇAIS</w:t>
      </w:r>
    </w:p>
    <w:p w:rsidR="0090534D" w:rsidRDefault="0090534D" w:rsidP="000E0210">
      <w:pPr>
        <w:pStyle w:val="P0"/>
        <w:jc w:val="center"/>
      </w:pPr>
    </w:p>
    <w:p w:rsidR="0090534D" w:rsidRDefault="0090534D" w:rsidP="000E0210">
      <w:pPr>
        <w:pStyle w:val="P0"/>
        <w:jc w:val="center"/>
      </w:pPr>
      <w:r>
        <w:t>LA COUR DES COMPTES a rendu l’arrêt suivant :</w:t>
      </w:r>
    </w:p>
    <w:p w:rsidR="0090534D" w:rsidRPr="002C0768" w:rsidRDefault="0090534D" w:rsidP="000E0210">
      <w:pPr>
        <w:pStyle w:val="P0"/>
        <w:jc w:val="center"/>
      </w:pPr>
    </w:p>
    <w:p w:rsidR="0090534D" w:rsidRDefault="0090534D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LA COUR,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l'arrêt n° 47030 en date du 25 octobre 2006, envoyé à fin de notification le 14 février 2007, par lequel Elle a statué provisoirement sur la gestion des comptables des impôts de la direction des services fiscaux d’Aix-en-Provence pour les exercices 1999 à 2004 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les justifications produites en exécution dudit arrêt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les pièces justificatives recueillies au cours de l'instruction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le code des juridictions financières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le code général des impôts et le livre des procédures fiscales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spacing w:after="0"/>
        <w:ind w:left="1077" w:firstLine="0"/>
        <w:rPr>
          <w:rFonts w:ascii="Times New Roman" w:hAnsi="Times New Roman"/>
          <w:sz w:val="20"/>
        </w:rPr>
      </w:pPr>
      <w:r w:rsidRPr="00781814">
        <w:rPr>
          <w:rFonts w:ascii="Times New Roman" w:hAnsi="Times New Roman"/>
          <w:sz w:val="20"/>
        </w:rPr>
        <w:t>GA</w:t>
      </w:r>
    </w:p>
    <w:p w:rsidR="0090534D" w:rsidRDefault="0090534D" w:rsidP="0090589A">
      <w:pPr>
        <w:pStyle w:val="PS"/>
        <w:ind w:left="1077" w:firstLine="0"/>
        <w:rPr>
          <w:rFonts w:ascii="Times New Roman" w:hAnsi="Times New Roman"/>
          <w:sz w:val="20"/>
        </w:rPr>
        <w:sectPr w:rsidR="0090534D" w:rsidSect="004513A2">
          <w:headerReference w:type="even" r:id="rId7"/>
          <w:headerReference w:type="default" r:id="rId8"/>
          <w:pgSz w:w="11907" w:h="16840"/>
          <w:pgMar w:top="1418" w:right="1134" w:bottom="1134" w:left="567" w:header="720" w:footer="720" w:gutter="0"/>
          <w:pgNumType w:start="1"/>
          <w:cols w:space="720"/>
          <w:titlePg/>
        </w:sectPr>
      </w:pPr>
    </w:p>
    <w:p w:rsidR="0090534D" w:rsidRDefault="0090534D" w:rsidP="0090589A">
      <w:pPr>
        <w:pStyle w:val="PS"/>
      </w:pPr>
      <w:r>
        <w:t>Vu le décret n° 77-1017 du 1</w:t>
      </w:r>
      <w:r>
        <w:rPr>
          <w:vertAlign w:val="superscript"/>
        </w:rPr>
        <w:t>er</w:t>
      </w:r>
      <w:r>
        <w:t xml:space="preserve"> septembre 1977 relatif à la responsabilité des comptables des administrations financières ;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 xml:space="preserve">Vu l’article 60 modifié de la loi de finances n° 63-156 du 23 février 1963 ;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l'arrêté modifié n° 06-346 du premier président de la Cour des comptes du 10 octobre 2006 portant création et fixant la composition des sections au sein de la Première chambre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Sur le rapport de Mme Moati, conseillère maître 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les conclusions n° 519 du 9 juillet 2008  du procureur général de la République 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Vu la lettre du  26 septembre 2008 informant M. X de la date de la présente audience, ensemble l’accusé de réception de cette lettre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Entendu à l’audience publique de ce jour, Mme Moati, en son rapport oral, et M. Perrin, avocat général, en ses conclusions orales, M. X ne s’étant pas présenté à l’audience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Ayant délibéré hors la présence de la rapporteure et du ministère public et après avoir entendu M. Deconfin, conseiller maître, en ses observations 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0"/>
        <w:spacing w:after="240"/>
        <w:ind w:left="1134" w:firstLine="306"/>
        <w:jc w:val="center"/>
      </w:pPr>
      <w:r>
        <w:t>STATUANT DEFINITIVEMENT</w:t>
      </w:r>
    </w:p>
    <w:p w:rsidR="0090534D" w:rsidRPr="00890185" w:rsidRDefault="0090534D" w:rsidP="0090589A">
      <w:pPr>
        <w:pStyle w:val="ps0"/>
        <w:spacing w:after="240"/>
        <w:ind w:left="1134" w:firstLine="306"/>
        <w:jc w:val="center"/>
      </w:pPr>
      <w:r>
        <w:t>ORDONNE</w:t>
      </w:r>
      <w:r>
        <w:rPr>
          <w:b/>
        </w:rPr>
        <w:t xml:space="preserve"> </w:t>
      </w:r>
    </w:p>
    <w:p w:rsidR="0090534D" w:rsidRDefault="0090534D" w:rsidP="0090589A">
      <w:pPr>
        <w:pStyle w:val="ps0"/>
        <w:spacing w:after="240"/>
        <w:ind w:left="1134"/>
        <w:jc w:val="center"/>
        <w:rPr>
          <w:b/>
        </w:rPr>
      </w:pPr>
    </w:p>
    <w:p w:rsidR="0090534D" w:rsidRDefault="0090534D" w:rsidP="0090589A">
      <w:pPr>
        <w:pStyle w:val="PS"/>
        <w:rPr>
          <w:rFonts w:ascii="Times New Roman" w:hAnsi="Times New Roman"/>
        </w:rPr>
      </w:pPr>
      <w:r>
        <w:rPr>
          <w:u w:val="single"/>
        </w:rPr>
        <w:t>M. X, comptable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rPr>
          <w:u w:val="single"/>
        </w:rPr>
        <w:t>Exercice 1999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rPr>
          <w:u w:val="single"/>
        </w:rPr>
        <w:t>Débet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 xml:space="preserve">Attendu que Mme Y était redevable de 41 376,04 euros de droits de mutation par décès mis en recouvrement le 26 novembre 1991 ; qu’une  hypothèque légale a été prise sur un immeuble, le 22 février 1993, en second rang , primée par une sûreté de 236 677,10 euros prise par la compagnie de crédit-bail ; que ledit bien a été évalué , le 19 avril 1995, à 96 042,88 euros par le service des Domaines ; que la redevable a contesté le bien fondé de cette imposition par une réclamation qui a été rejetée, le 11 avril 1994, par le directeur chargé de la direction nationale des vérifications  de situations fiscales ; qu’une instance introduite par Mme Y le 9 février 1995 devant le tribunal de grande instance d’Aix-en-Provence a abouti à un jugement du 27 juin 1996 qui l’a déboutée ; que le comptable n'a eu connaissance de cette décision que le 3 octobre 2002 ; que la créance initiale de 41 376,04 euros a été ramenée, après divers versements effectués par la redevable, à 38 284,67 euros, au 14 février 1995, date du dernier versement ;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 xml:space="preserve">Attendu que le comptable était informé depuis  1995 que la garantie prise en second rang était insuffisante ; qu’il n’a pas pris pour autant les mesures utiles à la conservation de la créance en application des dispositions de l’article L 277 du livre des procédures fiscales  ; que la créance est prescrite depuis le 14 février 1999 à minuit, quatre ans après le dernier versement effectué le 14 février 1995 par la redevable, pendant  la gestion de M. X ; qu’en conséquence, par arrêt susvisé du 25 octobre 2006, la Cour a </w:t>
      </w:r>
      <w:r>
        <w:rPr>
          <w:rFonts w:ascii="Times New Roman" w:hAnsi="Times New Roman"/>
          <w:color w:val="000000"/>
          <w:szCs w:val="24"/>
        </w:rPr>
        <w:t xml:space="preserve">enjoint à </w:t>
      </w:r>
      <w:r>
        <w:t xml:space="preserve">M. X, comptable en poste du 4 mars 1996 au 4 juin 2003, de verser la somme de 38 284,67 euros ou de produire toute justification à décharge ; </w:t>
      </w:r>
    </w:p>
    <w:p w:rsidR="0090534D" w:rsidRDefault="0090534D" w:rsidP="0090589A">
      <w:pPr>
        <w:pStyle w:val="PS"/>
      </w:pPr>
      <w:r>
        <w:t xml:space="preserve">Attendu qu’en réponse à l’injonction prononcée, le comptable s’est borné à rappeler la chronologie des faits ; qu’il a en outre précisé que la vente du bien grevé par une hypothèque de premier rang n’était pas encore intervenue ;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Considérant que M. X n’a ni satisfait à l’injonction de versement prononcée par l’arrêt susvisé, ni fourni de justification à décharge, fondée ;</w:t>
      </w:r>
    </w:p>
    <w:p w:rsidR="0090534D" w:rsidRDefault="0090534D" w:rsidP="0090589A">
      <w:pPr>
        <w:pStyle w:val="PS"/>
      </w:pPr>
      <w:r>
        <w:t>Considérant qu’il appartenait au comptable de veiller à interrompre la prescription de l’action en recouvrement par des actes à caractère conservatoire durant toute la procédure contentieuse ; qu’il n’a pas assuré le suivi régulier de la créance de l’impôt contestée devant le juge depuis février 1995 ; qu’il n’a interrogé le greffe du tribunal de grande instance sur l’issue de l’instance qu’en 2002 alors que le jugement par lequel le tribunal de grande instance d’Aix-en-Provence avait débouté Mme Y datait du 27 juin 1996 ; que, faute d’avoir repris les poursuites de la notification de ce jugement, il a laissé prescrire la créance ;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Considérant que le déficit de 38 284,67 euros ayant fait l’objet d’un premier acte de mise en jeu de la responsabilité du comptable avant le 1</w:t>
      </w:r>
      <w:r w:rsidRPr="006D07D2">
        <w:rPr>
          <w:vertAlign w:val="superscript"/>
        </w:rPr>
        <w:t>er</w:t>
      </w:r>
      <w:r>
        <w:t> juillet 2007, le régime de la responsabilité personnelle et pécuniaire du comptable est régi par les dispositions de l’article 60 modifié susvisé de la loi n° 63-156 du 23 février 1963, dans leur rédaction en vigueur au 31 décembre 1999 ; que, selon ces dispositions :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« les comptables publics sont personnellement et pécuniairement responsables du recouvrement des recettes » (paragraphe I) ; cette responsabilité « se trouve engagée dès lors qu'une recette n'a pas été recouvrée » (paragraphe IV) ; « le comptable public dont la responsabilité pécuniaire est engagée ou mise en jeu a l'obligation de verser immédiatement de ses deniers personnels une somme égale …au montant de la perte de recette subie » (paragraphe VI) ; « le comptable public dont la responsabilité est engagée ou mise en jeu et qui n'a pas versé la somme prévue au paragraphe VI ci-dessus peut être constitué en débet par arrêt du juge des comptes » (paragraphe VII) ;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>Considérant que M. X se trouve dans le cas prévu par le paragraphe VII de l’article 60 précité de la loi du 23 février 1963 ; qu’il y a donc lieu de le constituer débiteur de l’Etat de la somme de 38 284,67 euros ;</w:t>
      </w:r>
    </w:p>
    <w:p w:rsidR="0090534D" w:rsidRPr="006D07D2" w:rsidRDefault="0090534D" w:rsidP="0090589A">
      <w:pPr>
        <w:pStyle w:val="PS"/>
      </w:pPr>
      <w:r>
        <w:rPr>
          <w:rFonts w:ascii="Times New Roman" w:hAnsi="Times New Roman"/>
        </w:rPr>
        <w:t>Considérant qu’aux termes du paragraphe VIII de l’article 60 de la loi du 23 février 1963 : « les débets portent intérêt au taux légal à compter de la date du fait générateur » ; que le fait générateur est l’événement qui est à l’origine de l’engagement de la responsabilité pécuniaire et personnelle du comptable ; qu’en l’espèce, la date du fait générateur est celle du premier jour qui a suivi la prescription de l’action en recouvrement, soit le 15 février 1999 ;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 xml:space="preserve">Par ces motifs,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 xml:space="preserve">- l'injonction unique de l’arrêt susvisé du 25 octobre 2006 est levée.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- M. X est constitué débiteur envers l'Etat, de la somme de trente huit mille deux cent quatre vingt quatre  euros soixante sept  centimes, augmentée des intérêts de droit à compter du 15 février 1999.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Aucune charge sur 1999, autre que celle ayant conduit à la constitution du débet ci-dessus prononcé, ne subsiste à l’encontre de M. X.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0F475D">
      <w:pPr>
        <w:pStyle w:val="PS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-------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Fait et jugé en la Cour des comptes, première chambre, première section, le quatorze octobre deux mille huit. Présents : MM. Malingre, président de section, X.</w:t>
      </w:r>
      <w:r>
        <w:noBreakHyphen/>
        <w:t>H.  Martin, Deconfin et Mme Dos Reis, conseillers maîtres.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Signé : Malingre, président de section, et Rackelboom, greffier.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Collationné, certifié conforme à la minute étant au greffe de la Cour des comptes.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br w:type="page"/>
        <w:t>En conséquence, la République mande et ordonne à tous les huissiers de justice, sur ce requis, de mettre ledit arrêt à exécution, aux procureurs généraux et aux procureurs de la République près des tribunaux de grande instance, d’y tenir la main, à tous commandants et officiers de force publique, de prêter main-forte, lorsqu’ils en seront légalement requis.</w:t>
      </w:r>
      <w:r w:rsidRPr="0090589A">
        <w:rPr>
          <w:rFonts w:ascii="Times New Roman" w:hAnsi="Times New Roman"/>
        </w:rPr>
        <w:t xml:space="preserve"> </w:t>
      </w:r>
    </w:p>
    <w:p w:rsidR="0090534D" w:rsidRDefault="0090534D" w:rsidP="0090589A">
      <w:pPr>
        <w:pStyle w:val="PS"/>
        <w:rPr>
          <w:rFonts w:ascii="Times New Roman" w:hAnsi="Times New Roman"/>
        </w:rPr>
      </w:pPr>
      <w:r>
        <w:t>Délivré par moi, secrétaire générale.</w:t>
      </w:r>
      <w:r w:rsidRPr="0090589A">
        <w:rPr>
          <w:rFonts w:ascii="Times New Roman" w:hAnsi="Times New Roman"/>
        </w:rPr>
        <w:t xml:space="preserve"> </w:t>
      </w:r>
    </w:p>
    <w:sectPr w:rsidR="0090534D" w:rsidSect="000911CF">
      <w:headerReference w:type="even" r:id="rId9"/>
      <w:headerReference w:type="default" r:id="rId10"/>
      <w:pgSz w:w="11907" w:h="16840"/>
      <w:pgMar w:top="1418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34D" w:rsidRDefault="0090534D">
      <w:r>
        <w:separator/>
      </w:r>
    </w:p>
  </w:endnote>
  <w:endnote w:type="continuationSeparator" w:id="1">
    <w:p w:rsidR="0090534D" w:rsidRDefault="00905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34D" w:rsidRDefault="0090534D">
      <w:r>
        <w:separator/>
      </w:r>
    </w:p>
  </w:footnote>
  <w:footnote w:type="continuationSeparator" w:id="1">
    <w:p w:rsidR="0090534D" w:rsidRDefault="009053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34D" w:rsidRDefault="0090534D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34D" w:rsidRDefault="0090534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34D" w:rsidRDefault="0090534D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0534D" w:rsidRDefault="0090534D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34D" w:rsidRDefault="0090534D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34D" w:rsidRDefault="0090534D">
    <w:pPr>
      <w:pStyle w:val="Header"/>
      <w:ind w:right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34D" w:rsidRDefault="0090534D" w:rsidP="000911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0534D" w:rsidRDefault="0090534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305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AE753A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93C19E7"/>
    <w:multiLevelType w:val="hybridMultilevel"/>
    <w:tmpl w:val="50B465E4"/>
    <w:lvl w:ilvl="0" w:tplc="FFFFFFFF">
      <w:start w:val="1"/>
      <w:numFmt w:val="bullet"/>
      <w:lvlText w:val="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63"/>
        </w:tabs>
        <w:ind w:left="35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3"/>
        </w:tabs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03"/>
        </w:tabs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3"/>
        </w:tabs>
        <w:ind w:left="57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3"/>
        </w:tabs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3"/>
        </w:tabs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3"/>
        </w:tabs>
        <w:ind w:left="78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3"/>
        </w:tabs>
        <w:ind w:left="8603" w:hanging="360"/>
      </w:pPr>
      <w:rPr>
        <w:rFonts w:ascii="Wingdings" w:hAnsi="Wingdings" w:hint="default"/>
      </w:rPr>
    </w:lvl>
  </w:abstractNum>
  <w:abstractNum w:abstractNumId="3">
    <w:nsid w:val="2A954946"/>
    <w:multiLevelType w:val="hybridMultilevel"/>
    <w:tmpl w:val="666498F4"/>
    <w:lvl w:ilvl="0" w:tplc="FFFFFFFF">
      <w:start w:val="1"/>
      <w:numFmt w:val="upperRoman"/>
      <w:lvlText w:val="%1-"/>
      <w:lvlJc w:val="left"/>
      <w:pPr>
        <w:tabs>
          <w:tab w:val="num" w:pos="3555"/>
        </w:tabs>
        <w:ind w:left="3555" w:hanging="72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  <w:rPr>
        <w:rFonts w:cs="Times New Roman"/>
      </w:rPr>
    </w:lvl>
  </w:abstractNum>
  <w:abstractNum w:abstractNumId="4">
    <w:nsid w:val="39511091"/>
    <w:multiLevelType w:val="singleLevel"/>
    <w:tmpl w:val="55B6B194"/>
    <w:lvl w:ilvl="0">
      <w:start w:val="1"/>
      <w:numFmt w:val="decimal"/>
      <w:pStyle w:val="Titreobservations"/>
      <w:lvlText w:val="Obs. %1 "/>
      <w:lvlJc w:val="left"/>
      <w:pPr>
        <w:tabs>
          <w:tab w:val="num" w:pos="1080"/>
        </w:tabs>
        <w:ind w:left="567" w:hanging="567"/>
      </w:pPr>
      <w:rPr>
        <w:rFonts w:cs="Times New Roman"/>
      </w:rPr>
    </w:lvl>
  </w:abstractNum>
  <w:abstractNum w:abstractNumId="5">
    <w:nsid w:val="6CE72476"/>
    <w:multiLevelType w:val="hybridMultilevel"/>
    <w:tmpl w:val="0AACB6AA"/>
    <w:lvl w:ilvl="0" w:tplc="FFFFFFFF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6">
    <w:nsid w:val="6E4E001D"/>
    <w:multiLevelType w:val="hybridMultilevel"/>
    <w:tmpl w:val="E91679C2"/>
    <w:lvl w:ilvl="0" w:tplc="CE344AB8">
      <w:start w:val="13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7">
    <w:nsid w:val="6E5F005A"/>
    <w:multiLevelType w:val="hybridMultilevel"/>
    <w:tmpl w:val="3B6AB1BC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8">
    <w:nsid w:val="6E6D212F"/>
    <w:multiLevelType w:val="hybridMultilevel"/>
    <w:tmpl w:val="7BFE414C"/>
    <w:lvl w:ilvl="0" w:tplc="FFFFFFFF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FFFFFFFF">
      <w:start w:val="1"/>
      <w:numFmt w:val="bullet"/>
      <w:lvlText w:val="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9">
    <w:nsid w:val="76BB241F"/>
    <w:multiLevelType w:val="multilevel"/>
    <w:tmpl w:val="0AACB6AA"/>
    <w:lvl w:ilvl="0">
      <w:start w:val="1"/>
      <w:numFmt w:val="bullet"/>
      <w:lvlText w:val=""/>
      <w:lvlJc w:val="left"/>
      <w:pPr>
        <w:tabs>
          <w:tab w:val="num" w:pos="8811"/>
        </w:tabs>
        <w:ind w:left="88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>
    <w:nsid w:val="7CF35749"/>
    <w:multiLevelType w:val="hybridMultilevel"/>
    <w:tmpl w:val="F654BF56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5673"/>
    <w:rsid w:val="00025A4B"/>
    <w:rsid w:val="00053687"/>
    <w:rsid w:val="000911CF"/>
    <w:rsid w:val="000A7C3E"/>
    <w:rsid w:val="000B2ED6"/>
    <w:rsid w:val="000B4129"/>
    <w:rsid w:val="000E0210"/>
    <w:rsid w:val="000E5673"/>
    <w:rsid w:val="000F475D"/>
    <w:rsid w:val="00172ACD"/>
    <w:rsid w:val="001740C4"/>
    <w:rsid w:val="00175973"/>
    <w:rsid w:val="00193F9F"/>
    <w:rsid w:val="001C41A3"/>
    <w:rsid w:val="00225BDD"/>
    <w:rsid w:val="002827A4"/>
    <w:rsid w:val="002C0768"/>
    <w:rsid w:val="002D5E55"/>
    <w:rsid w:val="002E6F98"/>
    <w:rsid w:val="00354FAE"/>
    <w:rsid w:val="00391EDE"/>
    <w:rsid w:val="003D1BED"/>
    <w:rsid w:val="00431A68"/>
    <w:rsid w:val="004513A2"/>
    <w:rsid w:val="00455E4D"/>
    <w:rsid w:val="004A335A"/>
    <w:rsid w:val="004A37D5"/>
    <w:rsid w:val="004D0561"/>
    <w:rsid w:val="004F257D"/>
    <w:rsid w:val="0050111A"/>
    <w:rsid w:val="005264D0"/>
    <w:rsid w:val="00541FBA"/>
    <w:rsid w:val="005910D0"/>
    <w:rsid w:val="005A6547"/>
    <w:rsid w:val="005C04A5"/>
    <w:rsid w:val="005E1F12"/>
    <w:rsid w:val="005F31A1"/>
    <w:rsid w:val="00625F33"/>
    <w:rsid w:val="00662E2C"/>
    <w:rsid w:val="00663108"/>
    <w:rsid w:val="006A2624"/>
    <w:rsid w:val="006B3A80"/>
    <w:rsid w:val="006C729A"/>
    <w:rsid w:val="006D07D2"/>
    <w:rsid w:val="006D6AB0"/>
    <w:rsid w:val="00701678"/>
    <w:rsid w:val="007543A5"/>
    <w:rsid w:val="00756335"/>
    <w:rsid w:val="0076155C"/>
    <w:rsid w:val="00776118"/>
    <w:rsid w:val="00781814"/>
    <w:rsid w:val="007E2BAC"/>
    <w:rsid w:val="00856AB8"/>
    <w:rsid w:val="00884DC1"/>
    <w:rsid w:val="00890185"/>
    <w:rsid w:val="008B1A40"/>
    <w:rsid w:val="008B4C2B"/>
    <w:rsid w:val="008C593B"/>
    <w:rsid w:val="0090534D"/>
    <w:rsid w:val="0090589A"/>
    <w:rsid w:val="00926074"/>
    <w:rsid w:val="00993960"/>
    <w:rsid w:val="009C36E8"/>
    <w:rsid w:val="00A35796"/>
    <w:rsid w:val="00AA537B"/>
    <w:rsid w:val="00AE5125"/>
    <w:rsid w:val="00B02266"/>
    <w:rsid w:val="00B419B5"/>
    <w:rsid w:val="00B55CA8"/>
    <w:rsid w:val="00B949A3"/>
    <w:rsid w:val="00C023E5"/>
    <w:rsid w:val="00C7204E"/>
    <w:rsid w:val="00CA2E2D"/>
    <w:rsid w:val="00D02621"/>
    <w:rsid w:val="00D17D3B"/>
    <w:rsid w:val="00D250FA"/>
    <w:rsid w:val="00D6059C"/>
    <w:rsid w:val="00D72294"/>
    <w:rsid w:val="00DA77FD"/>
    <w:rsid w:val="00DD1D9B"/>
    <w:rsid w:val="00DD3779"/>
    <w:rsid w:val="00F050BF"/>
    <w:rsid w:val="00F24091"/>
    <w:rsid w:val="00F4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E8B"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E8B"/>
    <w:rPr>
      <w:sz w:val="20"/>
      <w:szCs w:val="20"/>
    </w:rPr>
  </w:style>
  <w:style w:type="paragraph" w:customStyle="1" w:styleId="ET">
    <w:name w:val="ET"/>
    <w:basedOn w:val="Normal"/>
    <w:uiPriority w:val="99"/>
    <w:rPr>
      <w:rFonts w:ascii="CG Times (WN)" w:hAnsi="CG Times (WN)"/>
      <w:b/>
      <w:caps/>
      <w:sz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caps/>
      <w:sz w:val="24"/>
      <w:u w:val="singl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8B"/>
    <w:rPr>
      <w:sz w:val="0"/>
      <w:szCs w:val="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7E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BodyText">
    <w:name w:val="Body Text"/>
    <w:aliases w:val="Corps de texte Car"/>
    <w:basedOn w:val="Normal"/>
    <w:link w:val="BodyTextChar"/>
    <w:uiPriority w:val="99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aliases w:val="Corps de texte Car Char"/>
    <w:basedOn w:val="DefaultParagraphFont"/>
    <w:link w:val="BodyText"/>
    <w:uiPriority w:val="99"/>
    <w:semiHidden/>
    <w:rsid w:val="00CB7E8B"/>
    <w:rPr>
      <w:sz w:val="20"/>
      <w:szCs w:val="20"/>
    </w:rPr>
  </w:style>
  <w:style w:type="paragraph" w:customStyle="1" w:styleId="apostille">
    <w:name w:val="apostille"/>
    <w:next w:val="BodyText"/>
    <w:uiPriority w:val="99"/>
    <w:pPr>
      <w:spacing w:before="120" w:after="400"/>
      <w:jc w:val="right"/>
    </w:pPr>
    <w:rPr>
      <w:b/>
      <w:noProof/>
      <w:color w:val="000080"/>
      <w:szCs w:val="20"/>
    </w:rPr>
  </w:style>
  <w:style w:type="table" w:styleId="TableGrid">
    <w:name w:val="Table Grid"/>
    <w:basedOn w:val="TableNormal"/>
    <w:uiPriority w:val="99"/>
    <w:rsid w:val="004513A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Standard">
    <w:name w:val="Paragraphe Standard"/>
    <w:uiPriority w:val="99"/>
    <w:rsid w:val="00F24091"/>
    <w:pPr>
      <w:keepLines/>
      <w:spacing w:before="120" w:after="240" w:line="240" w:lineRule="exact"/>
      <w:ind w:left="567" w:firstLine="851"/>
      <w:jc w:val="both"/>
    </w:pPr>
    <w:rPr>
      <w:rFonts w:ascii="Times" w:hAnsi="Times"/>
      <w:sz w:val="24"/>
      <w:szCs w:val="20"/>
    </w:rPr>
  </w:style>
  <w:style w:type="paragraph" w:customStyle="1" w:styleId="Titreobservations">
    <w:name w:val="Titre observations"/>
    <w:basedOn w:val="Normal"/>
    <w:next w:val="BodyText"/>
    <w:uiPriority w:val="99"/>
    <w:rsid w:val="00F24091"/>
    <w:pPr>
      <w:keepNext/>
      <w:keepLines/>
      <w:widowControl w:val="0"/>
      <w:numPr>
        <w:numId w:val="10"/>
      </w:numPr>
      <w:spacing w:before="140" w:after="140"/>
      <w:outlineLvl w:val="2"/>
    </w:pPr>
    <w:rPr>
      <w:b/>
      <w:bCs/>
      <w:color w:val="000080"/>
      <w:sz w:val="24"/>
      <w:szCs w:val="24"/>
    </w:rPr>
  </w:style>
  <w:style w:type="paragraph" w:customStyle="1" w:styleId="intertitre">
    <w:name w:val="intertitre"/>
    <w:basedOn w:val="Normal"/>
    <w:next w:val="sous-titre"/>
    <w:uiPriority w:val="99"/>
    <w:rsid w:val="00F24091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sous-titre">
    <w:name w:val="sous-titre"/>
    <w:basedOn w:val="Normal"/>
    <w:next w:val="corpsdetexte"/>
    <w:uiPriority w:val="99"/>
    <w:rsid w:val="00F24091"/>
    <w:pPr>
      <w:keepNext/>
      <w:keepLines/>
      <w:widowControl w:val="0"/>
      <w:spacing w:before="360"/>
    </w:pPr>
    <w:rPr>
      <w:b/>
      <w:sz w:val="24"/>
      <w:szCs w:val="24"/>
      <w:u w:val="single"/>
    </w:rPr>
  </w:style>
  <w:style w:type="paragraph" w:customStyle="1" w:styleId="corpsdetexte">
    <w:name w:val="corps de texte"/>
    <w:basedOn w:val="Normal"/>
    <w:uiPriority w:val="99"/>
    <w:rsid w:val="00F24091"/>
    <w:pPr>
      <w:spacing w:before="240"/>
      <w:jc w:val="both"/>
    </w:pPr>
    <w:rPr>
      <w:sz w:val="24"/>
      <w:szCs w:val="24"/>
    </w:rPr>
  </w:style>
  <w:style w:type="paragraph" w:customStyle="1" w:styleId="AC">
    <w:name w:val="AC"/>
    <w:link w:val="ACCar"/>
    <w:uiPriority w:val="99"/>
    <w:rsid w:val="00F24091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character" w:customStyle="1" w:styleId="ACCar">
    <w:name w:val="AC Car"/>
    <w:basedOn w:val="DefaultParagraphFont"/>
    <w:link w:val="AC"/>
    <w:uiPriority w:val="99"/>
    <w:locked/>
    <w:rsid w:val="00F24091"/>
    <w:rPr>
      <w:rFonts w:ascii="Times" w:hAnsi="Times" w:cs="Times New Roman"/>
      <w:b/>
      <w:caps/>
      <w:sz w:val="24"/>
      <w:szCs w:val="24"/>
      <w:u w:val="single"/>
      <w:lang w:val="fr-FR" w:eastAsia="fr-FR" w:bidi="ar-SA"/>
    </w:rPr>
  </w:style>
  <w:style w:type="character" w:customStyle="1" w:styleId="PSCar">
    <w:name w:val="PS Car"/>
    <w:basedOn w:val="DefaultParagraphFont"/>
    <w:link w:val="PS"/>
    <w:uiPriority w:val="99"/>
    <w:locked/>
    <w:rsid w:val="003D1BED"/>
    <w:rPr>
      <w:rFonts w:ascii="CG Times (WN)" w:hAnsi="CG Times (WN)" w:cs="Times New Roman"/>
      <w:sz w:val="24"/>
      <w:lang w:val="fr-FR" w:eastAsia="fr-FR" w:bidi="ar-SA"/>
    </w:rPr>
  </w:style>
  <w:style w:type="paragraph" w:customStyle="1" w:styleId="ps0">
    <w:name w:val="ps"/>
    <w:basedOn w:val="Normal"/>
    <w:uiPriority w:val="99"/>
    <w:rsid w:val="003D1BED"/>
    <w:pPr>
      <w:spacing w:before="100" w:beforeAutospacing="1" w:after="100" w:afterAutospacing="1"/>
    </w:pPr>
    <w:rPr>
      <w:sz w:val="24"/>
      <w:szCs w:val="24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90589A"/>
    <w:rPr>
      <w:rFonts w:cs="Times New Roman"/>
      <w:sz w:val="24"/>
      <w:szCs w:val="24"/>
      <w:lang w:val="fr-FR" w:eastAsia="fr-FR" w:bidi="ar-SA"/>
    </w:rPr>
  </w:style>
  <w:style w:type="paragraph" w:customStyle="1" w:styleId="corpsdetexteCar">
    <w:name w:val="corps de texte Car"/>
    <w:basedOn w:val="Normal"/>
    <w:link w:val="corpsdetexteCarCar"/>
    <w:uiPriority w:val="99"/>
    <w:rsid w:val="0090589A"/>
    <w:pPr>
      <w:spacing w:before="240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21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surin\Application%20Data\Microsoft\Mod&#232;les\Mod&#232;le%20pour%20les%20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pour les arrêt.dot</Template>
  <TotalTime>0</TotalTime>
  <Pages>1</Pages>
  <Words>1190</Words>
  <Characters>6548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rsurin</dc:creator>
  <cp:keywords>FC</cp:keywords>
  <dc:description/>
  <cp:lastModifiedBy>Maryté Lecroisey</cp:lastModifiedBy>
  <cp:revision>2</cp:revision>
  <cp:lastPrinted>2008-11-24T12:26:00Z</cp:lastPrinted>
  <dcterms:created xsi:type="dcterms:W3CDTF">2008-12-23T11:04:00Z</dcterms:created>
  <dcterms:modified xsi:type="dcterms:W3CDTF">2008-12-23T11:04:00Z</dcterms:modified>
</cp:coreProperties>
</file>