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</w:tblGrid>
      <w:tr w:rsidR="000A294C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0A294C" w:rsidRPr="001709D1" w:rsidRDefault="000A294C" w:rsidP="001709D1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1709D1">
              <w:rPr>
                <w:b/>
                <w:bCs/>
                <w:caps/>
                <w:sz w:val="24"/>
                <w:szCs w:val="24"/>
              </w:rPr>
              <w:t>COUR DES COMPTES</w:t>
            </w:r>
          </w:p>
          <w:p w:rsidR="000A294C" w:rsidRPr="001709D1" w:rsidRDefault="000A294C" w:rsidP="001709D1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1709D1">
              <w:rPr>
                <w:b/>
                <w:bCs/>
                <w:caps/>
                <w:sz w:val="24"/>
                <w:szCs w:val="24"/>
              </w:rPr>
              <w:t>--------</w:t>
            </w:r>
          </w:p>
          <w:p w:rsidR="000A294C" w:rsidRPr="001709D1" w:rsidRDefault="000A294C" w:rsidP="001709D1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1709D1">
              <w:rPr>
                <w:b/>
                <w:bCs/>
                <w:caps/>
                <w:sz w:val="24"/>
                <w:szCs w:val="24"/>
              </w:rPr>
              <w:t>QUATRIEME CHAMBRE</w:t>
            </w:r>
          </w:p>
          <w:p w:rsidR="000A294C" w:rsidRPr="001709D1" w:rsidRDefault="000A294C" w:rsidP="001709D1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1709D1">
              <w:rPr>
                <w:b/>
                <w:bCs/>
                <w:caps/>
                <w:sz w:val="24"/>
                <w:szCs w:val="24"/>
              </w:rPr>
              <w:t>--------</w:t>
            </w:r>
          </w:p>
          <w:p w:rsidR="000A294C" w:rsidRPr="001709D1" w:rsidRDefault="000A294C" w:rsidP="001709D1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1709D1">
              <w:rPr>
                <w:b/>
                <w:bCs/>
                <w:caps/>
                <w:sz w:val="24"/>
                <w:szCs w:val="24"/>
              </w:rPr>
              <w:t>PREMIERE SECTION</w:t>
            </w:r>
          </w:p>
          <w:p w:rsidR="000A294C" w:rsidRPr="001709D1" w:rsidRDefault="000A294C" w:rsidP="001709D1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1709D1">
              <w:rPr>
                <w:b/>
                <w:bCs/>
                <w:caps/>
                <w:sz w:val="24"/>
                <w:szCs w:val="24"/>
              </w:rPr>
              <w:t>--------</w:t>
            </w:r>
          </w:p>
          <w:p w:rsidR="000A294C" w:rsidRPr="001709D1" w:rsidRDefault="000A294C" w:rsidP="001709D1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1709D1">
              <w:rPr>
                <w:b/>
                <w:bCs/>
                <w:i/>
                <w:iCs/>
                <w:sz w:val="22"/>
                <w:szCs w:val="22"/>
              </w:rPr>
              <w:t>Arrêt  n</w:t>
            </w:r>
            <w:r w:rsidRPr="001709D1">
              <w:rPr>
                <w:i/>
                <w:iCs/>
                <w:sz w:val="22"/>
                <w:szCs w:val="22"/>
              </w:rPr>
              <w:t xml:space="preserve">° </w:t>
            </w:r>
            <w:r w:rsidRPr="001709D1">
              <w:rPr>
                <w:b/>
                <w:bCs/>
                <w:i/>
                <w:iCs/>
                <w:sz w:val="22"/>
                <w:szCs w:val="22"/>
              </w:rPr>
              <w:t>57767</w:t>
            </w:r>
          </w:p>
        </w:tc>
      </w:tr>
    </w:tbl>
    <w:p w:rsidR="000A294C" w:rsidRPr="00042DE1" w:rsidRDefault="000A294C" w:rsidP="00AD2BC6">
      <w:pPr>
        <w:jc w:val="both"/>
      </w:pPr>
    </w:p>
    <w:p w:rsidR="000A294C" w:rsidRDefault="000A294C" w:rsidP="0025607A">
      <w:pPr>
        <w:ind w:left="3828" w:firstLine="708"/>
        <w:rPr>
          <w:caps/>
          <w:sz w:val="24"/>
          <w:szCs w:val="24"/>
        </w:rPr>
      </w:pPr>
      <w:r>
        <w:rPr>
          <w:caps/>
          <w:sz w:val="24"/>
          <w:szCs w:val="24"/>
        </w:rPr>
        <w:t>CENTRE COMMUNAL D’ACTION</w:t>
      </w:r>
    </w:p>
    <w:p w:rsidR="000A294C" w:rsidRPr="0025607A" w:rsidRDefault="000A294C" w:rsidP="0025607A">
      <w:pPr>
        <w:ind w:left="3828" w:firstLine="708"/>
        <w:rPr>
          <w:caps/>
        </w:rPr>
      </w:pPr>
      <w:r>
        <w:rPr>
          <w:caps/>
          <w:sz w:val="24"/>
          <w:szCs w:val="24"/>
        </w:rPr>
        <w:t xml:space="preserve">SOCIALE (CCAS) </w:t>
      </w:r>
      <w:r w:rsidRPr="00D80DFE">
        <w:rPr>
          <w:caps/>
          <w:sz w:val="24"/>
          <w:szCs w:val="24"/>
        </w:rPr>
        <w:t>de Polaincourt</w:t>
      </w:r>
    </w:p>
    <w:p w:rsidR="000A294C" w:rsidRPr="0025607A" w:rsidRDefault="000A294C" w:rsidP="00D80DFE">
      <w:pPr>
        <w:ind w:left="3828" w:firstLine="708"/>
        <w:rPr>
          <w:caps/>
        </w:rPr>
      </w:pPr>
      <w:bookmarkStart w:id="0" w:name="_Toc243194199"/>
      <w:r w:rsidRPr="0025607A">
        <w:rPr>
          <w:caps/>
        </w:rPr>
        <w:t>(</w:t>
      </w:r>
      <w:r w:rsidRPr="0025607A">
        <w:rPr>
          <w:caps/>
          <w:sz w:val="22"/>
          <w:szCs w:val="22"/>
        </w:rPr>
        <w:t>tresorerie d’amance faverney</w:t>
      </w:r>
      <w:r w:rsidRPr="0025607A">
        <w:rPr>
          <w:caps/>
        </w:rPr>
        <w:t>)</w:t>
      </w:r>
      <w:bookmarkEnd w:id="0"/>
    </w:p>
    <w:p w:rsidR="000A294C" w:rsidRPr="00042DE1" w:rsidRDefault="000A294C" w:rsidP="00D80DFE">
      <w:pPr>
        <w:ind w:left="4536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(Haute-Saône)</w:t>
      </w:r>
    </w:p>
    <w:p w:rsidR="000A294C" w:rsidRDefault="000A294C" w:rsidP="004149E8">
      <w:pPr>
        <w:ind w:left="4536"/>
        <w:jc w:val="both"/>
        <w:rPr>
          <w:sz w:val="24"/>
          <w:szCs w:val="24"/>
        </w:rPr>
      </w:pPr>
    </w:p>
    <w:p w:rsidR="000A294C" w:rsidRDefault="000A294C" w:rsidP="004149E8">
      <w:pPr>
        <w:pStyle w:val="Heading2"/>
        <w:ind w:left="4536"/>
        <w:jc w:val="both"/>
      </w:pPr>
      <w:smartTag w:uri="urn:schemas-microsoft-com:office:smarttags" w:element="PersonName">
        <w:r>
          <w:t>A</w:t>
        </w:r>
      </w:smartTag>
      <w:r>
        <w:t>ppel d’un jugement de la chambre régionale des comptes de Franche-Comté</w:t>
      </w:r>
    </w:p>
    <w:p w:rsidR="000A294C" w:rsidRDefault="000A294C" w:rsidP="004149E8">
      <w:pPr>
        <w:ind w:left="4536"/>
        <w:jc w:val="both"/>
        <w:rPr>
          <w:sz w:val="24"/>
          <w:szCs w:val="24"/>
        </w:rPr>
      </w:pPr>
    </w:p>
    <w:p w:rsidR="000A294C" w:rsidRDefault="000A294C" w:rsidP="004149E8">
      <w:pPr>
        <w:pStyle w:val="Heading4"/>
        <w:ind w:left="4536"/>
      </w:pPr>
      <w:r>
        <w:t>Rapport n° 2009-945-0</w:t>
      </w:r>
    </w:p>
    <w:p w:rsidR="000A294C" w:rsidRDefault="000A294C" w:rsidP="004149E8">
      <w:pPr>
        <w:ind w:left="4536"/>
        <w:jc w:val="both"/>
        <w:rPr>
          <w:sz w:val="24"/>
          <w:szCs w:val="24"/>
        </w:rPr>
      </w:pPr>
    </w:p>
    <w:p w:rsidR="000A294C" w:rsidRDefault="000A294C" w:rsidP="004149E8">
      <w:pPr>
        <w:ind w:left="4536"/>
        <w:jc w:val="both"/>
        <w:rPr>
          <w:sz w:val="24"/>
          <w:szCs w:val="24"/>
        </w:rPr>
      </w:pPr>
      <w:smartTag w:uri="urn:schemas-microsoft-com:office:smarttags" w:element="PersonName">
        <w:r>
          <w:rPr>
            <w:sz w:val="24"/>
            <w:szCs w:val="24"/>
          </w:rPr>
          <w:t>A</w:t>
        </w:r>
      </w:smartTag>
      <w:r>
        <w:rPr>
          <w:sz w:val="24"/>
          <w:szCs w:val="24"/>
        </w:rPr>
        <w:t>udience du 25 mars 2010</w:t>
      </w:r>
    </w:p>
    <w:p w:rsidR="000A294C" w:rsidRDefault="000A294C" w:rsidP="004149E8">
      <w:pPr>
        <w:ind w:left="4536"/>
        <w:jc w:val="both"/>
        <w:rPr>
          <w:sz w:val="24"/>
          <w:szCs w:val="24"/>
        </w:rPr>
      </w:pPr>
    </w:p>
    <w:p w:rsidR="000A294C" w:rsidRDefault="000A294C" w:rsidP="004149E8">
      <w:pPr>
        <w:ind w:left="4536"/>
        <w:jc w:val="both"/>
        <w:rPr>
          <w:sz w:val="24"/>
          <w:szCs w:val="24"/>
        </w:rPr>
      </w:pPr>
      <w:r>
        <w:rPr>
          <w:sz w:val="24"/>
          <w:szCs w:val="24"/>
        </w:rPr>
        <w:t>Lecture du 6 mai 2010</w:t>
      </w:r>
    </w:p>
    <w:p w:rsidR="000A294C" w:rsidRDefault="000A294C" w:rsidP="00AD2BC6">
      <w:pPr>
        <w:jc w:val="both"/>
        <w:rPr>
          <w:sz w:val="24"/>
          <w:szCs w:val="24"/>
        </w:rPr>
      </w:pPr>
    </w:p>
    <w:p w:rsidR="000A294C" w:rsidRDefault="000A294C" w:rsidP="00AD2BC6">
      <w:pPr>
        <w:jc w:val="both"/>
        <w:rPr>
          <w:sz w:val="24"/>
          <w:szCs w:val="24"/>
        </w:rPr>
      </w:pPr>
    </w:p>
    <w:p w:rsidR="000A294C" w:rsidRDefault="000A294C" w:rsidP="00AD2BC6">
      <w:pPr>
        <w:jc w:val="both"/>
        <w:rPr>
          <w:sz w:val="24"/>
          <w:szCs w:val="24"/>
        </w:rPr>
      </w:pPr>
    </w:p>
    <w:p w:rsidR="000A294C" w:rsidRPr="0092055B" w:rsidRDefault="000A294C" w:rsidP="00EE0995">
      <w:pPr>
        <w:pStyle w:val="PS"/>
        <w:ind w:left="0" w:firstLine="709"/>
        <w:jc w:val="center"/>
        <w:rPr>
          <w:rFonts w:ascii="Times New Roman" w:hAnsi="Times New Roman" w:cs="Times New Roman"/>
        </w:rPr>
      </w:pPr>
      <w:r w:rsidRPr="0092055B">
        <w:rPr>
          <w:rFonts w:ascii="Times New Roman" w:hAnsi="Times New Roman" w:cs="Times New Roman"/>
        </w:rPr>
        <w:t>LA COUR DES COMPTES a rendu l’arrêt suivant :</w:t>
      </w:r>
    </w:p>
    <w:p w:rsidR="000A294C" w:rsidRDefault="000A294C" w:rsidP="00AD2BC6">
      <w:pPr>
        <w:jc w:val="both"/>
        <w:rPr>
          <w:sz w:val="24"/>
          <w:szCs w:val="24"/>
        </w:rPr>
      </w:pPr>
    </w:p>
    <w:p w:rsidR="000A294C" w:rsidRDefault="000A294C" w:rsidP="00AD2BC6">
      <w:pPr>
        <w:jc w:val="both"/>
        <w:rPr>
          <w:sz w:val="24"/>
          <w:szCs w:val="24"/>
        </w:rPr>
      </w:pPr>
    </w:p>
    <w:p w:rsidR="000A294C" w:rsidRDefault="000A294C" w:rsidP="00AD2BC6">
      <w:pPr>
        <w:jc w:val="both"/>
        <w:rPr>
          <w:sz w:val="24"/>
          <w:szCs w:val="24"/>
        </w:rPr>
      </w:pPr>
    </w:p>
    <w:p w:rsidR="000A294C" w:rsidRDefault="000A294C" w:rsidP="0025607A">
      <w:pPr>
        <w:pStyle w:val="PS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</w:t>
      </w:r>
      <w:r w:rsidRPr="00B82C1D">
        <w:rPr>
          <w:rFonts w:ascii="Times New Roman" w:hAnsi="Times New Roman" w:cs="Times New Roman"/>
        </w:rPr>
        <w:t xml:space="preserve"> COUR,</w:t>
      </w:r>
      <w:r w:rsidRPr="0025607A">
        <w:rPr>
          <w:rFonts w:ascii="Times New Roman" w:hAnsi="Times New Roman" w:cs="Times New Roman"/>
        </w:rPr>
        <w:t xml:space="preserve"> </w:t>
      </w:r>
    </w:p>
    <w:p w:rsidR="000A294C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la requête</w:t>
      </w:r>
      <w:r>
        <w:rPr>
          <w:rFonts w:ascii="Times New Roman" w:hAnsi="Times New Roman" w:cs="Times New Roman"/>
        </w:rPr>
        <w:t>,</w:t>
      </w:r>
      <w:r w:rsidRPr="00B82C1D">
        <w:rPr>
          <w:rFonts w:ascii="Times New Roman" w:hAnsi="Times New Roman" w:cs="Times New Roman"/>
        </w:rPr>
        <w:t xml:space="preserve"> enregistrée le </w:t>
      </w:r>
      <w:r>
        <w:rPr>
          <w:rFonts w:ascii="Times New Roman" w:hAnsi="Times New Roman" w:cs="Times New Roman"/>
        </w:rPr>
        <w:t xml:space="preserve">9 juillet 2009 </w:t>
      </w:r>
      <w:r w:rsidRPr="00B82C1D">
        <w:rPr>
          <w:rFonts w:ascii="Times New Roman" w:hAnsi="Times New Roman" w:cs="Times New Roman"/>
        </w:rPr>
        <w:t xml:space="preserve">au greffe de la chambre régionale des comptes de </w:t>
      </w:r>
      <w:r>
        <w:rPr>
          <w:rFonts w:ascii="Times New Roman" w:hAnsi="Times New Roman" w:cs="Times New Roman"/>
        </w:rPr>
        <w:t>Franche-Comté</w:t>
      </w:r>
      <w:r w:rsidRPr="00B82C1D">
        <w:rPr>
          <w:rFonts w:ascii="Times New Roman" w:hAnsi="Times New Roman" w:cs="Times New Roman"/>
        </w:rPr>
        <w:t xml:space="preserve">, par laquelle </w:t>
      </w:r>
      <w:r>
        <w:rPr>
          <w:rFonts w:ascii="Times New Roman" w:hAnsi="Times New Roman" w:cs="Times New Roman"/>
        </w:rPr>
        <w:t>M. X</w:t>
      </w:r>
      <w:r w:rsidRPr="00B82C1D">
        <w:rPr>
          <w:rFonts w:ascii="Times New Roman" w:hAnsi="Times New Roman" w:cs="Times New Roman"/>
        </w:rPr>
        <w:t xml:space="preserve">, comptable </w:t>
      </w:r>
      <w:r>
        <w:rPr>
          <w:rFonts w:ascii="Times New Roman" w:hAnsi="Times New Roman" w:cs="Times New Roman"/>
        </w:rPr>
        <w:t xml:space="preserve">du </w:t>
      </w:r>
      <w:r w:rsidRPr="00A80788">
        <w:rPr>
          <w:rFonts w:ascii="Times New Roman" w:hAnsi="Times New Roman" w:cs="Times New Roman"/>
          <w:caps/>
        </w:rPr>
        <w:t>centre communal d’action social</w:t>
      </w:r>
      <w:r>
        <w:rPr>
          <w:rFonts w:ascii="Times New Roman" w:hAnsi="Times New Roman" w:cs="Times New Roman"/>
          <w:caps/>
        </w:rPr>
        <w:t>E</w:t>
      </w:r>
      <w:r>
        <w:rPr>
          <w:rFonts w:ascii="Times New Roman" w:hAnsi="Times New Roman" w:cs="Times New Roman"/>
        </w:rPr>
        <w:t xml:space="preserve"> (CCAS) de Polaincourt </w:t>
      </w:r>
      <w:r w:rsidRPr="00B82C1D">
        <w:rPr>
          <w:rFonts w:ascii="Times New Roman" w:hAnsi="Times New Roman" w:cs="Times New Roman"/>
        </w:rPr>
        <w:t xml:space="preserve">a élevé appel du jugement du </w:t>
      </w:r>
      <w:r>
        <w:rPr>
          <w:rFonts w:ascii="Times New Roman" w:hAnsi="Times New Roman" w:cs="Times New Roman"/>
        </w:rPr>
        <w:t>30 avril 2009</w:t>
      </w:r>
      <w:r w:rsidRPr="00B82C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 lequel</w:t>
      </w:r>
      <w:r w:rsidRPr="00B82C1D">
        <w:rPr>
          <w:rFonts w:ascii="Times New Roman" w:hAnsi="Times New Roman" w:cs="Times New Roman"/>
        </w:rPr>
        <w:t xml:space="preserve"> ladite chambre l’a constitué débiteur </w:t>
      </w:r>
      <w:r>
        <w:rPr>
          <w:rFonts w:ascii="Times New Roman" w:hAnsi="Times New Roman" w:cs="Times New Roman"/>
        </w:rPr>
        <w:t>des deniers du CCAS</w:t>
      </w:r>
      <w:r w:rsidRPr="00B82C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pour</w:t>
      </w:r>
      <w:r w:rsidRPr="00B82C1D">
        <w:rPr>
          <w:rFonts w:ascii="Times New Roman" w:hAnsi="Times New Roman" w:cs="Times New Roman"/>
        </w:rPr>
        <w:t xml:space="preserve"> la somme de </w:t>
      </w:r>
      <w:r>
        <w:rPr>
          <w:rFonts w:ascii="Times New Roman" w:hAnsi="Times New Roman" w:cs="Times New Roman"/>
        </w:rPr>
        <w:t>15 238,55</w:t>
      </w:r>
      <w:r w:rsidRPr="00B82C1D">
        <w:rPr>
          <w:rFonts w:ascii="Times New Roman" w:hAnsi="Times New Roman" w:cs="Times New Roman"/>
        </w:rPr>
        <w:t xml:space="preserve"> € augmentée des intérêts de droit</w:t>
      </w:r>
      <w:r>
        <w:rPr>
          <w:rFonts w:ascii="Times New Roman" w:hAnsi="Times New Roman" w:cs="Times New Roman"/>
        </w:rPr>
        <w:t xml:space="preserve"> du 19 juin 2008 </w:t>
      </w:r>
      <w:r w:rsidRPr="00B82C1D">
        <w:rPr>
          <w:rFonts w:ascii="Times New Roman" w:hAnsi="Times New Roman" w:cs="Times New Roman"/>
        </w:rPr>
        <w:t>;</w:t>
      </w:r>
    </w:p>
    <w:p w:rsidR="000A294C" w:rsidRPr="00F77E42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F55D97">
        <w:rPr>
          <w:rFonts w:ascii="Times New Roman" w:hAnsi="Times New Roman" w:cs="Times New Roman"/>
        </w:rPr>
        <w:t>Vu le réquisitoire du Procureur général du 26 août 2009 transmettant la requête précitée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 xml:space="preserve">; </w:t>
      </w:r>
    </w:p>
    <w:p w:rsidR="000A294C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les pièces de la procédure suivie en première instance</w:t>
      </w:r>
      <w:r>
        <w:rPr>
          <w:rFonts w:ascii="Times New Roman" w:hAnsi="Times New Roman" w:cs="Times New Roman"/>
        </w:rPr>
        <w:t xml:space="preserve"> </w:t>
      </w:r>
      <w:r w:rsidRPr="00B82C1D">
        <w:rPr>
          <w:rFonts w:ascii="Times New Roman" w:hAnsi="Times New Roman" w:cs="Times New Roman"/>
        </w:rPr>
        <w:t>;</w:t>
      </w:r>
      <w:r w:rsidRPr="0025607A">
        <w:rPr>
          <w:rFonts w:ascii="Times New Roman" w:hAnsi="Times New Roman" w:cs="Times New Roman"/>
        </w:rPr>
        <w:t xml:space="preserve"> </w:t>
      </w:r>
    </w:p>
    <w:p w:rsidR="000A294C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 xml:space="preserve">Vu le code </w:t>
      </w:r>
      <w:r w:rsidRPr="00650682">
        <w:rPr>
          <w:rFonts w:ascii="Times New Roman" w:hAnsi="Times New Roman" w:cs="Times New Roman"/>
        </w:rPr>
        <w:t>des marchés publics issu du décret n°</w:t>
      </w:r>
      <w:r>
        <w:rPr>
          <w:rFonts w:ascii="Times New Roman" w:hAnsi="Times New Roman" w:cs="Times New Roman"/>
        </w:rPr>
        <w:t> </w:t>
      </w:r>
      <w:r w:rsidRPr="006931D3">
        <w:rPr>
          <w:rFonts w:ascii="Tms Rmn" w:hAnsi="Tms Rmn" w:cs="Tms Rmn"/>
        </w:rPr>
        <w:t>2006-975 du 1</w:t>
      </w:r>
      <w:r w:rsidRPr="0031367B">
        <w:rPr>
          <w:rFonts w:ascii="Tms Rmn" w:hAnsi="Tms Rmn" w:cs="Tms Rmn"/>
          <w:vertAlign w:val="superscript"/>
        </w:rPr>
        <w:t>er</w:t>
      </w:r>
      <w:r>
        <w:rPr>
          <w:rFonts w:ascii="Tms Rmn" w:hAnsi="Tms Rmn" w:cs="Tms Rmn"/>
        </w:rPr>
        <w:t> </w:t>
      </w:r>
      <w:r w:rsidRPr="006931D3">
        <w:rPr>
          <w:rFonts w:ascii="Tms Rmn" w:hAnsi="Tms Rmn" w:cs="Tms Rmn"/>
        </w:rPr>
        <w:t>août</w:t>
      </w:r>
      <w:r>
        <w:rPr>
          <w:rFonts w:ascii="Tms Rmn" w:hAnsi="Tms Rmn" w:cs="Tms Rmn"/>
        </w:rPr>
        <w:t> </w:t>
      </w:r>
      <w:r w:rsidRPr="006931D3">
        <w:rPr>
          <w:rFonts w:ascii="Tms Rmn" w:hAnsi="Tms Rmn" w:cs="Tms Rmn"/>
        </w:rPr>
        <w:t>2006, en vigueur le 1er septembre 2006</w:t>
      </w:r>
      <w:r>
        <w:rPr>
          <w:rFonts w:ascii="Tms Rmn" w:hAnsi="Tms Rmn" w:cs="Tms Rmn"/>
        </w:rPr>
        <w:t xml:space="preserve"> </w:t>
      </w:r>
      <w:r w:rsidRPr="00650682">
        <w:rPr>
          <w:rFonts w:ascii="Times New Roman" w:hAnsi="Times New Roman" w:cs="Times New Roman"/>
        </w:rPr>
        <w:t>;</w:t>
      </w:r>
      <w:r w:rsidRPr="0025607A">
        <w:rPr>
          <w:rFonts w:ascii="Times New Roman" w:hAnsi="Times New Roman" w:cs="Times New Roman"/>
        </w:rPr>
        <w:t xml:space="preserve"> </w:t>
      </w:r>
    </w:p>
    <w:p w:rsidR="000A294C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l’article 60 de la loi de finances n° 63-156 du 23 février 1963 modifiée ;</w:t>
      </w:r>
      <w:r w:rsidRPr="0025607A">
        <w:rPr>
          <w:rFonts w:ascii="Times New Roman" w:hAnsi="Times New Roman" w:cs="Times New Roman"/>
        </w:rPr>
        <w:t xml:space="preserve"> </w:t>
      </w:r>
    </w:p>
    <w:p w:rsidR="000A294C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 décret n°</w:t>
      </w:r>
      <w:r>
        <w:rPr>
          <w:rFonts w:ascii="Times New Roman" w:hAnsi="Times New Roman" w:cs="Times New Roman"/>
        </w:rPr>
        <w:t> </w:t>
      </w:r>
      <w:r w:rsidRPr="00B82C1D">
        <w:rPr>
          <w:rFonts w:ascii="Times New Roman" w:hAnsi="Times New Roman" w:cs="Times New Roman"/>
        </w:rPr>
        <w:t>62-1587 du 29 décembre 1962 modifié portant règlement général sur la comptabilité publique ;</w:t>
      </w:r>
      <w:r w:rsidRPr="0025607A">
        <w:rPr>
          <w:rFonts w:ascii="Times New Roman" w:hAnsi="Times New Roman" w:cs="Times New Roman"/>
        </w:rPr>
        <w:t xml:space="preserve"> </w:t>
      </w:r>
    </w:p>
    <w:p w:rsidR="000A294C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 code des juridictions financières ;</w:t>
      </w:r>
      <w:r w:rsidRPr="0025607A">
        <w:rPr>
          <w:rFonts w:ascii="Times New Roman" w:hAnsi="Times New Roman" w:cs="Times New Roman"/>
        </w:rPr>
        <w:t xml:space="preserve"> </w:t>
      </w:r>
    </w:p>
    <w:p w:rsidR="000A294C" w:rsidRDefault="000A294C" w:rsidP="0025607A">
      <w:pPr>
        <w:pStyle w:val="PS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</w:t>
      </w:r>
      <w:r w:rsidRPr="00B82C1D">
        <w:rPr>
          <w:rFonts w:ascii="Times New Roman" w:hAnsi="Times New Roman" w:cs="Times New Roman"/>
        </w:rPr>
        <w:t xml:space="preserve"> le rapport de M</w:t>
      </w:r>
      <w:r>
        <w:rPr>
          <w:rFonts w:ascii="Times New Roman" w:hAnsi="Times New Roman" w:cs="Times New Roman"/>
        </w:rPr>
        <w:t>me Sylvie Boutereau-Tichet, conseillère référendaire</w:t>
      </w:r>
      <w:r w:rsidRPr="00B82C1D">
        <w:rPr>
          <w:rFonts w:ascii="Times New Roman" w:hAnsi="Times New Roman" w:cs="Times New Roman"/>
        </w:rPr>
        <w:t> ;</w:t>
      </w:r>
      <w:r w:rsidRPr="0025607A">
        <w:rPr>
          <w:rFonts w:ascii="Times New Roman" w:hAnsi="Times New Roman" w:cs="Times New Roman"/>
        </w:rPr>
        <w:t xml:space="preserve"> </w:t>
      </w:r>
    </w:p>
    <w:p w:rsidR="000A294C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 xml:space="preserve">Vu les conclusions </w:t>
      </w:r>
      <w:r>
        <w:rPr>
          <w:rFonts w:ascii="Times New Roman" w:hAnsi="Times New Roman" w:cs="Times New Roman"/>
        </w:rPr>
        <w:t xml:space="preserve">n° 61 </w:t>
      </w:r>
      <w:r w:rsidRPr="00B82C1D">
        <w:rPr>
          <w:rFonts w:ascii="Times New Roman" w:hAnsi="Times New Roman" w:cs="Times New Roman"/>
        </w:rPr>
        <w:t>du Procureur général</w:t>
      </w:r>
      <w:r>
        <w:rPr>
          <w:rFonts w:ascii="Times New Roman" w:hAnsi="Times New Roman" w:cs="Times New Roman"/>
        </w:rPr>
        <w:t xml:space="preserve"> en date du 22 janvier 2010 </w:t>
      </w:r>
      <w:r w:rsidRPr="00B82C1D">
        <w:rPr>
          <w:rFonts w:ascii="Times New Roman" w:hAnsi="Times New Roman" w:cs="Times New Roman"/>
        </w:rPr>
        <w:t>;</w:t>
      </w:r>
      <w:r w:rsidRPr="0025607A">
        <w:rPr>
          <w:rFonts w:ascii="Times New Roman" w:hAnsi="Times New Roman" w:cs="Times New Roman"/>
        </w:rPr>
        <w:t xml:space="preserve"> </w:t>
      </w:r>
    </w:p>
    <w:p w:rsidR="000A294C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 xml:space="preserve">Entendu, lors de l’audience publique de ce jour, </w:t>
      </w:r>
      <w:r>
        <w:rPr>
          <w:rFonts w:ascii="Times New Roman" w:hAnsi="Times New Roman" w:cs="Times New Roman"/>
        </w:rPr>
        <w:t>Mme Boutereau-Tichet,</w:t>
      </w:r>
      <w:r w:rsidRPr="00B82C1D">
        <w:rPr>
          <w:rFonts w:ascii="Times New Roman" w:hAnsi="Times New Roman" w:cs="Times New Roman"/>
        </w:rPr>
        <w:t xml:space="preserve"> rapporteur</w:t>
      </w:r>
      <w:r>
        <w:rPr>
          <w:rFonts w:ascii="Times New Roman" w:hAnsi="Times New Roman" w:cs="Times New Roman"/>
        </w:rPr>
        <w:t>e,</w:t>
      </w:r>
      <w:r w:rsidRPr="00B82C1D">
        <w:rPr>
          <w:rFonts w:ascii="Times New Roman" w:hAnsi="Times New Roman" w:cs="Times New Roman"/>
        </w:rPr>
        <w:t xml:space="preserve"> M. </w:t>
      </w:r>
      <w:r>
        <w:rPr>
          <w:rFonts w:ascii="Times New Roman" w:hAnsi="Times New Roman" w:cs="Times New Roman"/>
        </w:rPr>
        <w:t>Colin</w:t>
      </w:r>
      <w:r w:rsidRPr="00B82C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chargé de mission</w:t>
      </w:r>
      <w:r w:rsidRPr="00B82C1D">
        <w:rPr>
          <w:rFonts w:ascii="Times New Roman" w:hAnsi="Times New Roman" w:cs="Times New Roman"/>
        </w:rPr>
        <w:t xml:space="preserve">, l’appelant, informé de l’audience, </w:t>
      </w:r>
      <w:r w:rsidRPr="0066758D">
        <w:rPr>
          <w:rFonts w:ascii="Times New Roman" w:hAnsi="Times New Roman" w:cs="Times New Roman"/>
        </w:rPr>
        <w:t>n’étant pas présent ;</w:t>
      </w:r>
      <w:r w:rsidRPr="0025607A">
        <w:rPr>
          <w:rFonts w:ascii="Times New Roman" w:hAnsi="Times New Roman" w:cs="Times New Roman"/>
        </w:rPr>
        <w:t xml:space="preserve"> </w:t>
      </w:r>
    </w:p>
    <w:p w:rsidR="000A294C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 xml:space="preserve">Entendu, </w:t>
      </w:r>
      <w:r>
        <w:rPr>
          <w:rFonts w:ascii="Times New Roman" w:hAnsi="Times New Roman" w:cs="Times New Roman"/>
        </w:rPr>
        <w:t>en délibéré</w:t>
      </w:r>
      <w:r w:rsidRPr="00B82C1D">
        <w:rPr>
          <w:rFonts w:ascii="Times New Roman" w:hAnsi="Times New Roman" w:cs="Times New Roman"/>
        </w:rPr>
        <w:t xml:space="preserve">, M. </w:t>
      </w:r>
      <w:r>
        <w:rPr>
          <w:rFonts w:ascii="Times New Roman" w:hAnsi="Times New Roman" w:cs="Times New Roman"/>
        </w:rPr>
        <w:t xml:space="preserve">Gilles Cazanave, </w:t>
      </w:r>
      <w:r>
        <w:t xml:space="preserve">conseiller maître, </w:t>
      </w:r>
      <w:r>
        <w:rPr>
          <w:rFonts w:ascii="Times New Roman" w:hAnsi="Times New Roman" w:cs="Times New Roman"/>
        </w:rPr>
        <w:t xml:space="preserve">réviseur, </w:t>
      </w:r>
      <w:r w:rsidRPr="00B82C1D">
        <w:rPr>
          <w:rFonts w:ascii="Times New Roman" w:hAnsi="Times New Roman" w:cs="Times New Roman"/>
        </w:rPr>
        <w:t>en ses observations ;</w:t>
      </w:r>
      <w:r w:rsidRPr="0025607A">
        <w:rPr>
          <w:rFonts w:ascii="Times New Roman" w:hAnsi="Times New Roman" w:cs="Times New Roman"/>
        </w:rPr>
        <w:t xml:space="preserve"> </w:t>
      </w:r>
    </w:p>
    <w:p w:rsidR="000A294C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1B7368">
        <w:rPr>
          <w:rFonts w:ascii="Times New Roman" w:hAnsi="Times New Roman" w:cs="Times New Roman"/>
          <w:b/>
          <w:bCs/>
          <w:u w:val="single"/>
        </w:rPr>
        <w:t>Sur le fond</w:t>
      </w:r>
    </w:p>
    <w:p w:rsidR="000A294C" w:rsidRPr="00F77E42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F55D97">
        <w:rPr>
          <w:rFonts w:ascii="Times New Roman" w:hAnsi="Times New Roman" w:cs="Times New Roman"/>
        </w:rPr>
        <w:t>Attendu que par jugement du 30 avril 2009 précité, la chambre de Franche-Comté a constitué M. X débiteur, envers le CCAS de Polaincourt, au titre de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exercice 2006, de la somme de 15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238,55 € augmentée des intérêts de droit calculés à compter de la date du jugement provisoire, soit le 19 juin 2008, pour le paiement sur factures de 3 mandats correspondant à des fournitures de repas dépassant chacune le seuil des 4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 xml:space="preserve">000 € HT exigeant une forme écrite du marché ; </w:t>
      </w:r>
    </w:p>
    <w:p w:rsidR="000A294C" w:rsidRPr="00F77E42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F55D97">
        <w:rPr>
          <w:rFonts w:ascii="Times New Roman" w:hAnsi="Times New Roman" w:cs="Times New Roman"/>
        </w:rPr>
        <w:t>Attendu que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appelant indique que la nomenclature des pièces justificatives des dépenses du secteur public local, applicable au moment de ces paiements, est issue du décret du 2 avril 2003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; qu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elle précise, en sa rubrique 41, que «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la dépense est présentée sous la seule responsabilité de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ordonnateur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»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; que la dépense a été présentée par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ordonnateur sous la forme d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un marché à procédure adaptée ne faisant pas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objet d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un contrat écrit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; qu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aucune pièce transmise avant paiement ne faisait référence à un contrat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; que ces dépenses ne concernant ni des avances ni des acomptes, ni des prestations de maîtrise d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œuvre, il n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était pas fondé à demander un contrat écrit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 xml:space="preserve">; </w:t>
      </w:r>
    </w:p>
    <w:p w:rsidR="000A294C" w:rsidRPr="00F77E42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F55D97">
        <w:rPr>
          <w:rFonts w:ascii="Times New Roman" w:hAnsi="Times New Roman" w:cs="Times New Roman"/>
        </w:rPr>
        <w:t>Attendu toutefois que chaque mandat excédait le montant de 4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000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€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HT qui constituait le seuil au-delà duquel les marchés sont passés en forme écrite, selon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article 11 du code des marchés publics applicable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au moment du paiement ; que le contrôle de la validité de la créance que doit exercer le comptable devait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amener à suspendre le paiement et à demander production d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un document écrit ou d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un certificat administratif à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ordonnateur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 xml:space="preserve">; </w:t>
      </w:r>
    </w:p>
    <w:p w:rsidR="000A294C" w:rsidRPr="00F77E42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F55D97">
        <w:rPr>
          <w:rFonts w:ascii="Times New Roman" w:hAnsi="Times New Roman" w:cs="Times New Roman"/>
        </w:rPr>
        <w:t>Attendu que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appelant souligne que les seuils cités en annexe 4 de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instruction codificatrice du 23 juillet 2003 ne correspondent qu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au seuil des marchés formalisés et ne visent pas le seuil des 4 000 € HT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 xml:space="preserve">; </w:t>
      </w:r>
    </w:p>
    <w:p w:rsidR="000A294C" w:rsidRPr="00F77E42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F55D97">
        <w:rPr>
          <w:rFonts w:ascii="Times New Roman" w:hAnsi="Times New Roman" w:cs="Times New Roman"/>
        </w:rPr>
        <w:t>Attendu que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instruction codificatrice vise les seuils fixés à l'article 28 du code des marchés publics et les marchés pris en application de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article 30 du code des marchés publics, pour définir les marchés sans formalités préalables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; mais que, pour déterminer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 xml:space="preserve">attitude du comptable dans les cas de </w:t>
      </w:r>
      <w:r w:rsidRPr="00F55D97">
        <w:rPr>
          <w:rFonts w:ascii="Times New Roman" w:hAnsi="Times New Roman" w:cs="Times New Roman"/>
          <w:b/>
          <w:bCs/>
        </w:rPr>
        <w:t>«</w:t>
      </w:r>
      <w:r w:rsidRPr="00A3110D">
        <w:rPr>
          <w:rFonts w:ascii="Times New Roman" w:hAnsi="Times New Roman" w:cs="Times New Roman"/>
          <w:b/>
          <w:bCs/>
        </w:rPr>
        <w:t> </w:t>
      </w:r>
      <w:r w:rsidRPr="00F55D97">
        <w:rPr>
          <w:rFonts w:ascii="Times New Roman" w:hAnsi="Times New Roman" w:cs="Times New Roman"/>
        </w:rPr>
        <w:t>présentation manifestement erronée de la dépense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» ou de «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dépassement flagrant du seuil précité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»,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instruction ne vise qu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à titre d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exemple un dépassement de seuil fixé par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article 28 du code des marchés publics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; que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instruction ne tend pas à rendre facultative la production d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un contrat écrit même sommaire lorsque celui-ci est exigé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par la réglementation ;</w:t>
      </w:r>
      <w:r w:rsidRPr="00F55D97">
        <w:rPr>
          <w:rFonts w:ascii="Times New Roman" w:hAnsi="Times New Roman" w:cs="Times New Roman"/>
          <w:i/>
          <w:iCs/>
        </w:rPr>
        <w:t xml:space="preserve"> </w:t>
      </w:r>
    </w:p>
    <w:p w:rsidR="000A294C" w:rsidRPr="00F77E42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F55D97">
        <w:rPr>
          <w:rFonts w:ascii="Times New Roman" w:hAnsi="Times New Roman" w:cs="Times New Roman"/>
        </w:rPr>
        <w:t>Attendu que la forme écrite d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un marché suppose, pour le moins,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établissement d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un document indiquant les principales caractéristiques de la commande et portant mention de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acceptation du contrat par les deux parties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; que la réalisation des prestations et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établissement de factures ne sauraient, en conséquence, constituer une forme écrite de marché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; qu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un contrat n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aura été signé que le 8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avril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2008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; qu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il traduit la volonté de régulariser la situation de l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établissement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>; mais que la responsabilité du comptable s</w:t>
      </w:r>
      <w:r w:rsidRPr="00A3110D">
        <w:rPr>
          <w:rFonts w:ascii="Times New Roman" w:hAnsi="Times New Roman" w:cs="Times New Roman"/>
        </w:rPr>
        <w:t>’</w:t>
      </w:r>
      <w:r w:rsidRPr="00F55D97">
        <w:rPr>
          <w:rFonts w:ascii="Times New Roman" w:hAnsi="Times New Roman" w:cs="Times New Roman"/>
        </w:rPr>
        <w:t>apprécie au moment du paiement</w:t>
      </w:r>
      <w:r w:rsidRPr="00A3110D">
        <w:rPr>
          <w:rFonts w:ascii="Times New Roman" w:hAnsi="Times New Roman" w:cs="Times New Roman"/>
        </w:rPr>
        <w:t> </w:t>
      </w:r>
      <w:r w:rsidRPr="00F55D97">
        <w:rPr>
          <w:rFonts w:ascii="Times New Roman" w:hAnsi="Times New Roman" w:cs="Times New Roman"/>
        </w:rPr>
        <w:t xml:space="preserve">; </w:t>
      </w:r>
    </w:p>
    <w:p w:rsidR="000A294C" w:rsidRPr="00F77E42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F55D97">
        <w:rPr>
          <w:rFonts w:ascii="Times New Roman" w:hAnsi="Times New Roman" w:cs="Times New Roman"/>
        </w:rPr>
        <w:t xml:space="preserve">Par ces motifs, </w:t>
      </w:r>
    </w:p>
    <w:p w:rsidR="000A294C" w:rsidRPr="00660A6D" w:rsidRDefault="000A294C" w:rsidP="00327FD1">
      <w:pPr>
        <w:pStyle w:val="PS"/>
        <w:ind w:left="0" w:firstLine="0"/>
        <w:jc w:val="center"/>
        <w:rPr>
          <w:rFonts w:ascii="Times New Roman" w:hAnsi="Times New Roman" w:cs="Times New Roman"/>
        </w:rPr>
      </w:pPr>
      <w:r w:rsidRPr="00660A6D">
        <w:rPr>
          <w:rFonts w:ascii="Times New Roman" w:hAnsi="Times New Roman" w:cs="Times New Roman"/>
        </w:rPr>
        <w:t>STATUANT DEFINITIVEMENT</w:t>
      </w:r>
    </w:p>
    <w:p w:rsidR="000A294C" w:rsidRPr="00660A6D" w:rsidRDefault="000A294C" w:rsidP="00327FD1">
      <w:pPr>
        <w:pStyle w:val="PS"/>
        <w:ind w:left="0" w:firstLine="0"/>
        <w:jc w:val="center"/>
        <w:rPr>
          <w:rFonts w:ascii="Times New Roman" w:hAnsi="Times New Roman" w:cs="Times New Roman"/>
        </w:rPr>
      </w:pPr>
      <w:r w:rsidRPr="00660A6D">
        <w:rPr>
          <w:rFonts w:ascii="Times New Roman" w:hAnsi="Times New Roman" w:cs="Times New Roman"/>
        </w:rPr>
        <w:t>ORDONNE :</w:t>
      </w:r>
    </w:p>
    <w:p w:rsidR="000A294C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660A6D">
        <w:rPr>
          <w:rFonts w:ascii="Times New Roman" w:hAnsi="Times New Roman" w:cs="Times New Roman"/>
        </w:rPr>
        <w:t xml:space="preserve">La requête de </w:t>
      </w:r>
      <w:r>
        <w:rPr>
          <w:rFonts w:ascii="Times New Roman" w:hAnsi="Times New Roman" w:cs="Times New Roman"/>
        </w:rPr>
        <w:t xml:space="preserve">M. X </w:t>
      </w:r>
      <w:r w:rsidRPr="00660A6D">
        <w:rPr>
          <w:rFonts w:ascii="Times New Roman" w:hAnsi="Times New Roman" w:cs="Times New Roman"/>
        </w:rPr>
        <w:t xml:space="preserve">est </w:t>
      </w:r>
      <w:r>
        <w:rPr>
          <w:rFonts w:ascii="Times New Roman" w:hAnsi="Times New Roman" w:cs="Times New Roman"/>
        </w:rPr>
        <w:t>rejetée.</w:t>
      </w:r>
      <w:r w:rsidRPr="0025607A">
        <w:rPr>
          <w:rFonts w:ascii="Times New Roman" w:hAnsi="Times New Roman" w:cs="Times New Roman"/>
        </w:rPr>
        <w:t xml:space="preserve"> </w:t>
      </w:r>
    </w:p>
    <w:p w:rsidR="000A294C" w:rsidRDefault="000A294C" w:rsidP="0025607A">
      <w:pPr>
        <w:pStyle w:val="PS"/>
        <w:ind w:left="567"/>
        <w:rPr>
          <w:rFonts w:ascii="Times New Roman" w:hAnsi="Times New Roman" w:cs="Times New Roman"/>
        </w:rPr>
      </w:pPr>
      <w:r w:rsidRPr="00660A6D">
        <w:rPr>
          <w:rFonts w:ascii="Times New Roman" w:hAnsi="Times New Roman" w:cs="Times New Roman"/>
        </w:rPr>
        <w:t xml:space="preserve">Le jugement du </w:t>
      </w:r>
      <w:r>
        <w:rPr>
          <w:rFonts w:ascii="Times New Roman" w:hAnsi="Times New Roman" w:cs="Times New Roman"/>
        </w:rPr>
        <w:t>30 avril 2009</w:t>
      </w:r>
      <w:r w:rsidRPr="00B82C1D">
        <w:rPr>
          <w:rFonts w:ascii="Times New Roman" w:hAnsi="Times New Roman" w:cs="Times New Roman"/>
        </w:rPr>
        <w:t xml:space="preserve"> </w:t>
      </w:r>
      <w:r w:rsidRPr="00660A6D">
        <w:rPr>
          <w:rFonts w:ascii="Times New Roman" w:hAnsi="Times New Roman" w:cs="Times New Roman"/>
        </w:rPr>
        <w:t>de la chambre régionale des comptes de</w:t>
      </w:r>
      <w:r>
        <w:rPr>
          <w:rFonts w:ascii="Times New Roman" w:hAnsi="Times New Roman" w:cs="Times New Roman"/>
        </w:rPr>
        <w:t xml:space="preserve"> Franche Comté e</w:t>
      </w:r>
      <w:r w:rsidRPr="00660A6D">
        <w:rPr>
          <w:rFonts w:ascii="Times New Roman" w:hAnsi="Times New Roman" w:cs="Times New Roman"/>
        </w:rPr>
        <w:t xml:space="preserve">st </w:t>
      </w:r>
      <w:r>
        <w:rPr>
          <w:rFonts w:ascii="Times New Roman" w:hAnsi="Times New Roman" w:cs="Times New Roman"/>
        </w:rPr>
        <w:t>confirmé.</w:t>
      </w:r>
    </w:p>
    <w:p w:rsidR="000A294C" w:rsidRPr="00660A6D" w:rsidRDefault="000A294C" w:rsidP="00610701">
      <w:pPr>
        <w:pStyle w:val="PS"/>
        <w:ind w:left="0" w:firstLine="0"/>
        <w:jc w:val="center"/>
        <w:rPr>
          <w:rFonts w:ascii="Times New Roman" w:hAnsi="Times New Roman" w:cs="Times New Roman"/>
        </w:rPr>
      </w:pPr>
      <w:r w:rsidRPr="00660A6D">
        <w:rPr>
          <w:rFonts w:ascii="Times New Roman" w:hAnsi="Times New Roman" w:cs="Times New Roman"/>
        </w:rPr>
        <w:t>------------</w:t>
      </w:r>
    </w:p>
    <w:p w:rsidR="000A294C" w:rsidRDefault="000A294C" w:rsidP="00BA5C4F">
      <w:pPr>
        <w:pStyle w:val="PS"/>
        <w:ind w:left="567"/>
        <w:rPr>
          <w:rFonts w:ascii="Times New Roman" w:hAnsi="Times New Roman" w:cs="Times New Roman"/>
        </w:rPr>
      </w:pPr>
      <w:r w:rsidRPr="00660A6D">
        <w:rPr>
          <w:rFonts w:ascii="Times New Roman" w:hAnsi="Times New Roman" w:cs="Times New Roman"/>
        </w:rPr>
        <w:t>Fait et jugé en la Cour des comptes, quatrième chambre, première section. Présents, MM</w:t>
      </w:r>
      <w:r>
        <w:rPr>
          <w:rFonts w:ascii="Times New Roman" w:hAnsi="Times New Roman" w:cs="Times New Roman"/>
        </w:rPr>
        <w:t>.</w:t>
      </w:r>
      <w:r w:rsidRPr="00660A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Pichon</w:t>
      </w:r>
      <w:r w:rsidRPr="00660A6D">
        <w:rPr>
          <w:rFonts w:ascii="Times New Roman" w:hAnsi="Times New Roman" w:cs="Times New Roman"/>
        </w:rPr>
        <w:t xml:space="preserve">, président, </w:t>
      </w:r>
      <w:smartTag w:uri="urn:schemas-microsoft-com:office:smarttags" w:element="PersonName">
        <w:r>
          <w:rPr>
            <w:rFonts w:ascii="Times New Roman" w:hAnsi="Times New Roman" w:cs="Times New Roman"/>
          </w:rPr>
          <w:t>Cazanave</w:t>
        </w:r>
      </w:smartTag>
      <w:r w:rsidRPr="00660A6D">
        <w:rPr>
          <w:rFonts w:ascii="Times New Roman" w:hAnsi="Times New Roman" w:cs="Times New Roman"/>
        </w:rPr>
        <w:t xml:space="preserve">, président de section, </w:t>
      </w:r>
      <w:r>
        <w:rPr>
          <w:rFonts w:ascii="Times New Roman" w:hAnsi="Times New Roman" w:cs="Times New Roman"/>
        </w:rPr>
        <w:t>Ritz, Lafaure, Vermeulen, Mmes Gadriot-Renard, Démier, et M. Rolland</w:t>
      </w:r>
      <w:r w:rsidRPr="00660A6D">
        <w:rPr>
          <w:rFonts w:ascii="Times New Roman" w:hAnsi="Times New Roman" w:cs="Times New Roman"/>
        </w:rPr>
        <w:t>, conseillers maîtres</w:t>
      </w:r>
      <w:r>
        <w:rPr>
          <w:rFonts w:ascii="Times New Roman" w:hAnsi="Times New Roman" w:cs="Times New Roman"/>
        </w:rPr>
        <w:t>.</w:t>
      </w:r>
      <w:r w:rsidRPr="00660A6D">
        <w:rPr>
          <w:rFonts w:ascii="Times New Roman" w:hAnsi="Times New Roman" w:cs="Times New Roman"/>
        </w:rPr>
        <w:t xml:space="preserve"> </w:t>
      </w:r>
    </w:p>
    <w:p w:rsidR="000A294C" w:rsidRDefault="000A294C" w:rsidP="004B666C">
      <w:pPr>
        <w:pStyle w:val="PS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t xml:space="preserve">Signé : Pichon, président, et Reynaud, greffier. </w:t>
      </w:r>
    </w:p>
    <w:p w:rsidR="000A294C" w:rsidRDefault="000A294C" w:rsidP="004B666C">
      <w:pPr>
        <w:pStyle w:val="PS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Collationné, certifié conforme à la minute étant au greffe de la Cour des comptes et délivré par moi, secrétaire générale.</w:t>
      </w:r>
      <w:r w:rsidRPr="004B666C">
        <w:rPr>
          <w:rFonts w:ascii="Times New Roman" w:hAnsi="Times New Roman" w:cs="Times New Roman"/>
        </w:rPr>
        <w:t xml:space="preserve"> </w:t>
      </w:r>
    </w:p>
    <w:p w:rsidR="000A294C" w:rsidRDefault="000A294C" w:rsidP="00BA5C4F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Pour la Secrétaire générale</w:t>
      </w:r>
    </w:p>
    <w:p w:rsidR="000A294C" w:rsidRDefault="000A294C" w:rsidP="00BA5C4F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et par délégation</w:t>
      </w:r>
    </w:p>
    <w:p w:rsidR="000A294C" w:rsidRDefault="000A294C" w:rsidP="00BA5C4F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le Chef du greffe central par intérim</w:t>
      </w:r>
    </w:p>
    <w:p w:rsidR="000A294C" w:rsidRDefault="000A294C" w:rsidP="00BA5C4F">
      <w:pPr>
        <w:pStyle w:val="StylepsNoirPremireligne222cmAvantAutomatiqueApr"/>
        <w:ind w:left="5398" w:hanging="862"/>
        <w:jc w:val="center"/>
        <w:rPr>
          <w:b/>
          <w:bCs/>
          <w:color w:val="auto"/>
        </w:rPr>
      </w:pPr>
    </w:p>
    <w:p w:rsidR="000A294C" w:rsidRDefault="000A294C" w:rsidP="00BA5C4F">
      <w:pPr>
        <w:pStyle w:val="StylepsNoirPremireligne222cmAvantAutomatiqueApr"/>
        <w:ind w:left="5398" w:hanging="862"/>
        <w:jc w:val="center"/>
        <w:rPr>
          <w:b/>
          <w:bCs/>
          <w:color w:val="auto"/>
        </w:rPr>
      </w:pPr>
    </w:p>
    <w:p w:rsidR="000A294C" w:rsidRDefault="000A294C" w:rsidP="00BA5C4F">
      <w:pPr>
        <w:pStyle w:val="StylepsNoirPremireligne222cmAvantAutomatiqueApr"/>
        <w:ind w:left="5398" w:hanging="862"/>
        <w:jc w:val="center"/>
        <w:rPr>
          <w:b/>
          <w:bCs/>
          <w:color w:val="auto"/>
        </w:rPr>
      </w:pPr>
    </w:p>
    <w:p w:rsidR="000A294C" w:rsidRDefault="000A294C" w:rsidP="00BA5C4F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Catherine PAILOT-BONNÉTAT</w:t>
      </w:r>
    </w:p>
    <w:p w:rsidR="000A294C" w:rsidRDefault="000A294C" w:rsidP="00BA5C4F">
      <w:pPr>
        <w:pStyle w:val="PS"/>
        <w:ind w:left="5166" w:hanging="862"/>
        <w:jc w:val="center"/>
      </w:pPr>
      <w:r>
        <w:rPr>
          <w:b/>
          <w:bCs/>
        </w:rPr>
        <w:t>Conseillère référendaire</w:t>
      </w:r>
    </w:p>
    <w:p w:rsidR="000A294C" w:rsidRPr="00660A6D" w:rsidRDefault="000A294C" w:rsidP="00D54992">
      <w:pPr>
        <w:pStyle w:val="PS"/>
        <w:ind w:left="0"/>
      </w:pPr>
    </w:p>
    <w:sectPr w:rsidR="000A294C" w:rsidRPr="00660A6D" w:rsidSect="0025607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94C" w:rsidRDefault="000A294C">
      <w:r>
        <w:separator/>
      </w:r>
    </w:p>
  </w:endnote>
  <w:endnote w:type="continuationSeparator" w:id="0">
    <w:p w:rsidR="000A294C" w:rsidRDefault="000A29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94C" w:rsidRDefault="000A294C">
      <w:r>
        <w:separator/>
      </w:r>
    </w:p>
  </w:footnote>
  <w:footnote w:type="continuationSeparator" w:id="0">
    <w:p w:rsidR="000A294C" w:rsidRDefault="000A29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4C" w:rsidRDefault="000A294C" w:rsidP="0025607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294C" w:rsidRDefault="000A294C" w:rsidP="0025607A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4C" w:rsidRDefault="000A294C" w:rsidP="0025607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A294C" w:rsidRDefault="000A294C" w:rsidP="0025607A">
    <w:pPr>
      <w:pStyle w:val="Header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embedSystemFonts/>
  <w:attachedTemplate r:id="rId1"/>
  <w:stylePaneFormatFilter w:val="3F01"/>
  <w:trackRevisions/>
  <w:defaultTabStop w:val="708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3E92"/>
    <w:rsid w:val="0000109B"/>
    <w:rsid w:val="00002923"/>
    <w:rsid w:val="00042DE1"/>
    <w:rsid w:val="00062706"/>
    <w:rsid w:val="00074849"/>
    <w:rsid w:val="000966AD"/>
    <w:rsid w:val="00097CB1"/>
    <w:rsid w:val="000A294C"/>
    <w:rsid w:val="000B1525"/>
    <w:rsid w:val="000C78C8"/>
    <w:rsid w:val="000F5742"/>
    <w:rsid w:val="0010360D"/>
    <w:rsid w:val="00103B5D"/>
    <w:rsid w:val="00120038"/>
    <w:rsid w:val="00122E6F"/>
    <w:rsid w:val="0013719D"/>
    <w:rsid w:val="00137E59"/>
    <w:rsid w:val="001709D1"/>
    <w:rsid w:val="00172BF4"/>
    <w:rsid w:val="00173F27"/>
    <w:rsid w:val="00180908"/>
    <w:rsid w:val="00180A96"/>
    <w:rsid w:val="00180E4F"/>
    <w:rsid w:val="00190224"/>
    <w:rsid w:val="001943B8"/>
    <w:rsid w:val="001B7368"/>
    <w:rsid w:val="001C4E87"/>
    <w:rsid w:val="001D2A4A"/>
    <w:rsid w:val="001E2CBB"/>
    <w:rsid w:val="001F482A"/>
    <w:rsid w:val="0020413B"/>
    <w:rsid w:val="00211381"/>
    <w:rsid w:val="00211F06"/>
    <w:rsid w:val="00223D38"/>
    <w:rsid w:val="00243E9C"/>
    <w:rsid w:val="0025607A"/>
    <w:rsid w:val="00262767"/>
    <w:rsid w:val="00262E91"/>
    <w:rsid w:val="00284289"/>
    <w:rsid w:val="002A3420"/>
    <w:rsid w:val="002A5F51"/>
    <w:rsid w:val="002B01CB"/>
    <w:rsid w:val="002D1842"/>
    <w:rsid w:val="002E020E"/>
    <w:rsid w:val="002F4064"/>
    <w:rsid w:val="002F76D8"/>
    <w:rsid w:val="0030359C"/>
    <w:rsid w:val="0031367B"/>
    <w:rsid w:val="00313B8C"/>
    <w:rsid w:val="00317CAF"/>
    <w:rsid w:val="003201CD"/>
    <w:rsid w:val="00325C98"/>
    <w:rsid w:val="00326EE5"/>
    <w:rsid w:val="00327FD1"/>
    <w:rsid w:val="00331626"/>
    <w:rsid w:val="00346D93"/>
    <w:rsid w:val="00353439"/>
    <w:rsid w:val="00381C20"/>
    <w:rsid w:val="00383468"/>
    <w:rsid w:val="0039572C"/>
    <w:rsid w:val="003A24CE"/>
    <w:rsid w:val="003A29D8"/>
    <w:rsid w:val="003A6169"/>
    <w:rsid w:val="003B4919"/>
    <w:rsid w:val="003C72B0"/>
    <w:rsid w:val="003D2B09"/>
    <w:rsid w:val="00410A6D"/>
    <w:rsid w:val="0041218E"/>
    <w:rsid w:val="00413EE5"/>
    <w:rsid w:val="004149E8"/>
    <w:rsid w:val="00415B20"/>
    <w:rsid w:val="00421AE2"/>
    <w:rsid w:val="004268EA"/>
    <w:rsid w:val="00457496"/>
    <w:rsid w:val="004648E6"/>
    <w:rsid w:val="00475C59"/>
    <w:rsid w:val="00475D4C"/>
    <w:rsid w:val="00476470"/>
    <w:rsid w:val="004806C4"/>
    <w:rsid w:val="00481C50"/>
    <w:rsid w:val="0048440B"/>
    <w:rsid w:val="00496FA2"/>
    <w:rsid w:val="00497A94"/>
    <w:rsid w:val="004B5659"/>
    <w:rsid w:val="004B666C"/>
    <w:rsid w:val="004D206B"/>
    <w:rsid w:val="004D52EB"/>
    <w:rsid w:val="004D6186"/>
    <w:rsid w:val="004E32D2"/>
    <w:rsid w:val="004F66C0"/>
    <w:rsid w:val="0051078B"/>
    <w:rsid w:val="00513823"/>
    <w:rsid w:val="00521414"/>
    <w:rsid w:val="00533F20"/>
    <w:rsid w:val="0054418D"/>
    <w:rsid w:val="00545E6A"/>
    <w:rsid w:val="00554D86"/>
    <w:rsid w:val="005618A9"/>
    <w:rsid w:val="0056412B"/>
    <w:rsid w:val="00565E05"/>
    <w:rsid w:val="00566BAE"/>
    <w:rsid w:val="005846B1"/>
    <w:rsid w:val="00586186"/>
    <w:rsid w:val="00586D35"/>
    <w:rsid w:val="00597F3F"/>
    <w:rsid w:val="005C14F9"/>
    <w:rsid w:val="005D1BD8"/>
    <w:rsid w:val="005D3707"/>
    <w:rsid w:val="005E5AE6"/>
    <w:rsid w:val="005E7EE8"/>
    <w:rsid w:val="005F41EA"/>
    <w:rsid w:val="005F641F"/>
    <w:rsid w:val="006003CD"/>
    <w:rsid w:val="0060163F"/>
    <w:rsid w:val="00610701"/>
    <w:rsid w:val="0061419D"/>
    <w:rsid w:val="00616174"/>
    <w:rsid w:val="0063019B"/>
    <w:rsid w:val="00645620"/>
    <w:rsid w:val="00650682"/>
    <w:rsid w:val="006534E7"/>
    <w:rsid w:val="00660A6D"/>
    <w:rsid w:val="0066758D"/>
    <w:rsid w:val="00671DB5"/>
    <w:rsid w:val="00686BA5"/>
    <w:rsid w:val="006931D3"/>
    <w:rsid w:val="006A4388"/>
    <w:rsid w:val="006B005F"/>
    <w:rsid w:val="006C3E92"/>
    <w:rsid w:val="006C6EDF"/>
    <w:rsid w:val="006D476B"/>
    <w:rsid w:val="006E020C"/>
    <w:rsid w:val="006E1A1A"/>
    <w:rsid w:val="006F13C8"/>
    <w:rsid w:val="00701DFF"/>
    <w:rsid w:val="007438F0"/>
    <w:rsid w:val="007A56E4"/>
    <w:rsid w:val="007B2171"/>
    <w:rsid w:val="007B529F"/>
    <w:rsid w:val="007C77E2"/>
    <w:rsid w:val="007D4AE2"/>
    <w:rsid w:val="007F07F3"/>
    <w:rsid w:val="007F0929"/>
    <w:rsid w:val="007F1E40"/>
    <w:rsid w:val="007F2422"/>
    <w:rsid w:val="007F3AC0"/>
    <w:rsid w:val="0080043A"/>
    <w:rsid w:val="008240D6"/>
    <w:rsid w:val="00824B43"/>
    <w:rsid w:val="00845E76"/>
    <w:rsid w:val="00847E1B"/>
    <w:rsid w:val="008617C3"/>
    <w:rsid w:val="0086603E"/>
    <w:rsid w:val="00866D4B"/>
    <w:rsid w:val="00876EAC"/>
    <w:rsid w:val="00883333"/>
    <w:rsid w:val="00883D06"/>
    <w:rsid w:val="00891B02"/>
    <w:rsid w:val="008A5054"/>
    <w:rsid w:val="008B5911"/>
    <w:rsid w:val="008C5F81"/>
    <w:rsid w:val="008E0C8D"/>
    <w:rsid w:val="008E39FA"/>
    <w:rsid w:val="008F2164"/>
    <w:rsid w:val="00906B6C"/>
    <w:rsid w:val="009113B1"/>
    <w:rsid w:val="0092055B"/>
    <w:rsid w:val="009450CF"/>
    <w:rsid w:val="00976D12"/>
    <w:rsid w:val="00977E23"/>
    <w:rsid w:val="0099190A"/>
    <w:rsid w:val="009A25F6"/>
    <w:rsid w:val="009E32DC"/>
    <w:rsid w:val="009F2DB9"/>
    <w:rsid w:val="00A1234D"/>
    <w:rsid w:val="00A3110D"/>
    <w:rsid w:val="00A338DA"/>
    <w:rsid w:val="00A36AE2"/>
    <w:rsid w:val="00A406E5"/>
    <w:rsid w:val="00A42557"/>
    <w:rsid w:val="00A44C20"/>
    <w:rsid w:val="00A44D69"/>
    <w:rsid w:val="00A76E87"/>
    <w:rsid w:val="00A80788"/>
    <w:rsid w:val="00A95152"/>
    <w:rsid w:val="00AB0802"/>
    <w:rsid w:val="00AD146C"/>
    <w:rsid w:val="00AD2BC6"/>
    <w:rsid w:val="00AD31F8"/>
    <w:rsid w:val="00AD46E6"/>
    <w:rsid w:val="00AF1D55"/>
    <w:rsid w:val="00AF2001"/>
    <w:rsid w:val="00AF7246"/>
    <w:rsid w:val="00B10A4C"/>
    <w:rsid w:val="00B27672"/>
    <w:rsid w:val="00B30F64"/>
    <w:rsid w:val="00B56FA4"/>
    <w:rsid w:val="00B62210"/>
    <w:rsid w:val="00B70F4C"/>
    <w:rsid w:val="00B82C1D"/>
    <w:rsid w:val="00B85FD6"/>
    <w:rsid w:val="00B92A4C"/>
    <w:rsid w:val="00BA223E"/>
    <w:rsid w:val="00BA5580"/>
    <w:rsid w:val="00BA5C4F"/>
    <w:rsid w:val="00BA6A11"/>
    <w:rsid w:val="00BC5727"/>
    <w:rsid w:val="00BC7AFF"/>
    <w:rsid w:val="00BD01E8"/>
    <w:rsid w:val="00BD37B1"/>
    <w:rsid w:val="00BD6431"/>
    <w:rsid w:val="00BE4CC6"/>
    <w:rsid w:val="00BE6604"/>
    <w:rsid w:val="00C10827"/>
    <w:rsid w:val="00C245B6"/>
    <w:rsid w:val="00C35A41"/>
    <w:rsid w:val="00C36F08"/>
    <w:rsid w:val="00C72063"/>
    <w:rsid w:val="00CD06DD"/>
    <w:rsid w:val="00CF4D0B"/>
    <w:rsid w:val="00D05BB4"/>
    <w:rsid w:val="00D072D8"/>
    <w:rsid w:val="00D07D63"/>
    <w:rsid w:val="00D22973"/>
    <w:rsid w:val="00D54992"/>
    <w:rsid w:val="00D57ECF"/>
    <w:rsid w:val="00D80DFE"/>
    <w:rsid w:val="00D969BC"/>
    <w:rsid w:val="00DA7123"/>
    <w:rsid w:val="00DB549E"/>
    <w:rsid w:val="00DB5EED"/>
    <w:rsid w:val="00DE2254"/>
    <w:rsid w:val="00DF26F3"/>
    <w:rsid w:val="00DF7926"/>
    <w:rsid w:val="00E259A4"/>
    <w:rsid w:val="00E2748E"/>
    <w:rsid w:val="00E575CD"/>
    <w:rsid w:val="00E73F93"/>
    <w:rsid w:val="00E86457"/>
    <w:rsid w:val="00EB6713"/>
    <w:rsid w:val="00EB739E"/>
    <w:rsid w:val="00ED36C8"/>
    <w:rsid w:val="00ED5089"/>
    <w:rsid w:val="00EE0995"/>
    <w:rsid w:val="00F36307"/>
    <w:rsid w:val="00F55D97"/>
    <w:rsid w:val="00F736D0"/>
    <w:rsid w:val="00F74ADE"/>
    <w:rsid w:val="00F77E42"/>
    <w:rsid w:val="00F818F3"/>
    <w:rsid w:val="00F8640B"/>
    <w:rsid w:val="00F949A9"/>
    <w:rsid w:val="00FA0011"/>
    <w:rsid w:val="00FA133F"/>
    <w:rsid w:val="00FB6C0A"/>
    <w:rsid w:val="00FC475F"/>
    <w:rsid w:val="00FD4177"/>
    <w:rsid w:val="00FD73A8"/>
    <w:rsid w:val="00FE3DDE"/>
    <w:rsid w:val="00FE7CFC"/>
    <w:rsid w:val="00FF14A8"/>
    <w:rsid w:val="00FF6674"/>
    <w:rsid w:val="00FF6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0A9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0A96"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80A96"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80A96"/>
    <w:pPr>
      <w:keepNext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80A96"/>
    <w:pPr>
      <w:keepNext/>
      <w:ind w:left="5670"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80A96"/>
    <w:pPr>
      <w:keepNext/>
      <w:outlineLvl w:val="4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54D86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54D86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54D86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54D86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54D86"/>
    <w:rPr>
      <w:rFonts w:ascii="Calibri" w:hAnsi="Calibri" w:cs="Calibri"/>
      <w:b/>
      <w:bCs/>
      <w:i/>
      <w:iCs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rsid w:val="00180A96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554D86"/>
    <w:rPr>
      <w:rFonts w:cs="Times New Roman"/>
      <w:sz w:val="20"/>
      <w:szCs w:val="20"/>
    </w:rPr>
  </w:style>
  <w:style w:type="paragraph" w:customStyle="1" w:styleId="apostille">
    <w:name w:val="apostille"/>
    <w:basedOn w:val="Normal"/>
    <w:uiPriority w:val="99"/>
    <w:rsid w:val="00180A96"/>
    <w:pPr>
      <w:spacing w:before="120"/>
      <w:jc w:val="right"/>
    </w:pPr>
    <w:rPr>
      <w:b/>
      <w:bCs/>
      <w:i/>
      <w:iCs/>
      <w:smallCaps/>
      <w:sz w:val="24"/>
      <w:szCs w:val="24"/>
    </w:rPr>
  </w:style>
  <w:style w:type="paragraph" w:customStyle="1" w:styleId="obs">
    <w:name w:val="obs"/>
    <w:basedOn w:val="Normal"/>
    <w:uiPriority w:val="99"/>
    <w:rsid w:val="00180A96"/>
    <w:pPr>
      <w:spacing w:before="240" w:after="120"/>
      <w:jc w:val="both"/>
    </w:pPr>
    <w:rPr>
      <w:b/>
      <w:bCs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rsid w:val="00180A96"/>
    <w:rPr>
      <w:rFonts w:cs="Times New Roman"/>
      <w:vertAlign w:val="superscript"/>
    </w:rPr>
  </w:style>
  <w:style w:type="paragraph" w:styleId="BodyText">
    <w:name w:val="Body Text"/>
    <w:basedOn w:val="Normal"/>
    <w:link w:val="BodyTextChar"/>
    <w:uiPriority w:val="99"/>
    <w:rsid w:val="00180A96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54D86"/>
    <w:rPr>
      <w:rFonts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180A96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554D86"/>
    <w:rPr>
      <w:rFonts w:cs="Times New Roman"/>
      <w:sz w:val="20"/>
      <w:szCs w:val="20"/>
    </w:rPr>
  </w:style>
  <w:style w:type="paragraph" w:customStyle="1" w:styleId="paragraphe">
    <w:name w:val="paragraphe"/>
    <w:uiPriority w:val="99"/>
    <w:rsid w:val="00847E1B"/>
    <w:pPr>
      <w:spacing w:after="240" w:line="240" w:lineRule="exact"/>
      <w:ind w:left="2268" w:firstLine="1418"/>
      <w:jc w:val="both"/>
    </w:pPr>
    <w:rPr>
      <w:rFonts w:ascii="Tms Rmn" w:hAnsi="Tms Rmn" w:cs="Tms Rm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D2A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4D86"/>
    <w:rPr>
      <w:rFonts w:cs="Times New Roman"/>
      <w:sz w:val="2"/>
      <w:szCs w:val="2"/>
    </w:rPr>
  </w:style>
  <w:style w:type="paragraph" w:customStyle="1" w:styleId="PS">
    <w:name w:val="PS"/>
    <w:basedOn w:val="Normal"/>
    <w:link w:val="PSCar"/>
    <w:uiPriority w:val="99"/>
    <w:rsid w:val="00B82C1D"/>
    <w:pPr>
      <w:spacing w:after="480"/>
      <w:ind w:left="1701" w:firstLine="1134"/>
      <w:jc w:val="both"/>
    </w:pPr>
    <w:rPr>
      <w:rFonts w:ascii="CG Times (WN)" w:hAnsi="CG Times (WN)" w:cs="CG Times (WN)"/>
      <w:sz w:val="24"/>
      <w:szCs w:val="24"/>
    </w:rPr>
  </w:style>
  <w:style w:type="character" w:customStyle="1" w:styleId="PSCar">
    <w:name w:val="PS Car"/>
    <w:basedOn w:val="DefaultParagraphFont"/>
    <w:link w:val="PS"/>
    <w:uiPriority w:val="99"/>
    <w:locked/>
    <w:rsid w:val="00B82C1D"/>
    <w:rPr>
      <w:rFonts w:ascii="CG Times (WN)" w:hAnsi="CG Times (WN)" w:cs="CG Times (WN)"/>
      <w:sz w:val="24"/>
      <w:szCs w:val="24"/>
      <w:lang w:val="fr-FR" w:eastAsia="fr-FR"/>
    </w:rPr>
  </w:style>
  <w:style w:type="paragraph" w:customStyle="1" w:styleId="Style">
    <w:name w:val="Style"/>
    <w:basedOn w:val="Normal"/>
    <w:uiPriority w:val="99"/>
    <w:rsid w:val="00D80DFE"/>
    <w:pPr>
      <w:widowControl w:val="0"/>
      <w:overflowPunct w:val="0"/>
      <w:autoSpaceDE w:val="0"/>
      <w:autoSpaceDN w:val="0"/>
      <w:adjustRightInd w:val="0"/>
      <w:spacing w:after="160" w:line="240" w:lineRule="exact"/>
      <w:textAlignment w:val="baseline"/>
    </w:pPr>
    <w:rPr>
      <w:rFonts w:ascii="Tahoma" w:hAnsi="Tahoma" w:cs="Tahoma"/>
      <w:lang w:val="en-US" w:eastAsia="en-US"/>
    </w:rPr>
  </w:style>
  <w:style w:type="paragraph" w:customStyle="1" w:styleId="StylepsNoirPremireligne222cmAvantAutomatiqueApr">
    <w:name w:val="Style ps + Noir Première ligne : 2.22 cm Avant : Automatique Apr..."/>
    <w:basedOn w:val="PS"/>
    <w:uiPriority w:val="99"/>
    <w:rsid w:val="00BA5C4F"/>
    <w:pPr>
      <w:spacing w:before="100" w:beforeAutospacing="1" w:after="100" w:afterAutospacing="1"/>
      <w:ind w:left="0" w:firstLine="1259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rsid w:val="0025607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54D86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25607A"/>
    <w:rPr>
      <w:rFonts w:cs="Times New Roman"/>
    </w:rPr>
  </w:style>
  <w:style w:type="table" w:styleId="TableGrid">
    <w:name w:val="Table Grid"/>
    <w:basedOn w:val="TableNormal"/>
    <w:uiPriority w:val="99"/>
    <w:rsid w:val="00A8078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moreau\Local%20Settings\Temporary%20Internet%20Files\OLK31\Arr&#234;t%20appel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 appel1.dot</Template>
  <TotalTime>1</TotalTime>
  <Pages>4</Pages>
  <Words>845</Words>
  <Characters>4648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Montferrat, arrêt</dc:title>
  <dc:subject/>
  <dc:creator>gmoreau</dc:creator>
  <cp:keywords/>
  <dc:description/>
  <cp:lastModifiedBy>mtlecroisey</cp:lastModifiedBy>
  <cp:revision>2</cp:revision>
  <cp:lastPrinted>2010-04-28T12:28:00Z</cp:lastPrinted>
  <dcterms:created xsi:type="dcterms:W3CDTF">2010-08-31T08:49:00Z</dcterms:created>
  <dcterms:modified xsi:type="dcterms:W3CDTF">2010-08-31T08:49:00Z</dcterms:modified>
</cp:coreProperties>
</file>