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4DD" w:rsidRPr="00EE23E7" w:rsidRDefault="000434DD">
      <w:pPr>
        <w:pStyle w:val="ET"/>
      </w:pPr>
      <w:r w:rsidRPr="00EE23E7">
        <w:t>COUR DES COMPTES</w:t>
      </w:r>
    </w:p>
    <w:p w:rsidR="000434DD" w:rsidRPr="00EE23E7" w:rsidRDefault="000434DD">
      <w:pPr>
        <w:pStyle w:val="ET"/>
      </w:pPr>
      <w:r w:rsidRPr="00EE23E7">
        <w:tab/>
        <w:t xml:space="preserve">    ------ </w:t>
      </w:r>
    </w:p>
    <w:p w:rsidR="000434DD" w:rsidRPr="00EE23E7" w:rsidRDefault="00E8569B">
      <w:pPr>
        <w:pStyle w:val="ET"/>
      </w:pPr>
      <w:r w:rsidRPr="00EE23E7">
        <w:t>TROIS</w:t>
      </w:r>
      <w:r w:rsidR="001A5310" w:rsidRPr="00EE23E7">
        <w:t>IEM</w:t>
      </w:r>
      <w:r w:rsidR="007C6484" w:rsidRPr="00EE23E7">
        <w:t>E</w:t>
      </w:r>
      <w:r w:rsidR="000434DD" w:rsidRPr="00EE23E7">
        <w:t xml:space="preserve"> CHAMBRE</w:t>
      </w:r>
    </w:p>
    <w:p w:rsidR="000434DD" w:rsidRPr="00EE23E7" w:rsidRDefault="000434DD" w:rsidP="000434DD">
      <w:pPr>
        <w:pStyle w:val="ET"/>
      </w:pPr>
      <w:r w:rsidRPr="00EE23E7">
        <w:tab/>
        <w:t xml:space="preserve">    ------ </w:t>
      </w:r>
    </w:p>
    <w:p w:rsidR="000434DD" w:rsidRPr="00EE23E7" w:rsidRDefault="00E8569B">
      <w:pPr>
        <w:pStyle w:val="ET"/>
      </w:pPr>
      <w:r w:rsidRPr="00EE23E7">
        <w:t>QUATR</w:t>
      </w:r>
      <w:r w:rsidR="000E357E" w:rsidRPr="00EE23E7">
        <w:t>ie</w:t>
      </w:r>
      <w:r w:rsidR="005351FE" w:rsidRPr="00EE23E7">
        <w:t>M</w:t>
      </w:r>
      <w:r w:rsidR="00D70AB8" w:rsidRPr="00EE23E7">
        <w:t>e SECTION</w:t>
      </w:r>
    </w:p>
    <w:p w:rsidR="000434DD" w:rsidRPr="00EE23E7" w:rsidRDefault="000434DD">
      <w:pPr>
        <w:pStyle w:val="ET"/>
      </w:pPr>
      <w:r w:rsidRPr="00EE23E7">
        <w:tab/>
        <w:t xml:space="preserve">    ------ </w:t>
      </w:r>
    </w:p>
    <w:p w:rsidR="00F94E8E" w:rsidRPr="00EE23E7" w:rsidRDefault="000434DD" w:rsidP="000434DD">
      <w:pPr>
        <w:pStyle w:val="En-tte"/>
        <w:rPr>
          <w:b/>
          <w:bCs/>
          <w:i/>
          <w:iCs/>
        </w:rPr>
      </w:pPr>
      <w:r w:rsidRPr="00EE23E7">
        <w:t xml:space="preserve">   </w:t>
      </w:r>
      <w:r w:rsidR="00F1533A" w:rsidRPr="00EE23E7">
        <w:t xml:space="preserve"> </w:t>
      </w:r>
      <w:r w:rsidRPr="00EE23E7">
        <w:t xml:space="preserve">   </w:t>
      </w:r>
      <w:r w:rsidRPr="00EE23E7">
        <w:rPr>
          <w:b/>
          <w:bCs/>
          <w:i/>
          <w:iCs/>
        </w:rPr>
        <w:t>Arrêt n°</w:t>
      </w:r>
      <w:r w:rsidR="00F1533A" w:rsidRPr="00EE23E7">
        <w:rPr>
          <w:b/>
          <w:bCs/>
          <w:i/>
          <w:iCs/>
        </w:rPr>
        <w:t xml:space="preserve"> </w:t>
      </w:r>
      <w:r w:rsidR="000E357E" w:rsidRPr="00EE23E7">
        <w:rPr>
          <w:b/>
          <w:bCs/>
          <w:i/>
          <w:iCs/>
        </w:rPr>
        <w:t>5</w:t>
      </w:r>
      <w:r w:rsidR="00477CB0" w:rsidRPr="00EE23E7">
        <w:rPr>
          <w:b/>
          <w:bCs/>
          <w:i/>
          <w:iCs/>
        </w:rPr>
        <w:t>8611</w:t>
      </w:r>
      <w:r w:rsidR="00F94E8E" w:rsidRPr="00EE23E7">
        <w:rPr>
          <w:b/>
          <w:bCs/>
          <w:i/>
          <w:iCs/>
        </w:rPr>
        <w:fldChar w:fldCharType="begin"/>
      </w:r>
      <w:r w:rsidR="00F94E8E" w:rsidRPr="00EE23E7">
        <w:rPr>
          <w:b/>
          <w:bCs/>
          <w:i/>
          <w:iCs/>
        </w:rPr>
        <w:fldChar w:fldCharType="end"/>
      </w:r>
    </w:p>
    <w:p w:rsidR="00477CB0" w:rsidRPr="00433255" w:rsidRDefault="00477CB0" w:rsidP="00477CB0">
      <w:pPr>
        <w:pStyle w:val="OR"/>
        <w:spacing w:before="120" w:after="120"/>
        <w:ind w:left="5387"/>
        <w:jc w:val="both"/>
      </w:pPr>
      <w:r w:rsidRPr="00433255">
        <w:t>FONDATION NATIONALE DES SCIENCES POLITIQUES (FNSP)</w:t>
      </w:r>
    </w:p>
    <w:p w:rsidR="00477CB0" w:rsidRPr="00433255" w:rsidRDefault="00477CB0" w:rsidP="00477CB0">
      <w:pPr>
        <w:pStyle w:val="OR"/>
        <w:spacing w:before="120" w:after="120"/>
        <w:ind w:left="5387"/>
        <w:jc w:val="both"/>
      </w:pPr>
      <w:r w:rsidRPr="00433255">
        <w:t>Gestio</w:t>
      </w:r>
      <w:r w:rsidR="00EC11BD" w:rsidRPr="00433255">
        <w:t>n de fait des deniers de l'État</w:t>
      </w:r>
    </w:p>
    <w:p w:rsidR="00477CB0" w:rsidRPr="00433255" w:rsidRDefault="00477CB0" w:rsidP="00C06D43">
      <w:pPr>
        <w:pStyle w:val="OR"/>
        <w:spacing w:after="120"/>
        <w:ind w:left="5387"/>
      </w:pPr>
      <w:r w:rsidRPr="00433255">
        <w:t>Rapport n° 2010-258-0</w:t>
      </w:r>
    </w:p>
    <w:p w:rsidR="00AC1E16" w:rsidRPr="00433255" w:rsidRDefault="00477CB0" w:rsidP="00C06D43">
      <w:pPr>
        <w:pStyle w:val="OR"/>
        <w:spacing w:after="120"/>
        <w:ind w:left="5387"/>
      </w:pPr>
      <w:r w:rsidRPr="00433255">
        <w:t>Séance du 31 mai 2010</w:t>
      </w:r>
    </w:p>
    <w:p w:rsidR="001F1530" w:rsidRPr="00433255" w:rsidRDefault="001F1530" w:rsidP="00C85CB4">
      <w:pPr>
        <w:pStyle w:val="OR"/>
        <w:ind w:left="5387"/>
      </w:pPr>
      <w:r w:rsidRPr="00433255">
        <w:t>Lecture publique du</w:t>
      </w:r>
      <w:r w:rsidR="00390EF4">
        <w:t xml:space="preserve"> 28 juin 2010</w:t>
      </w:r>
    </w:p>
    <w:p w:rsidR="00733759" w:rsidRPr="00733759" w:rsidRDefault="00733759" w:rsidP="00733759">
      <w:pPr>
        <w:pStyle w:val="PS"/>
        <w:spacing w:before="360" w:after="240"/>
        <w:ind w:left="0" w:firstLine="0"/>
        <w:jc w:val="center"/>
      </w:pPr>
      <w:bookmarkStart w:id="0" w:name="_GoBack"/>
      <w:r w:rsidRPr="00733759">
        <w:t>REPUBLIQUE FRANCAISE</w:t>
      </w:r>
    </w:p>
    <w:p w:rsidR="00733759" w:rsidRPr="00733759" w:rsidRDefault="00733759" w:rsidP="00733759">
      <w:pPr>
        <w:pStyle w:val="PS"/>
        <w:spacing w:after="240"/>
        <w:ind w:left="0" w:firstLine="0"/>
        <w:jc w:val="center"/>
      </w:pPr>
      <w:r w:rsidRPr="00733759">
        <w:t>AU NOM DU PEUPLE FRANÇAIS</w:t>
      </w:r>
    </w:p>
    <w:p w:rsidR="00E2459B" w:rsidRPr="00733759" w:rsidRDefault="00733759" w:rsidP="00733759">
      <w:pPr>
        <w:pStyle w:val="PS"/>
        <w:spacing w:after="240"/>
        <w:ind w:left="0" w:firstLine="0"/>
        <w:jc w:val="center"/>
      </w:pPr>
      <w:r w:rsidRPr="00733759">
        <w:t>LA COUR DES COMPTES a rendu l’arrêt suivant :</w:t>
      </w:r>
    </w:p>
    <w:p w:rsidR="000434DD" w:rsidRPr="00433255" w:rsidRDefault="000434DD" w:rsidP="00D93B78">
      <w:pPr>
        <w:pStyle w:val="PS"/>
      </w:pPr>
      <w:r w:rsidRPr="00433255">
        <w:t>LA COUR,</w:t>
      </w:r>
    </w:p>
    <w:p w:rsidR="00E2459B" w:rsidRPr="00433255" w:rsidRDefault="00E2459B" w:rsidP="00433255">
      <w:pPr>
        <w:pStyle w:val="PS"/>
        <w:spacing w:after="360"/>
      </w:pPr>
      <w:r w:rsidRPr="00433255">
        <w:t>Vu l'arrêt n° 39812, lu en audience publique le 20 juillet 2004, par lequel la Cour a déclaré à titre définitif conjointement et solidairement comptables de fait des deniers de l'État, du chef de treize subventions qui ont été versées à la Fondation nationale des sciences politiques (FNSP) :</w:t>
      </w:r>
    </w:p>
    <w:p w:rsidR="00E2459B" w:rsidRPr="00433255" w:rsidRDefault="00E2459B" w:rsidP="00D93B78">
      <w:pPr>
        <w:pStyle w:val="PS"/>
        <w:spacing w:after="120"/>
      </w:pPr>
      <w:r w:rsidRPr="00433255">
        <w:t xml:space="preserve">- MM. </w:t>
      </w:r>
      <w:r w:rsidR="00CF4560">
        <w:t>X</w:t>
      </w:r>
      <w:r w:rsidRPr="00433255">
        <w:t xml:space="preserve">, </w:t>
      </w:r>
      <w:r w:rsidR="00CF4560">
        <w:t>Y</w:t>
      </w:r>
      <w:r w:rsidRPr="00433255">
        <w:t xml:space="preserve">, Mme </w:t>
      </w:r>
      <w:r w:rsidR="00CF4560">
        <w:t>Z</w:t>
      </w:r>
      <w:r w:rsidRPr="00433255">
        <w:t xml:space="preserve"> et M. </w:t>
      </w:r>
      <w:r w:rsidR="00CF4560">
        <w:t>A</w:t>
      </w:r>
      <w:r w:rsidRPr="00433255">
        <w:t>, directeurs successifs de la direction chargée de</w:t>
      </w:r>
      <w:r w:rsidR="008222A5" w:rsidRPr="00433255">
        <w:t xml:space="preserve"> l'enseignement supérieur (DES) </w:t>
      </w:r>
      <w:r w:rsidRPr="00433255">
        <w:t>;</w:t>
      </w:r>
    </w:p>
    <w:p w:rsidR="00E2459B" w:rsidRPr="00433255" w:rsidRDefault="00E2459B" w:rsidP="00D93B78">
      <w:pPr>
        <w:pStyle w:val="PS"/>
        <w:spacing w:after="120"/>
      </w:pPr>
      <w:r w:rsidRPr="00433255">
        <w:t xml:space="preserve">- Mme </w:t>
      </w:r>
      <w:r w:rsidR="00CF4560">
        <w:t>B</w:t>
      </w:r>
      <w:r w:rsidRPr="00433255">
        <w:t xml:space="preserve"> et M. </w:t>
      </w:r>
      <w:r w:rsidR="00CF4560">
        <w:t>C</w:t>
      </w:r>
      <w:r w:rsidRPr="00433255">
        <w:t>, chefs successifs du servi</w:t>
      </w:r>
      <w:r w:rsidR="008222A5" w:rsidRPr="00433255">
        <w:t xml:space="preserve">ce des établissements de la DES </w:t>
      </w:r>
      <w:r w:rsidRPr="00433255">
        <w:t>;</w:t>
      </w:r>
    </w:p>
    <w:p w:rsidR="00E2459B" w:rsidRPr="00433255" w:rsidRDefault="00E2459B" w:rsidP="00D93B78">
      <w:pPr>
        <w:pStyle w:val="PS"/>
        <w:spacing w:after="120"/>
      </w:pPr>
      <w:r w:rsidRPr="00433255">
        <w:t xml:space="preserve">- Mme </w:t>
      </w:r>
      <w:r w:rsidR="00CF4560">
        <w:t>D</w:t>
      </w:r>
      <w:r w:rsidRPr="00433255">
        <w:t>, chargée de la sous direction de la gestion des moyens et des constructions à la DES ;</w:t>
      </w:r>
    </w:p>
    <w:p w:rsidR="00E2459B" w:rsidRPr="00433255" w:rsidRDefault="00E2459B" w:rsidP="00D93B78">
      <w:pPr>
        <w:pStyle w:val="PS"/>
        <w:spacing w:after="120"/>
      </w:pPr>
      <w:r w:rsidRPr="00433255">
        <w:t xml:space="preserve">- M. </w:t>
      </w:r>
      <w:r w:rsidR="00CF4560">
        <w:t>E</w:t>
      </w:r>
      <w:r w:rsidRPr="00433255">
        <w:t>, adjoint à la directrice de l'enseignement supérieur ;</w:t>
      </w:r>
    </w:p>
    <w:p w:rsidR="00E2459B" w:rsidRPr="00433255" w:rsidRDefault="00E2459B" w:rsidP="00D93B78">
      <w:pPr>
        <w:pStyle w:val="PS"/>
        <w:spacing w:after="120"/>
      </w:pPr>
      <w:r w:rsidRPr="00433255">
        <w:t xml:space="preserve">- MM. </w:t>
      </w:r>
      <w:r w:rsidR="00884D17">
        <w:t>F</w:t>
      </w:r>
      <w:r w:rsidR="00884D17" w:rsidRPr="00433255">
        <w:t xml:space="preserve"> </w:t>
      </w:r>
      <w:r w:rsidRPr="00433255">
        <w:t xml:space="preserve">et </w:t>
      </w:r>
      <w:r w:rsidR="00CF4560">
        <w:t>G</w:t>
      </w:r>
      <w:r w:rsidRPr="00433255">
        <w:t>, adminis</w:t>
      </w:r>
      <w:r w:rsidR="002077CF" w:rsidRPr="00433255">
        <w:t xml:space="preserve">trateurs successifs de la FNSP </w:t>
      </w:r>
      <w:r w:rsidRPr="00433255">
        <w:t>;</w:t>
      </w:r>
    </w:p>
    <w:p w:rsidR="00E2459B" w:rsidRPr="00433255" w:rsidRDefault="00E2459B" w:rsidP="00D93B78">
      <w:pPr>
        <w:pStyle w:val="PS"/>
        <w:spacing w:after="120"/>
      </w:pPr>
      <w:r w:rsidRPr="00433255">
        <w:t xml:space="preserve">- M. </w:t>
      </w:r>
      <w:r w:rsidR="00884D17">
        <w:t>H</w:t>
      </w:r>
      <w:r w:rsidRPr="00433255">
        <w:t>, directeur admini</w:t>
      </w:r>
      <w:r w:rsidR="002077CF" w:rsidRPr="00433255">
        <w:t>stratif et financier de la FNSP</w:t>
      </w:r>
      <w:r w:rsidRPr="00433255">
        <w:t> ;</w:t>
      </w:r>
    </w:p>
    <w:p w:rsidR="004344EE" w:rsidRPr="00433255" w:rsidRDefault="00E2459B" w:rsidP="00433255">
      <w:pPr>
        <w:pStyle w:val="PS"/>
        <w:spacing w:after="240" w:line="360" w:lineRule="auto"/>
      </w:pPr>
      <w:r w:rsidRPr="00433255">
        <w:t xml:space="preserve">- M. </w:t>
      </w:r>
      <w:r w:rsidR="00D30938">
        <w:t>I</w:t>
      </w:r>
      <w:r w:rsidRPr="00433255">
        <w:t>, di</w:t>
      </w:r>
      <w:r w:rsidR="002077CF" w:rsidRPr="00433255">
        <w:t>recteur des finances de la FNSP</w:t>
      </w:r>
      <w:r w:rsidRPr="00433255">
        <w:t>.</w:t>
      </w:r>
    </w:p>
    <w:p w:rsidR="004344EE" w:rsidRPr="00433255" w:rsidRDefault="004344EE" w:rsidP="00FC76C2">
      <w:pPr>
        <w:pStyle w:val="PS"/>
        <w:spacing w:after="240"/>
      </w:pPr>
      <w:r w:rsidRPr="00433255">
        <w:t xml:space="preserve">Vu l'arrêt provisoire n° </w:t>
      </w:r>
      <w:r w:rsidRPr="00781DA9">
        <w:t>52866</w:t>
      </w:r>
      <w:r w:rsidRPr="00433255">
        <w:t xml:space="preserve"> du 12 septembre 2008 par lequel la Cour a :</w:t>
      </w:r>
    </w:p>
    <w:p w:rsidR="004344EE" w:rsidRPr="00433255" w:rsidRDefault="0048292F" w:rsidP="00FC76C2">
      <w:pPr>
        <w:pStyle w:val="ParagrapheStandard"/>
        <w:spacing w:before="0" w:after="240"/>
        <w:ind w:left="1701"/>
        <w:rPr>
          <w:rFonts w:ascii="Times New Roman" w:hAnsi="Times New Roman"/>
        </w:rPr>
      </w:pPr>
      <w:r w:rsidRPr="00433255">
        <w:rPr>
          <w:rFonts w:ascii="Times New Roman" w:hAnsi="Times New Roman"/>
        </w:rPr>
        <w:t>-</w:t>
      </w:r>
      <w:r w:rsidR="004344EE" w:rsidRPr="00433255">
        <w:rPr>
          <w:rFonts w:ascii="Times New Roman" w:hAnsi="Times New Roman"/>
        </w:rPr>
        <w:t xml:space="preserve"> fixé la ligne </w:t>
      </w:r>
      <w:r w:rsidR="002077CF" w:rsidRPr="00433255">
        <w:rPr>
          <w:rFonts w:ascii="Times New Roman" w:hAnsi="Times New Roman"/>
        </w:rPr>
        <w:t>de compte de la gestion de fait ;</w:t>
      </w:r>
      <w:r w:rsidR="004344EE" w:rsidRPr="00433255">
        <w:rPr>
          <w:rFonts w:ascii="Times New Roman" w:hAnsi="Times New Roman"/>
        </w:rPr>
        <w:t xml:space="preserve"> </w:t>
      </w:r>
    </w:p>
    <w:p w:rsidR="004344EE" w:rsidRPr="00433255" w:rsidRDefault="00EC11BD" w:rsidP="00D93B78">
      <w:pPr>
        <w:pStyle w:val="ParagrapheStandard"/>
        <w:ind w:left="1701"/>
        <w:rPr>
          <w:rFonts w:ascii="Times New Roman" w:hAnsi="Times New Roman"/>
        </w:rPr>
      </w:pPr>
      <w:r w:rsidRPr="00433255">
        <w:rPr>
          <w:rFonts w:ascii="Times New Roman" w:hAnsi="Times New Roman"/>
        </w:rPr>
        <w:t>- </w:t>
      </w:r>
      <w:r w:rsidR="004344EE" w:rsidRPr="00433255">
        <w:rPr>
          <w:rFonts w:ascii="Times New Roman" w:hAnsi="Times New Roman"/>
        </w:rPr>
        <w:t>enjoint aux gestionnaires de fait solidairement responsables des opérations qui les concernent, selon le tableau figurant dans l’arrêt, de reverser, dans un délai de deux mois à compter de la notificati</w:t>
      </w:r>
      <w:r w:rsidRPr="00433255">
        <w:rPr>
          <w:rFonts w:ascii="Times New Roman" w:hAnsi="Times New Roman"/>
        </w:rPr>
        <w:t>on de cet arrêt, la somme de 47 </w:t>
      </w:r>
      <w:r w:rsidR="004344EE" w:rsidRPr="00433255">
        <w:rPr>
          <w:rFonts w:ascii="Times New Roman" w:hAnsi="Times New Roman"/>
        </w:rPr>
        <w:t xml:space="preserve">562,22 € dans la caisse de l’Etat ; </w:t>
      </w:r>
    </w:p>
    <w:p w:rsidR="00A76200" w:rsidRPr="00A76200" w:rsidRDefault="00A76200" w:rsidP="00204E73">
      <w:pPr>
        <w:pStyle w:val="ParagrapheStandard"/>
        <w:spacing w:before="0" w:after="0"/>
        <w:ind w:firstLine="0"/>
        <w:rPr>
          <w:i/>
          <w:sz w:val="16"/>
          <w:szCs w:val="16"/>
        </w:rPr>
      </w:pPr>
    </w:p>
    <w:p w:rsidR="001212C3" w:rsidRDefault="001212C3" w:rsidP="00A76200">
      <w:pPr>
        <w:pStyle w:val="ParagrapheStandard"/>
        <w:ind w:left="0" w:firstLine="0"/>
        <w:sectPr w:rsidR="001212C3" w:rsidSect="005F64C3">
          <w:headerReference w:type="even" r:id="rId7"/>
          <w:headerReference w:type="default" r:id="rId8"/>
          <w:headerReference w:type="first" r:id="rId9"/>
          <w:pgSz w:w="11907" w:h="16840" w:code="9"/>
          <w:pgMar w:top="851" w:right="1134" w:bottom="851" w:left="567" w:header="720" w:footer="720" w:gutter="0"/>
          <w:cols w:space="720"/>
          <w:titlePg/>
        </w:sectPr>
      </w:pPr>
    </w:p>
    <w:p w:rsidR="00A76200" w:rsidRPr="00433255" w:rsidRDefault="00EC11BD" w:rsidP="007974BB">
      <w:pPr>
        <w:pStyle w:val="ParagrapheStandard"/>
        <w:ind w:left="1701"/>
        <w:rPr>
          <w:rFonts w:ascii="Times New Roman" w:hAnsi="Times New Roman"/>
        </w:rPr>
      </w:pPr>
      <w:r w:rsidRPr="00433255">
        <w:rPr>
          <w:rFonts w:ascii="Times New Roman" w:hAnsi="Times New Roman"/>
        </w:rPr>
        <w:lastRenderedPageBreak/>
        <w:t>- </w:t>
      </w:r>
      <w:r w:rsidR="00A76200" w:rsidRPr="00433255">
        <w:rPr>
          <w:rFonts w:ascii="Times New Roman" w:hAnsi="Times New Roman"/>
        </w:rPr>
        <w:t xml:space="preserve">condamné </w:t>
      </w:r>
      <w:r w:rsidR="00D93B78" w:rsidRPr="00433255">
        <w:rPr>
          <w:rFonts w:ascii="Times New Roman" w:hAnsi="Times New Roman"/>
        </w:rPr>
        <w:t xml:space="preserve">Mme </w:t>
      </w:r>
      <w:r w:rsidR="00CF4560">
        <w:rPr>
          <w:rFonts w:ascii="Times New Roman" w:hAnsi="Times New Roman"/>
        </w:rPr>
        <w:t>Z</w:t>
      </w:r>
      <w:r w:rsidR="00D93B78" w:rsidRPr="00433255">
        <w:rPr>
          <w:rFonts w:ascii="Times New Roman" w:hAnsi="Times New Roman"/>
        </w:rPr>
        <w:t xml:space="preserve"> à une amende de 12 </w:t>
      </w:r>
      <w:r w:rsidR="00A76200" w:rsidRPr="00433255">
        <w:rPr>
          <w:rFonts w:ascii="Times New Roman" w:hAnsi="Times New Roman"/>
        </w:rPr>
        <w:t>00</w:t>
      </w:r>
      <w:r w:rsidR="00D93B78" w:rsidRPr="00433255">
        <w:rPr>
          <w:rFonts w:ascii="Times New Roman" w:hAnsi="Times New Roman"/>
        </w:rPr>
        <w:t xml:space="preserve">0 €, MM. </w:t>
      </w:r>
      <w:r w:rsidR="00CF4560">
        <w:rPr>
          <w:rFonts w:ascii="Times New Roman" w:hAnsi="Times New Roman"/>
        </w:rPr>
        <w:t>Y</w:t>
      </w:r>
      <w:r w:rsidR="00D93B78" w:rsidRPr="00433255">
        <w:rPr>
          <w:rFonts w:ascii="Times New Roman" w:hAnsi="Times New Roman"/>
        </w:rPr>
        <w:t xml:space="preserve"> et </w:t>
      </w:r>
      <w:r w:rsidR="00CF4560">
        <w:rPr>
          <w:rFonts w:ascii="Times New Roman" w:hAnsi="Times New Roman"/>
        </w:rPr>
        <w:t>G</w:t>
      </w:r>
      <w:r w:rsidR="00D93B78" w:rsidRPr="00433255">
        <w:rPr>
          <w:rFonts w:ascii="Times New Roman" w:hAnsi="Times New Roman"/>
        </w:rPr>
        <w:t xml:space="preserve"> à une amende de 2 </w:t>
      </w:r>
      <w:r w:rsidR="00A76200" w:rsidRPr="00433255">
        <w:rPr>
          <w:rFonts w:ascii="Times New Roman" w:hAnsi="Times New Roman"/>
        </w:rPr>
        <w:t xml:space="preserve">500 € chacun, M. </w:t>
      </w:r>
      <w:r w:rsidR="00CF4560">
        <w:rPr>
          <w:rFonts w:ascii="Times New Roman" w:hAnsi="Times New Roman"/>
        </w:rPr>
        <w:t>X</w:t>
      </w:r>
      <w:r w:rsidR="00A76200" w:rsidRPr="00433255">
        <w:rPr>
          <w:rFonts w:ascii="Times New Roman" w:hAnsi="Times New Roman"/>
        </w:rPr>
        <w:t xml:space="preserve"> à une amende de</w:t>
      </w:r>
      <w:r w:rsidR="00D93B78" w:rsidRPr="00433255">
        <w:rPr>
          <w:rFonts w:ascii="Times New Roman" w:hAnsi="Times New Roman"/>
        </w:rPr>
        <w:t xml:space="preserve"> 1 500 €, M. </w:t>
      </w:r>
      <w:r w:rsidR="00884D17">
        <w:rPr>
          <w:rFonts w:ascii="Times New Roman" w:hAnsi="Times New Roman"/>
        </w:rPr>
        <w:t>F</w:t>
      </w:r>
      <w:r w:rsidR="00884D17" w:rsidRPr="00433255">
        <w:rPr>
          <w:rFonts w:ascii="Times New Roman" w:hAnsi="Times New Roman"/>
        </w:rPr>
        <w:t xml:space="preserve"> </w:t>
      </w:r>
      <w:r w:rsidR="00D93B78" w:rsidRPr="00433255">
        <w:rPr>
          <w:rFonts w:ascii="Times New Roman" w:hAnsi="Times New Roman"/>
        </w:rPr>
        <w:t>à une amende de 1 </w:t>
      </w:r>
      <w:r w:rsidR="00A76200" w:rsidRPr="00433255">
        <w:rPr>
          <w:rFonts w:ascii="Times New Roman" w:hAnsi="Times New Roman"/>
        </w:rPr>
        <w:t xml:space="preserve">000 €, MM. </w:t>
      </w:r>
      <w:r w:rsidR="00CF4560">
        <w:rPr>
          <w:rFonts w:ascii="Times New Roman" w:hAnsi="Times New Roman"/>
        </w:rPr>
        <w:t>C</w:t>
      </w:r>
      <w:r w:rsidR="00A76200" w:rsidRPr="00433255">
        <w:rPr>
          <w:rFonts w:ascii="Times New Roman" w:hAnsi="Times New Roman"/>
        </w:rPr>
        <w:t xml:space="preserve"> et </w:t>
      </w:r>
      <w:r w:rsidR="00CF4560">
        <w:rPr>
          <w:rFonts w:ascii="Times New Roman" w:hAnsi="Times New Roman"/>
        </w:rPr>
        <w:t>E</w:t>
      </w:r>
      <w:r w:rsidR="00A76200" w:rsidRPr="00433255">
        <w:rPr>
          <w:rFonts w:ascii="Times New Roman" w:hAnsi="Times New Roman"/>
        </w:rPr>
        <w:t xml:space="preserve"> à une amende de 750 € chacun, Mme </w:t>
      </w:r>
      <w:r w:rsidR="00CF4560">
        <w:rPr>
          <w:rFonts w:ascii="Times New Roman" w:hAnsi="Times New Roman"/>
        </w:rPr>
        <w:t>D</w:t>
      </w:r>
      <w:r w:rsidR="00A76200" w:rsidRPr="00433255">
        <w:rPr>
          <w:rFonts w:ascii="Times New Roman" w:hAnsi="Times New Roman"/>
        </w:rPr>
        <w:t xml:space="preserve"> et M. </w:t>
      </w:r>
      <w:r w:rsidR="00884D17">
        <w:rPr>
          <w:rFonts w:ascii="Times New Roman" w:hAnsi="Times New Roman"/>
        </w:rPr>
        <w:t>H</w:t>
      </w:r>
      <w:r w:rsidR="00884D17" w:rsidRPr="00433255">
        <w:rPr>
          <w:rFonts w:ascii="Times New Roman" w:hAnsi="Times New Roman"/>
        </w:rPr>
        <w:t xml:space="preserve"> </w:t>
      </w:r>
      <w:r w:rsidR="00A76200" w:rsidRPr="00433255">
        <w:rPr>
          <w:rFonts w:ascii="Times New Roman" w:hAnsi="Times New Roman"/>
        </w:rPr>
        <w:t>à une amende de 500 € chacun et M. </w:t>
      </w:r>
      <w:r w:rsidR="00D30938">
        <w:rPr>
          <w:rFonts w:ascii="Times New Roman" w:hAnsi="Times New Roman"/>
        </w:rPr>
        <w:t>I</w:t>
      </w:r>
      <w:r w:rsidR="00A76200" w:rsidRPr="00433255">
        <w:rPr>
          <w:rFonts w:ascii="Times New Roman" w:hAnsi="Times New Roman"/>
        </w:rPr>
        <w:t xml:space="preserve"> à une amende de 250 €.</w:t>
      </w:r>
    </w:p>
    <w:p w:rsidR="002C1B67" w:rsidRPr="00433255" w:rsidRDefault="002C1B67" w:rsidP="007974BB">
      <w:pPr>
        <w:pStyle w:val="ParagrapheStandard"/>
        <w:ind w:left="1701"/>
        <w:rPr>
          <w:rFonts w:ascii="Times New Roman" w:hAnsi="Times New Roman"/>
        </w:rPr>
      </w:pPr>
      <w:r w:rsidRPr="00433255">
        <w:rPr>
          <w:rFonts w:ascii="Times New Roman" w:hAnsi="Times New Roman"/>
        </w:rPr>
        <w:t>Vu les pièces attestant la notification dudit arrêt ;</w:t>
      </w:r>
    </w:p>
    <w:p w:rsidR="002C1B67" w:rsidRPr="00433255" w:rsidRDefault="002C1B67" w:rsidP="007974BB">
      <w:pPr>
        <w:pStyle w:val="ParagrapheStandard"/>
        <w:ind w:left="1701"/>
        <w:rPr>
          <w:rFonts w:ascii="Times New Roman" w:hAnsi="Times New Roman"/>
        </w:rPr>
      </w:pPr>
      <w:r w:rsidRPr="00433255">
        <w:rPr>
          <w:rFonts w:ascii="Times New Roman" w:hAnsi="Times New Roman"/>
        </w:rPr>
        <w:t xml:space="preserve">Vu les lettres reçues respectivement le 11 novembre 2008 de M. </w:t>
      </w:r>
      <w:r w:rsidR="00CF4560">
        <w:rPr>
          <w:rFonts w:ascii="Times New Roman" w:hAnsi="Times New Roman"/>
        </w:rPr>
        <w:t>E</w:t>
      </w:r>
      <w:r w:rsidRPr="00433255">
        <w:rPr>
          <w:rFonts w:ascii="Times New Roman" w:hAnsi="Times New Roman"/>
        </w:rPr>
        <w:t xml:space="preserve">, le 18 novembre 2008 de M. </w:t>
      </w:r>
      <w:r w:rsidR="00CF4560">
        <w:rPr>
          <w:rFonts w:ascii="Times New Roman" w:hAnsi="Times New Roman"/>
        </w:rPr>
        <w:t>C</w:t>
      </w:r>
      <w:r w:rsidRPr="00433255">
        <w:rPr>
          <w:rFonts w:ascii="Times New Roman" w:hAnsi="Times New Roman"/>
        </w:rPr>
        <w:t xml:space="preserve"> et le 8 janvier 2009 de Mme </w:t>
      </w:r>
      <w:r w:rsidR="00CF4560">
        <w:rPr>
          <w:rFonts w:ascii="Times New Roman" w:hAnsi="Times New Roman"/>
        </w:rPr>
        <w:t>Z</w:t>
      </w:r>
      <w:r w:rsidRPr="00433255">
        <w:rPr>
          <w:rFonts w:ascii="Times New Roman" w:hAnsi="Times New Roman"/>
        </w:rPr>
        <w:t> ;</w:t>
      </w:r>
    </w:p>
    <w:p w:rsidR="002C1B67" w:rsidRPr="00433255" w:rsidRDefault="002C1B67" w:rsidP="007974BB">
      <w:pPr>
        <w:pStyle w:val="ParagrapheStandard"/>
        <w:ind w:left="1701"/>
        <w:rPr>
          <w:rFonts w:ascii="Times New Roman" w:hAnsi="Times New Roman"/>
        </w:rPr>
      </w:pPr>
      <w:r w:rsidRPr="00433255">
        <w:rPr>
          <w:rFonts w:ascii="Times New Roman" w:hAnsi="Times New Roman"/>
        </w:rPr>
        <w:t>Vu le code des juridictions financières ;</w:t>
      </w:r>
    </w:p>
    <w:p w:rsidR="002C1B67" w:rsidRPr="00433255" w:rsidRDefault="002C1B67" w:rsidP="007974BB">
      <w:pPr>
        <w:pStyle w:val="ParagrapheStandard"/>
        <w:ind w:left="1701"/>
        <w:rPr>
          <w:rFonts w:ascii="Times New Roman" w:hAnsi="Times New Roman"/>
        </w:rPr>
      </w:pPr>
      <w:r w:rsidRPr="00433255">
        <w:rPr>
          <w:rFonts w:ascii="Times New Roman" w:hAnsi="Times New Roman"/>
        </w:rPr>
        <w:t>Vu l'article 60 ali</w:t>
      </w:r>
      <w:r w:rsidR="007974BB" w:rsidRPr="00433255">
        <w:rPr>
          <w:rFonts w:ascii="Times New Roman" w:hAnsi="Times New Roman"/>
        </w:rPr>
        <w:t>néa XI de la loi de finances n° </w:t>
      </w:r>
      <w:r w:rsidRPr="00433255">
        <w:rPr>
          <w:rFonts w:ascii="Times New Roman" w:hAnsi="Times New Roman"/>
        </w:rPr>
        <w:t>63-156 du 3 février 1963 modifiée ;</w:t>
      </w:r>
    </w:p>
    <w:p w:rsidR="002C1B67" w:rsidRDefault="002C1B67" w:rsidP="007974BB">
      <w:pPr>
        <w:pStyle w:val="ParagrapheStandard"/>
        <w:ind w:left="1701"/>
        <w:rPr>
          <w:rFonts w:ascii="Times New Roman" w:hAnsi="Times New Roman"/>
        </w:rPr>
      </w:pPr>
      <w:r w:rsidRPr="00433255">
        <w:rPr>
          <w:rFonts w:ascii="Times New Roman" w:hAnsi="Times New Roman"/>
        </w:rPr>
        <w:t>Vu le décret n° 62-1587 du 29 décembre 1962 portant règlement général sur la comptabilité publique ;</w:t>
      </w:r>
    </w:p>
    <w:p w:rsidR="00390EF4" w:rsidRPr="00100F90" w:rsidRDefault="00390EF4" w:rsidP="007974BB">
      <w:pPr>
        <w:pStyle w:val="ParagrapheStandard"/>
        <w:ind w:left="1701"/>
        <w:rPr>
          <w:rFonts w:ascii="Times New Roman" w:hAnsi="Times New Roman"/>
        </w:rPr>
      </w:pPr>
      <w:r w:rsidRPr="00100F90">
        <w:rPr>
          <w:rFonts w:ascii="Times New Roman" w:hAnsi="Times New Roman"/>
        </w:rPr>
        <w:t>Vu la lettre du greffe en date du 11 mai 2010 informant les personnes désignées ci-dessus de la tenue d’une audience publique et de la possibilité d’y présenter leurs observations ;</w:t>
      </w:r>
    </w:p>
    <w:p w:rsidR="00390EF4" w:rsidRPr="00100F90" w:rsidRDefault="00390EF4" w:rsidP="007974BB">
      <w:pPr>
        <w:pStyle w:val="ParagrapheStandard"/>
        <w:ind w:left="1701"/>
        <w:rPr>
          <w:rFonts w:ascii="Times New Roman" w:hAnsi="Times New Roman"/>
        </w:rPr>
      </w:pPr>
      <w:r w:rsidRPr="00100F90">
        <w:rPr>
          <w:rFonts w:ascii="Times New Roman" w:hAnsi="Times New Roman"/>
        </w:rPr>
        <w:t>Vu la feuille de présence à l’audience publique du 31</w:t>
      </w:r>
      <w:r w:rsidR="007D4DBF" w:rsidRPr="00100F90">
        <w:rPr>
          <w:rFonts w:ascii="Times New Roman" w:hAnsi="Times New Roman"/>
        </w:rPr>
        <w:t xml:space="preserve"> mai 2010 attestant que MM. </w:t>
      </w:r>
      <w:r w:rsidR="00CF4560">
        <w:rPr>
          <w:rFonts w:ascii="Times New Roman" w:hAnsi="Times New Roman"/>
        </w:rPr>
        <w:t>X</w:t>
      </w:r>
      <w:r w:rsidRPr="00100F90">
        <w:rPr>
          <w:rFonts w:ascii="Times New Roman" w:hAnsi="Times New Roman"/>
        </w:rPr>
        <w:t xml:space="preserve">, </w:t>
      </w:r>
      <w:r w:rsidR="00CF4560">
        <w:rPr>
          <w:rFonts w:ascii="Times New Roman" w:hAnsi="Times New Roman"/>
        </w:rPr>
        <w:t>C</w:t>
      </w:r>
      <w:r w:rsidRPr="00100F90">
        <w:rPr>
          <w:rFonts w:ascii="Times New Roman" w:hAnsi="Times New Roman"/>
        </w:rPr>
        <w:t xml:space="preserve">, </w:t>
      </w:r>
      <w:r w:rsidR="00884D17">
        <w:rPr>
          <w:rFonts w:ascii="Times New Roman" w:hAnsi="Times New Roman"/>
        </w:rPr>
        <w:t>H</w:t>
      </w:r>
      <w:r w:rsidR="00884D17" w:rsidRPr="00100F90">
        <w:rPr>
          <w:rFonts w:ascii="Times New Roman" w:hAnsi="Times New Roman"/>
        </w:rPr>
        <w:t xml:space="preserve"> </w:t>
      </w:r>
      <w:r w:rsidRPr="00100F90">
        <w:rPr>
          <w:rFonts w:ascii="Times New Roman" w:hAnsi="Times New Roman"/>
        </w:rPr>
        <w:t xml:space="preserve">et </w:t>
      </w:r>
      <w:r w:rsidR="00D30938">
        <w:rPr>
          <w:rFonts w:ascii="Times New Roman" w:hAnsi="Times New Roman"/>
        </w:rPr>
        <w:t>I</w:t>
      </w:r>
      <w:r w:rsidRPr="00100F90">
        <w:rPr>
          <w:rFonts w:ascii="Times New Roman" w:hAnsi="Times New Roman"/>
        </w:rPr>
        <w:t>, gestionnaires de fait, se sont présentés à celle-ci ;</w:t>
      </w:r>
    </w:p>
    <w:p w:rsidR="002C1B67" w:rsidRPr="00100F90" w:rsidRDefault="002C1B67" w:rsidP="007974BB">
      <w:pPr>
        <w:pStyle w:val="ParagrapheStandard"/>
        <w:ind w:left="1701"/>
        <w:rPr>
          <w:rFonts w:ascii="Times New Roman" w:hAnsi="Times New Roman"/>
        </w:rPr>
      </w:pPr>
      <w:r w:rsidRPr="00100F90">
        <w:rPr>
          <w:rFonts w:ascii="Times New Roman" w:hAnsi="Times New Roman"/>
        </w:rPr>
        <w:t>Sur le rapport de M. Lesueur, conseiller référendaire ;</w:t>
      </w:r>
    </w:p>
    <w:p w:rsidR="002C1B67" w:rsidRPr="00100F90" w:rsidRDefault="002C1B67" w:rsidP="007974BB">
      <w:pPr>
        <w:pStyle w:val="ParagrapheStandard"/>
        <w:ind w:left="1701"/>
        <w:rPr>
          <w:rFonts w:ascii="Times New Roman" w:hAnsi="Times New Roman"/>
        </w:rPr>
      </w:pPr>
      <w:r w:rsidRPr="00100F90">
        <w:rPr>
          <w:rFonts w:ascii="Times New Roman" w:hAnsi="Times New Roman"/>
        </w:rPr>
        <w:t>Vu les conclusions n°</w:t>
      </w:r>
      <w:r w:rsidR="00727DD7" w:rsidRPr="00100F90">
        <w:rPr>
          <w:rFonts w:ascii="Times New Roman" w:hAnsi="Times New Roman"/>
        </w:rPr>
        <w:t xml:space="preserve"> </w:t>
      </w:r>
      <w:r w:rsidRPr="00100F90">
        <w:rPr>
          <w:rFonts w:ascii="Times New Roman" w:hAnsi="Times New Roman"/>
        </w:rPr>
        <w:t>425 du 21 mai 2010 du procureur général de la République</w:t>
      </w:r>
      <w:r w:rsidR="004A3895" w:rsidRPr="00100F90">
        <w:rPr>
          <w:rFonts w:ascii="Times New Roman" w:hAnsi="Times New Roman"/>
        </w:rPr>
        <w:t> </w:t>
      </w:r>
      <w:r w:rsidRPr="00100F90">
        <w:rPr>
          <w:rFonts w:ascii="Times New Roman" w:hAnsi="Times New Roman"/>
        </w:rPr>
        <w:t>;</w:t>
      </w:r>
    </w:p>
    <w:p w:rsidR="00390EF4" w:rsidRPr="00100F90" w:rsidRDefault="00390EF4" w:rsidP="007974BB">
      <w:pPr>
        <w:pStyle w:val="ParagrapheStandard"/>
        <w:ind w:left="1701"/>
        <w:rPr>
          <w:rFonts w:ascii="Times New Roman" w:hAnsi="Times New Roman"/>
        </w:rPr>
      </w:pPr>
      <w:r w:rsidRPr="00100F90">
        <w:rPr>
          <w:rFonts w:ascii="Times New Roman" w:hAnsi="Times New Roman"/>
        </w:rPr>
        <w:t xml:space="preserve">Entendu à l’audience publique de </w:t>
      </w:r>
      <w:r w:rsidR="007D4DBF" w:rsidRPr="00100F90">
        <w:rPr>
          <w:rFonts w:ascii="Times New Roman" w:hAnsi="Times New Roman"/>
        </w:rPr>
        <w:t xml:space="preserve">ce </w:t>
      </w:r>
      <w:r w:rsidRPr="00100F90">
        <w:rPr>
          <w:rFonts w:ascii="Times New Roman" w:hAnsi="Times New Roman"/>
        </w:rPr>
        <w:t>jour M. Lesueur, en son rapport, M. Vallernaud, avocat général en ses</w:t>
      </w:r>
      <w:r w:rsidR="007D4DBF" w:rsidRPr="00100F90">
        <w:rPr>
          <w:rFonts w:ascii="Times New Roman" w:hAnsi="Times New Roman"/>
        </w:rPr>
        <w:t xml:space="preserve"> conclusions, ainsi que MM. </w:t>
      </w:r>
      <w:r w:rsidR="00CF4560">
        <w:rPr>
          <w:rFonts w:ascii="Times New Roman" w:hAnsi="Times New Roman"/>
        </w:rPr>
        <w:t>X</w:t>
      </w:r>
      <w:r w:rsidRPr="00100F90">
        <w:rPr>
          <w:rFonts w:ascii="Times New Roman" w:hAnsi="Times New Roman"/>
        </w:rPr>
        <w:t xml:space="preserve">, </w:t>
      </w:r>
      <w:r w:rsidR="00CF4560">
        <w:rPr>
          <w:rFonts w:ascii="Times New Roman" w:hAnsi="Times New Roman"/>
        </w:rPr>
        <w:t>C</w:t>
      </w:r>
      <w:r w:rsidRPr="00100F90">
        <w:rPr>
          <w:rFonts w:ascii="Times New Roman" w:hAnsi="Times New Roman"/>
        </w:rPr>
        <w:t xml:space="preserve">, </w:t>
      </w:r>
      <w:r w:rsidR="00884D17">
        <w:rPr>
          <w:rFonts w:ascii="Times New Roman" w:hAnsi="Times New Roman"/>
        </w:rPr>
        <w:t>H</w:t>
      </w:r>
      <w:r w:rsidR="00884D17" w:rsidRPr="00100F90">
        <w:rPr>
          <w:rFonts w:ascii="Times New Roman" w:hAnsi="Times New Roman"/>
        </w:rPr>
        <w:t xml:space="preserve"> </w:t>
      </w:r>
      <w:r w:rsidRPr="00100F90">
        <w:rPr>
          <w:rFonts w:ascii="Times New Roman" w:hAnsi="Times New Roman"/>
        </w:rPr>
        <w:t xml:space="preserve">et </w:t>
      </w:r>
      <w:r w:rsidR="00D30938">
        <w:rPr>
          <w:rFonts w:ascii="Times New Roman" w:hAnsi="Times New Roman"/>
        </w:rPr>
        <w:t>I</w:t>
      </w:r>
      <w:r w:rsidRPr="00100F90">
        <w:rPr>
          <w:rFonts w:ascii="Times New Roman" w:hAnsi="Times New Roman"/>
        </w:rPr>
        <w:t>, les gestionnaires de fait ayant eu la parole en dernier ;</w:t>
      </w:r>
    </w:p>
    <w:p w:rsidR="00B22704" w:rsidRPr="00433255" w:rsidRDefault="002C1B67" w:rsidP="007974BB">
      <w:pPr>
        <w:pStyle w:val="ParagrapheStandard"/>
        <w:ind w:left="1701"/>
        <w:rPr>
          <w:rFonts w:ascii="Times New Roman" w:hAnsi="Times New Roman"/>
        </w:rPr>
      </w:pPr>
      <w:r w:rsidRPr="00433255">
        <w:rPr>
          <w:rFonts w:ascii="Times New Roman" w:hAnsi="Times New Roman"/>
        </w:rPr>
        <w:t>Ayant délibéré hors la présence du rapporteur et du ministère public ;</w:t>
      </w:r>
    </w:p>
    <w:p w:rsidR="00B22704" w:rsidRDefault="002C1B67" w:rsidP="007974BB">
      <w:pPr>
        <w:pStyle w:val="Titre1"/>
        <w:numPr>
          <w:ilvl w:val="0"/>
          <w:numId w:val="33"/>
        </w:numPr>
        <w:ind w:left="1701" w:firstLine="1134"/>
      </w:pPr>
      <w:r w:rsidRPr="00502963">
        <w:t>Sur la fixation de la ligne de compte</w:t>
      </w:r>
    </w:p>
    <w:p w:rsidR="00802570" w:rsidRPr="00802570" w:rsidRDefault="00802570" w:rsidP="007974BB">
      <w:pPr>
        <w:ind w:left="1701" w:firstLine="1134"/>
      </w:pPr>
    </w:p>
    <w:p w:rsidR="002C1B67" w:rsidRPr="00433255" w:rsidRDefault="002C1B67" w:rsidP="007974BB">
      <w:pPr>
        <w:pStyle w:val="ParagrapheStandard"/>
        <w:ind w:left="1701"/>
        <w:rPr>
          <w:rFonts w:ascii="Times New Roman" w:hAnsi="Times New Roman"/>
        </w:rPr>
      </w:pPr>
      <w:r w:rsidRPr="00433255">
        <w:rPr>
          <w:rFonts w:ascii="Times New Roman" w:hAnsi="Times New Roman"/>
        </w:rPr>
        <w:t>Attendu que dans l’arrêt susvisé du 12 septembre 2008, la ligne de compte a été arrêtée à titre provisoire</w:t>
      </w:r>
      <w:r w:rsidR="007974BB" w:rsidRPr="00433255">
        <w:rPr>
          <w:rFonts w:ascii="Times New Roman" w:hAnsi="Times New Roman"/>
        </w:rPr>
        <w:t xml:space="preserve"> à 568 </w:t>
      </w:r>
      <w:r w:rsidRPr="00433255">
        <w:rPr>
          <w:rFonts w:ascii="Times New Roman" w:hAnsi="Times New Roman"/>
        </w:rPr>
        <w:t>622,57 € de recettes admises et 521</w:t>
      </w:r>
      <w:r w:rsidR="007974BB" w:rsidRPr="00433255">
        <w:rPr>
          <w:rFonts w:ascii="Times New Roman" w:hAnsi="Times New Roman"/>
        </w:rPr>
        <w:t> </w:t>
      </w:r>
      <w:r w:rsidRPr="00433255">
        <w:rPr>
          <w:rFonts w:ascii="Times New Roman" w:hAnsi="Times New Roman"/>
        </w:rPr>
        <w:t>060,35 € de dépenses allouées, l’excédent de recettes admises sur les dépenses allouées s’élevant à 47</w:t>
      </w:r>
      <w:r w:rsidR="007974BB" w:rsidRPr="00433255">
        <w:rPr>
          <w:rFonts w:ascii="Times New Roman" w:hAnsi="Times New Roman"/>
        </w:rPr>
        <w:t> </w:t>
      </w:r>
      <w:r w:rsidRPr="00433255">
        <w:rPr>
          <w:rFonts w:ascii="Times New Roman" w:hAnsi="Times New Roman"/>
        </w:rPr>
        <w:t>562,22</w:t>
      </w:r>
      <w:r w:rsidR="00EC11BD" w:rsidRPr="00433255">
        <w:rPr>
          <w:rFonts w:ascii="Times New Roman" w:hAnsi="Times New Roman"/>
        </w:rPr>
        <w:t> € ;</w:t>
      </w:r>
    </w:p>
    <w:p w:rsidR="002C1B67" w:rsidRPr="00433255" w:rsidRDefault="002C1B67" w:rsidP="007974BB">
      <w:pPr>
        <w:pStyle w:val="ParagrapheStandard"/>
        <w:ind w:left="1701"/>
        <w:rPr>
          <w:rFonts w:ascii="Times New Roman" w:hAnsi="Times New Roman"/>
        </w:rPr>
      </w:pPr>
      <w:r w:rsidRPr="00433255">
        <w:rPr>
          <w:rFonts w:ascii="Times New Roman" w:hAnsi="Times New Roman"/>
        </w:rPr>
        <w:t>Attendu que la loi n°</w:t>
      </w:r>
      <w:r w:rsidR="00330D12" w:rsidRPr="00433255">
        <w:rPr>
          <w:rFonts w:ascii="Times New Roman" w:hAnsi="Times New Roman"/>
        </w:rPr>
        <w:t xml:space="preserve"> </w:t>
      </w:r>
      <w:r w:rsidRPr="00433255">
        <w:rPr>
          <w:rFonts w:ascii="Times New Roman" w:hAnsi="Times New Roman"/>
        </w:rPr>
        <w:t>2009-973 du 10 août 2009 de règlement des comptes et rapport de gestion pour l’année 2008, publiée au Journal Of</w:t>
      </w:r>
      <w:r w:rsidR="007974BB" w:rsidRPr="00433255">
        <w:rPr>
          <w:rFonts w:ascii="Times New Roman" w:hAnsi="Times New Roman"/>
        </w:rPr>
        <w:t xml:space="preserve">ficiel du 11 août 2009, dispose </w:t>
      </w:r>
      <w:r w:rsidRPr="00433255">
        <w:rPr>
          <w:rFonts w:ascii="Times New Roman" w:hAnsi="Times New Roman"/>
        </w:rPr>
        <w:t>en son article 9 : « </w:t>
      </w:r>
      <w:r w:rsidRPr="00433255">
        <w:rPr>
          <w:rFonts w:ascii="Times New Roman" w:hAnsi="Times New Roman"/>
          <w:i/>
        </w:rPr>
        <w:t>sont reconnues d'utilité p</w:t>
      </w:r>
      <w:r w:rsidR="007974BB" w:rsidRPr="00433255">
        <w:rPr>
          <w:rFonts w:ascii="Times New Roman" w:hAnsi="Times New Roman"/>
          <w:i/>
        </w:rPr>
        <w:t>ublique, pour un montant de 521 </w:t>
      </w:r>
      <w:r w:rsidRPr="00433255">
        <w:rPr>
          <w:rFonts w:ascii="Times New Roman" w:hAnsi="Times New Roman"/>
          <w:i/>
        </w:rPr>
        <w:t>060,35 €, les dépenses comprises dans la gestion de fait des deniers de l'Etat, jugée par la Cour des comptes dans ses arrêts n°</w:t>
      </w:r>
      <w:r w:rsidR="00986F54" w:rsidRPr="00433255">
        <w:rPr>
          <w:rFonts w:ascii="Times New Roman" w:hAnsi="Times New Roman"/>
          <w:i/>
        </w:rPr>
        <w:t xml:space="preserve"> </w:t>
      </w:r>
      <w:r w:rsidRPr="00433255">
        <w:rPr>
          <w:rFonts w:ascii="Times New Roman" w:hAnsi="Times New Roman"/>
          <w:i/>
        </w:rPr>
        <w:t>37558 du 25 septembre 2003, n°</w:t>
      </w:r>
      <w:r w:rsidR="00986F54" w:rsidRPr="00433255">
        <w:rPr>
          <w:rFonts w:ascii="Times New Roman" w:hAnsi="Times New Roman"/>
          <w:i/>
        </w:rPr>
        <w:t xml:space="preserve"> </w:t>
      </w:r>
      <w:r w:rsidRPr="00433255">
        <w:rPr>
          <w:rFonts w:ascii="Times New Roman" w:hAnsi="Times New Roman"/>
          <w:i/>
        </w:rPr>
        <w:t>39812 et 39813 des 10 et 17</w:t>
      </w:r>
      <w:r w:rsidR="008B5AD0" w:rsidRPr="00433255">
        <w:rPr>
          <w:rFonts w:ascii="Times New Roman" w:hAnsi="Times New Roman"/>
          <w:i/>
        </w:rPr>
        <w:t> </w:t>
      </w:r>
      <w:r w:rsidRPr="00433255">
        <w:rPr>
          <w:rFonts w:ascii="Times New Roman" w:hAnsi="Times New Roman"/>
          <w:i/>
        </w:rPr>
        <w:t>juin 2004, n°</w:t>
      </w:r>
      <w:r w:rsidR="00330D12" w:rsidRPr="00433255">
        <w:rPr>
          <w:rFonts w:ascii="Times New Roman" w:hAnsi="Times New Roman"/>
          <w:i/>
        </w:rPr>
        <w:t xml:space="preserve"> </w:t>
      </w:r>
      <w:r w:rsidRPr="00433255">
        <w:rPr>
          <w:rFonts w:ascii="Times New Roman" w:hAnsi="Times New Roman"/>
          <w:i/>
        </w:rPr>
        <w:t>52865 et 52866 du 12 septembre 2008, au titre du ministère de l'enseigneme</w:t>
      </w:r>
      <w:r w:rsidR="007974BB" w:rsidRPr="00433255">
        <w:rPr>
          <w:rFonts w:ascii="Times New Roman" w:hAnsi="Times New Roman"/>
          <w:i/>
        </w:rPr>
        <w:t>nt supérieur et de la recherche</w:t>
      </w:r>
      <w:r w:rsidRPr="00433255">
        <w:rPr>
          <w:rFonts w:ascii="Times New Roman" w:hAnsi="Times New Roman"/>
          <w:i/>
        </w:rPr>
        <w:t xml:space="preserve"> » ; </w:t>
      </w:r>
      <w:r w:rsidRPr="00433255">
        <w:rPr>
          <w:rFonts w:ascii="Times New Roman" w:hAnsi="Times New Roman"/>
        </w:rPr>
        <w:t>qu’est ainsi reconnue par l’autorité</w:t>
      </w:r>
      <w:r w:rsidRPr="00433255">
        <w:rPr>
          <w:rFonts w:ascii="Times New Roman" w:hAnsi="Times New Roman"/>
          <w:color w:val="000080"/>
        </w:rPr>
        <w:t xml:space="preserve"> </w:t>
      </w:r>
      <w:r w:rsidRPr="00433255">
        <w:rPr>
          <w:rFonts w:ascii="Times New Roman" w:hAnsi="Times New Roman"/>
        </w:rPr>
        <w:t>constitutionnellement compétente</w:t>
      </w:r>
      <w:r w:rsidR="00727DD7" w:rsidRPr="00433255">
        <w:rPr>
          <w:rFonts w:ascii="Times New Roman" w:hAnsi="Times New Roman"/>
        </w:rPr>
        <w:t xml:space="preserve"> l’utilité publique</w:t>
      </w:r>
      <w:r w:rsidRPr="00433255">
        <w:rPr>
          <w:rFonts w:ascii="Times New Roman" w:hAnsi="Times New Roman"/>
        </w:rPr>
        <w:t xml:space="preserve"> des dépenses de l’Etat allouées et</w:t>
      </w:r>
      <w:r w:rsidRPr="00433255">
        <w:rPr>
          <w:rFonts w:ascii="Times New Roman" w:hAnsi="Times New Roman"/>
          <w:color w:val="000080"/>
        </w:rPr>
        <w:t xml:space="preserve"> </w:t>
      </w:r>
      <w:r w:rsidRPr="00433255">
        <w:rPr>
          <w:rFonts w:ascii="Times New Roman" w:hAnsi="Times New Roman"/>
        </w:rPr>
        <w:t>retracées dans le compte de la gestion de fait ;</w:t>
      </w:r>
    </w:p>
    <w:p w:rsidR="002C1B67" w:rsidRPr="00433255" w:rsidRDefault="002C1B67" w:rsidP="007974BB">
      <w:pPr>
        <w:pStyle w:val="ParagrapheStandard"/>
        <w:ind w:left="1701"/>
        <w:rPr>
          <w:rFonts w:ascii="Times New Roman" w:hAnsi="Times New Roman"/>
        </w:rPr>
      </w:pPr>
      <w:r w:rsidRPr="00433255">
        <w:rPr>
          <w:rFonts w:ascii="Times New Roman" w:hAnsi="Times New Roman"/>
        </w:rPr>
        <w:t>Attendu que les comptables de fait n’ont soulevé aucun moyen à l’encontre de la ligne de compte fixée à titre provisoire ; qu’il y a lieu en conséquence d’arrêter à titre définitif, la ligne de com</w:t>
      </w:r>
      <w:r w:rsidR="007974BB" w:rsidRPr="00433255">
        <w:rPr>
          <w:rFonts w:ascii="Times New Roman" w:hAnsi="Times New Roman"/>
        </w:rPr>
        <w:t>pte de la gestion de fait à 568 </w:t>
      </w:r>
      <w:r w:rsidRPr="00433255">
        <w:rPr>
          <w:rFonts w:ascii="Times New Roman" w:hAnsi="Times New Roman"/>
        </w:rPr>
        <w:t>622,</w:t>
      </w:r>
      <w:r w:rsidR="007974BB" w:rsidRPr="00433255">
        <w:rPr>
          <w:rFonts w:ascii="Times New Roman" w:hAnsi="Times New Roman"/>
        </w:rPr>
        <w:t>57 € de recettes admises et 521 </w:t>
      </w:r>
      <w:r w:rsidRPr="00433255">
        <w:rPr>
          <w:rFonts w:ascii="Times New Roman" w:hAnsi="Times New Roman"/>
        </w:rPr>
        <w:t>060,35 € de dépenses allouées, l’excédent de recettes admises sur les d</w:t>
      </w:r>
      <w:r w:rsidR="007974BB" w:rsidRPr="00433255">
        <w:rPr>
          <w:rFonts w:ascii="Times New Roman" w:hAnsi="Times New Roman"/>
        </w:rPr>
        <w:t>épenses allouées s’élevant à 47 </w:t>
      </w:r>
      <w:r w:rsidRPr="00433255">
        <w:rPr>
          <w:rFonts w:ascii="Times New Roman" w:hAnsi="Times New Roman"/>
        </w:rPr>
        <w:t>562,22</w:t>
      </w:r>
      <w:r w:rsidR="00D33C13" w:rsidRPr="00433255">
        <w:rPr>
          <w:rFonts w:ascii="Times New Roman" w:hAnsi="Times New Roman"/>
        </w:rPr>
        <w:t> </w:t>
      </w:r>
      <w:r w:rsidRPr="00433255">
        <w:rPr>
          <w:rFonts w:ascii="Times New Roman" w:hAnsi="Times New Roman"/>
        </w:rPr>
        <w:t>€ ;</w:t>
      </w:r>
    </w:p>
    <w:p w:rsidR="002453D4" w:rsidRPr="00986F54" w:rsidRDefault="00D927B5" w:rsidP="007974BB">
      <w:pPr>
        <w:pStyle w:val="Titre2"/>
        <w:ind w:left="2835"/>
      </w:pPr>
      <w:r w:rsidRPr="007974BB">
        <w:lastRenderedPageBreak/>
        <w:t>II.</w:t>
      </w:r>
      <w:r w:rsidR="007974BB">
        <w:rPr>
          <w:sz w:val="20"/>
        </w:rPr>
        <w:tab/>
      </w:r>
      <w:r w:rsidR="002453D4" w:rsidRPr="00D927B5">
        <w:rPr>
          <w:u w:val="single"/>
        </w:rPr>
        <w:t>En ce qui concerne l’excédent de recettes</w:t>
      </w:r>
    </w:p>
    <w:p w:rsidR="00235FA8" w:rsidRDefault="00235FA8" w:rsidP="00071B89">
      <w:pPr>
        <w:pStyle w:val="ps0"/>
      </w:pPr>
    </w:p>
    <w:p w:rsidR="002453D4" w:rsidRPr="00433255" w:rsidRDefault="002453D4" w:rsidP="00A40035">
      <w:pPr>
        <w:pStyle w:val="ParagrapheStandard"/>
        <w:ind w:left="1701"/>
        <w:rPr>
          <w:rFonts w:ascii="Times New Roman" w:hAnsi="Times New Roman"/>
        </w:rPr>
      </w:pPr>
      <w:r w:rsidRPr="00433255">
        <w:rPr>
          <w:rFonts w:ascii="Times New Roman" w:hAnsi="Times New Roman"/>
        </w:rPr>
        <w:t>Attendu que l’arrêt susvisé n°</w:t>
      </w:r>
      <w:r w:rsidR="009C0EB1" w:rsidRPr="00433255">
        <w:rPr>
          <w:rFonts w:ascii="Times New Roman" w:hAnsi="Times New Roman"/>
        </w:rPr>
        <w:t xml:space="preserve"> </w:t>
      </w:r>
      <w:r w:rsidRPr="00433255">
        <w:rPr>
          <w:rFonts w:ascii="Times New Roman" w:hAnsi="Times New Roman"/>
        </w:rPr>
        <w:t>52866 du 12 septembre 2008 enjoignait aux comptables de fait de reverser la somme de 47</w:t>
      </w:r>
      <w:r w:rsidR="007974BB" w:rsidRPr="00433255">
        <w:rPr>
          <w:rFonts w:ascii="Times New Roman" w:hAnsi="Times New Roman"/>
        </w:rPr>
        <w:t xml:space="preserve"> 562,22 € </w:t>
      </w:r>
      <w:r w:rsidRPr="00433255">
        <w:rPr>
          <w:rFonts w:ascii="Times New Roman" w:hAnsi="Times New Roman"/>
        </w:rPr>
        <w:t>dans la caisse de l’Etat, les gestionnaires de fait étant solidairement responsables des opérations les concernant</w:t>
      </w:r>
      <w:r w:rsidR="007974BB" w:rsidRPr="00433255">
        <w:rPr>
          <w:rFonts w:ascii="Times New Roman" w:hAnsi="Times New Roman"/>
        </w:rPr>
        <w:t xml:space="preserve"> </w:t>
      </w:r>
      <w:r w:rsidRPr="00433255">
        <w:rPr>
          <w:rFonts w:ascii="Times New Roman" w:hAnsi="Times New Roman"/>
        </w:rPr>
        <w:t>au titre des dépenses rejetées, conformément au tableau figurant à l’article 2 dudit arrêt et repris ci-dessous, pour les seules sphères de responsabilité visées par l’injonction :</w:t>
      </w:r>
    </w:p>
    <w:p w:rsidR="009D5C94" w:rsidRDefault="009D5C94" w:rsidP="00433255">
      <w:pPr>
        <w:pStyle w:val="ParagrapheStandard"/>
        <w:spacing w:before="0" w:after="0"/>
        <w:ind w:left="1701"/>
      </w:pPr>
    </w:p>
    <w:tbl>
      <w:tblPr>
        <w:tblW w:w="8060" w:type="dxa"/>
        <w:tblInd w:w="2055" w:type="dxa"/>
        <w:tblCellMar>
          <w:left w:w="70" w:type="dxa"/>
          <w:right w:w="70" w:type="dxa"/>
        </w:tblCellMar>
        <w:tblLook w:val="04A0" w:firstRow="1" w:lastRow="0" w:firstColumn="1" w:lastColumn="0" w:noHBand="0" w:noVBand="1"/>
      </w:tblPr>
      <w:tblGrid>
        <w:gridCol w:w="840"/>
        <w:gridCol w:w="880"/>
        <w:gridCol w:w="3480"/>
        <w:gridCol w:w="1260"/>
        <w:gridCol w:w="1600"/>
      </w:tblGrid>
      <w:tr w:rsidR="009D5C94" w:rsidRPr="00884D17">
        <w:trPr>
          <w:trHeight w:val="255"/>
        </w:trPr>
        <w:tc>
          <w:tcPr>
            <w:tcW w:w="8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9D5C94" w:rsidRPr="00884D17" w:rsidRDefault="009D5C94">
            <w:pPr>
              <w:jc w:val="center"/>
              <w:rPr>
                <w:b/>
                <w:bCs/>
              </w:rPr>
            </w:pPr>
            <w:r w:rsidRPr="00884D17">
              <w:rPr>
                <w:b/>
                <w:bCs/>
              </w:rPr>
              <w:t>Sphère</w:t>
            </w:r>
          </w:p>
        </w:tc>
        <w:tc>
          <w:tcPr>
            <w:tcW w:w="88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9D5C94" w:rsidRPr="00884D17" w:rsidRDefault="009D5C94">
            <w:pPr>
              <w:jc w:val="center"/>
              <w:rPr>
                <w:b/>
                <w:bCs/>
              </w:rPr>
            </w:pPr>
            <w:r w:rsidRPr="00884D17">
              <w:rPr>
                <w:b/>
                <w:bCs/>
              </w:rPr>
              <w:t>N° de sphère</w:t>
            </w:r>
          </w:p>
        </w:tc>
        <w:tc>
          <w:tcPr>
            <w:tcW w:w="348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9D5C94" w:rsidRPr="00884D17" w:rsidRDefault="009D5C94">
            <w:pPr>
              <w:jc w:val="center"/>
              <w:rPr>
                <w:b/>
                <w:bCs/>
              </w:rPr>
            </w:pPr>
            <w:r w:rsidRPr="00884D17">
              <w:rPr>
                <w:b/>
                <w:bCs/>
              </w:rPr>
              <w:t>Débiteurs solidaires</w:t>
            </w:r>
          </w:p>
        </w:tc>
        <w:tc>
          <w:tcPr>
            <w:tcW w:w="286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9D5C94" w:rsidRPr="00884D17" w:rsidRDefault="009D5C94">
            <w:pPr>
              <w:jc w:val="center"/>
              <w:rPr>
                <w:b/>
                <w:bCs/>
              </w:rPr>
            </w:pPr>
            <w:r w:rsidRPr="00884D17">
              <w:rPr>
                <w:b/>
                <w:bCs/>
              </w:rPr>
              <w:t>Débet (€)</w:t>
            </w:r>
          </w:p>
        </w:tc>
      </w:tr>
      <w:tr w:rsidR="009D5C94" w:rsidRPr="00884D17">
        <w:trPr>
          <w:trHeight w:val="255"/>
        </w:trPr>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tcPr>
          <w:p w:rsidR="009D5C94" w:rsidRPr="00884D17" w:rsidRDefault="009D5C94">
            <w:pPr>
              <w:rPr>
                <w:b/>
                <w:bCs/>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tcPr>
          <w:p w:rsidR="009D5C94" w:rsidRPr="00884D17" w:rsidRDefault="009D5C94">
            <w:pPr>
              <w:rPr>
                <w:b/>
                <w:bCs/>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tcPr>
          <w:p w:rsidR="009D5C94" w:rsidRPr="00884D17" w:rsidRDefault="009D5C94">
            <w:pPr>
              <w:rPr>
                <w:b/>
                <w:bCs/>
              </w:rPr>
            </w:pPr>
          </w:p>
        </w:tc>
        <w:tc>
          <w:tcPr>
            <w:tcW w:w="0" w:type="auto"/>
            <w:gridSpan w:val="2"/>
            <w:vMerge/>
            <w:tcBorders>
              <w:top w:val="single" w:sz="4" w:space="0" w:color="auto"/>
              <w:left w:val="single" w:sz="4" w:space="0" w:color="auto"/>
              <w:bottom w:val="single" w:sz="4" w:space="0" w:color="000000"/>
              <w:right w:val="single" w:sz="4" w:space="0" w:color="000000"/>
            </w:tcBorders>
            <w:shd w:val="clear" w:color="auto" w:fill="auto"/>
            <w:vAlign w:val="center"/>
          </w:tcPr>
          <w:p w:rsidR="009D5C94" w:rsidRPr="00884D17" w:rsidRDefault="009D5C94">
            <w:pPr>
              <w:rPr>
                <w:b/>
                <w:bCs/>
              </w:rPr>
            </w:pPr>
          </w:p>
        </w:tc>
      </w:tr>
      <w:tr w:rsidR="009D5C94" w:rsidRPr="00884D17">
        <w:trPr>
          <w:trHeight w:val="255"/>
        </w:trPr>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tcPr>
          <w:p w:rsidR="009D5C94" w:rsidRPr="00884D17" w:rsidRDefault="009D5C94">
            <w:pPr>
              <w:rPr>
                <w:b/>
                <w:bCs/>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tcPr>
          <w:p w:rsidR="009D5C94" w:rsidRPr="00884D17" w:rsidRDefault="009D5C94">
            <w:pPr>
              <w:rPr>
                <w:b/>
                <w:bCs/>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tcPr>
          <w:p w:rsidR="009D5C94" w:rsidRPr="00884D17" w:rsidRDefault="009D5C94">
            <w:pPr>
              <w:rPr>
                <w:b/>
                <w:bCs/>
              </w:rPr>
            </w:pPr>
          </w:p>
        </w:tc>
        <w:tc>
          <w:tcPr>
            <w:tcW w:w="1260" w:type="dxa"/>
            <w:tcBorders>
              <w:top w:val="nil"/>
              <w:left w:val="nil"/>
              <w:bottom w:val="single" w:sz="4" w:space="0" w:color="auto"/>
              <w:right w:val="nil"/>
            </w:tcBorders>
            <w:shd w:val="clear" w:color="auto" w:fill="auto"/>
            <w:vAlign w:val="center"/>
          </w:tcPr>
          <w:p w:rsidR="009D5C94" w:rsidRPr="00884D17" w:rsidRDefault="009D5C94">
            <w:pPr>
              <w:jc w:val="center"/>
              <w:rPr>
                <w:b/>
                <w:bCs/>
              </w:rPr>
            </w:pPr>
            <w:r w:rsidRPr="00884D17">
              <w:rPr>
                <w:b/>
                <w:bCs/>
              </w:rPr>
              <w:t>Par sphère</w:t>
            </w:r>
          </w:p>
        </w:tc>
        <w:tc>
          <w:tcPr>
            <w:tcW w:w="1600" w:type="dxa"/>
            <w:tcBorders>
              <w:top w:val="nil"/>
              <w:left w:val="single" w:sz="4" w:space="0" w:color="auto"/>
              <w:bottom w:val="single" w:sz="4" w:space="0" w:color="auto"/>
              <w:right w:val="single" w:sz="4" w:space="0" w:color="auto"/>
            </w:tcBorders>
            <w:shd w:val="clear" w:color="auto" w:fill="auto"/>
            <w:vAlign w:val="center"/>
          </w:tcPr>
          <w:p w:rsidR="009D5C94" w:rsidRPr="00884D17" w:rsidRDefault="009D5C94">
            <w:pPr>
              <w:jc w:val="center"/>
              <w:rPr>
                <w:b/>
                <w:bCs/>
              </w:rPr>
            </w:pPr>
            <w:r w:rsidRPr="00884D17">
              <w:rPr>
                <w:b/>
                <w:bCs/>
              </w:rPr>
              <w:t>Total</w:t>
            </w:r>
          </w:p>
        </w:tc>
      </w:tr>
      <w:tr w:rsidR="009D5C94" w:rsidRPr="00884D17">
        <w:trPr>
          <w:trHeight w:val="255"/>
        </w:trPr>
        <w:tc>
          <w:tcPr>
            <w:tcW w:w="840" w:type="dxa"/>
            <w:tcBorders>
              <w:top w:val="nil"/>
              <w:left w:val="single" w:sz="4" w:space="0" w:color="auto"/>
              <w:bottom w:val="single" w:sz="4" w:space="0" w:color="auto"/>
              <w:right w:val="single" w:sz="4" w:space="0" w:color="auto"/>
            </w:tcBorders>
            <w:shd w:val="clear" w:color="auto" w:fill="auto"/>
            <w:noWrap/>
            <w:vAlign w:val="center"/>
          </w:tcPr>
          <w:p w:rsidR="009D5C94" w:rsidRPr="00884D17" w:rsidRDefault="009D5C94">
            <w:pPr>
              <w:jc w:val="center"/>
            </w:pPr>
            <w:r w:rsidRPr="00884D17">
              <w:t>1</w:t>
            </w:r>
          </w:p>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1-1</w:t>
            </w:r>
          </w:p>
        </w:tc>
        <w:tc>
          <w:tcPr>
            <w:tcW w:w="3480" w:type="dxa"/>
            <w:vMerge w:val="restart"/>
            <w:tcBorders>
              <w:top w:val="nil"/>
              <w:left w:val="single" w:sz="4" w:space="0" w:color="auto"/>
              <w:bottom w:val="single" w:sz="4" w:space="0" w:color="000000"/>
              <w:right w:val="single" w:sz="4" w:space="0" w:color="auto"/>
            </w:tcBorders>
            <w:shd w:val="clear" w:color="auto" w:fill="auto"/>
            <w:noWrap/>
            <w:vAlign w:val="center"/>
          </w:tcPr>
          <w:p w:rsidR="009D5C94" w:rsidRPr="00884D17" w:rsidRDefault="00CF4560">
            <w:pPr>
              <w:jc w:val="center"/>
            </w:pPr>
            <w:r w:rsidRPr="00884D17">
              <w:t>B</w:t>
            </w:r>
            <w:r w:rsidR="009D5C94" w:rsidRPr="00884D17">
              <w:t>-</w:t>
            </w:r>
            <w:r w:rsidR="00884D17">
              <w:t>F-H</w:t>
            </w:r>
            <w:r w:rsidR="009D5C94" w:rsidRPr="00884D17">
              <w:t>-</w:t>
            </w:r>
            <w:r w:rsidRPr="00884D17">
              <w:t>X</w:t>
            </w:r>
          </w:p>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871,18   </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tcPr>
          <w:p w:rsidR="009D5C94" w:rsidRPr="00884D17" w:rsidRDefault="009D5C94">
            <w:pPr>
              <w:jc w:val="center"/>
            </w:pPr>
            <w:r w:rsidRPr="00884D17">
              <w:t xml:space="preserve">          1 785,11   </w:t>
            </w:r>
          </w:p>
        </w:tc>
      </w:tr>
      <w:tr w:rsidR="009D5C94" w:rsidRPr="00884D17">
        <w:trPr>
          <w:trHeight w:val="255"/>
        </w:trPr>
        <w:tc>
          <w:tcPr>
            <w:tcW w:w="840" w:type="dxa"/>
            <w:vMerge w:val="restart"/>
            <w:tcBorders>
              <w:top w:val="nil"/>
              <w:left w:val="single" w:sz="4" w:space="0" w:color="auto"/>
              <w:bottom w:val="single" w:sz="4" w:space="0" w:color="000000"/>
              <w:right w:val="single" w:sz="4" w:space="0" w:color="auto"/>
            </w:tcBorders>
            <w:shd w:val="clear" w:color="auto" w:fill="auto"/>
            <w:noWrap/>
            <w:vAlign w:val="center"/>
          </w:tcPr>
          <w:p w:rsidR="009D5C94" w:rsidRPr="00884D17" w:rsidRDefault="009D5C94">
            <w:pPr>
              <w:jc w:val="center"/>
            </w:pPr>
            <w:r w:rsidRPr="00884D17">
              <w:t>2</w:t>
            </w:r>
          </w:p>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2-1</w:t>
            </w:r>
          </w:p>
        </w:tc>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913,93   </w:t>
            </w:r>
          </w:p>
        </w:tc>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r>
      <w:tr w:rsidR="009D5C94" w:rsidRPr="00884D17">
        <w:trPr>
          <w:trHeight w:val="255"/>
        </w:trPr>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2-2</w:t>
            </w:r>
          </w:p>
        </w:tc>
        <w:tc>
          <w:tcPr>
            <w:tcW w:w="3480" w:type="dxa"/>
            <w:tcBorders>
              <w:top w:val="nil"/>
              <w:left w:val="nil"/>
              <w:bottom w:val="single" w:sz="4" w:space="0" w:color="auto"/>
              <w:right w:val="single" w:sz="4" w:space="0" w:color="auto"/>
            </w:tcBorders>
            <w:shd w:val="clear" w:color="auto" w:fill="auto"/>
            <w:noWrap/>
            <w:vAlign w:val="center"/>
          </w:tcPr>
          <w:p w:rsidR="009D5C94" w:rsidRPr="00884D17" w:rsidRDefault="00CF4560">
            <w:pPr>
              <w:jc w:val="center"/>
            </w:pPr>
            <w:r w:rsidRPr="00884D17">
              <w:t>B</w:t>
            </w:r>
            <w:r w:rsidR="009D5C94" w:rsidRPr="00884D17">
              <w:t xml:space="preserve">- </w:t>
            </w:r>
            <w:r w:rsidR="00884D17">
              <w:t>F-H</w:t>
            </w:r>
            <w:r w:rsidR="009D5C94" w:rsidRPr="00884D17">
              <w:t>-</w:t>
            </w:r>
            <w:r w:rsidRPr="00884D17">
              <w:t>Y</w:t>
            </w:r>
          </w:p>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437,84   </w:t>
            </w:r>
          </w:p>
        </w:tc>
        <w:tc>
          <w:tcPr>
            <w:tcW w:w="160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437,84   </w:t>
            </w:r>
          </w:p>
        </w:tc>
      </w:tr>
      <w:tr w:rsidR="009D5C94" w:rsidRPr="00884D17">
        <w:trPr>
          <w:trHeight w:val="255"/>
        </w:trPr>
        <w:tc>
          <w:tcPr>
            <w:tcW w:w="840" w:type="dxa"/>
            <w:vMerge w:val="restart"/>
            <w:tcBorders>
              <w:top w:val="nil"/>
              <w:left w:val="single" w:sz="4" w:space="0" w:color="auto"/>
              <w:bottom w:val="single" w:sz="4" w:space="0" w:color="000000"/>
              <w:right w:val="single" w:sz="4" w:space="0" w:color="auto"/>
            </w:tcBorders>
            <w:shd w:val="clear" w:color="auto" w:fill="auto"/>
            <w:noWrap/>
            <w:vAlign w:val="center"/>
          </w:tcPr>
          <w:p w:rsidR="009D5C94" w:rsidRPr="00884D17" w:rsidRDefault="009D5C94">
            <w:pPr>
              <w:jc w:val="center"/>
            </w:pPr>
            <w:r w:rsidRPr="00884D17">
              <w:t>9</w:t>
            </w:r>
          </w:p>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9-1</w:t>
            </w:r>
          </w:p>
        </w:tc>
        <w:tc>
          <w:tcPr>
            <w:tcW w:w="3480" w:type="dxa"/>
            <w:tcBorders>
              <w:top w:val="nil"/>
              <w:left w:val="nil"/>
              <w:bottom w:val="single" w:sz="4" w:space="0" w:color="auto"/>
              <w:right w:val="single" w:sz="4" w:space="0" w:color="auto"/>
            </w:tcBorders>
            <w:shd w:val="clear" w:color="auto" w:fill="auto"/>
            <w:noWrap/>
            <w:vAlign w:val="center"/>
          </w:tcPr>
          <w:p w:rsidR="009D5C94" w:rsidRPr="00884D17" w:rsidRDefault="00CF4560">
            <w:pPr>
              <w:jc w:val="center"/>
            </w:pPr>
            <w:r w:rsidRPr="00884D17">
              <w:t>E</w:t>
            </w:r>
            <w:r w:rsidR="009D5C94" w:rsidRPr="00884D17">
              <w:t>-</w:t>
            </w:r>
            <w:r w:rsidRPr="00884D17">
              <w:t>G</w:t>
            </w:r>
            <w:r w:rsidR="009D5C94" w:rsidRPr="00884D17">
              <w:t>-</w:t>
            </w:r>
            <w:r w:rsidR="00884D17">
              <w:t>H</w:t>
            </w:r>
            <w:r w:rsidR="009D5C94" w:rsidRPr="00884D17">
              <w:t>-</w:t>
            </w:r>
            <w:r w:rsidRPr="00884D17">
              <w:t>Z</w:t>
            </w:r>
          </w:p>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2 593,93   </w:t>
            </w:r>
          </w:p>
        </w:tc>
        <w:tc>
          <w:tcPr>
            <w:tcW w:w="160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2 593,93   </w:t>
            </w:r>
          </w:p>
        </w:tc>
      </w:tr>
      <w:tr w:rsidR="009D5C94" w:rsidRPr="00884D17">
        <w:trPr>
          <w:trHeight w:val="255"/>
        </w:trPr>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9-2</w:t>
            </w:r>
          </w:p>
        </w:tc>
        <w:tc>
          <w:tcPr>
            <w:tcW w:w="3480" w:type="dxa"/>
            <w:vMerge w:val="restart"/>
            <w:tcBorders>
              <w:top w:val="nil"/>
              <w:left w:val="single" w:sz="4" w:space="0" w:color="auto"/>
              <w:bottom w:val="single" w:sz="4" w:space="0" w:color="000000"/>
              <w:right w:val="single" w:sz="4" w:space="0" w:color="auto"/>
            </w:tcBorders>
            <w:shd w:val="clear" w:color="auto" w:fill="auto"/>
            <w:vAlign w:val="center"/>
          </w:tcPr>
          <w:p w:rsidR="009D5C94" w:rsidRPr="00884D17" w:rsidRDefault="00CF4560">
            <w:pPr>
              <w:jc w:val="center"/>
            </w:pPr>
            <w:r w:rsidRPr="00884D17">
              <w:t>E</w:t>
            </w:r>
            <w:r w:rsidR="009D5C94" w:rsidRPr="00884D17">
              <w:t xml:space="preserve"> - </w:t>
            </w:r>
            <w:r w:rsidRPr="00884D17">
              <w:t>G</w:t>
            </w:r>
            <w:r w:rsidR="009D5C94" w:rsidRPr="00884D17">
              <w:t>-</w:t>
            </w:r>
            <w:r w:rsidR="00D30938" w:rsidRPr="00884D17">
              <w:t>I</w:t>
            </w:r>
            <w:r w:rsidR="009D5C94" w:rsidRPr="00884D17">
              <w:t>-</w:t>
            </w:r>
            <w:r w:rsidRPr="00884D17">
              <w:t>Z</w:t>
            </w:r>
          </w:p>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957,38   </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tcPr>
          <w:p w:rsidR="009D5C94" w:rsidRPr="00884D17" w:rsidRDefault="009D5C94">
            <w:pPr>
              <w:jc w:val="center"/>
            </w:pPr>
            <w:r w:rsidRPr="00884D17">
              <w:t xml:space="preserve">        10 918,71   </w:t>
            </w:r>
          </w:p>
        </w:tc>
      </w:tr>
      <w:tr w:rsidR="009D5C94" w:rsidRPr="00884D17">
        <w:trPr>
          <w:trHeight w:val="255"/>
        </w:trPr>
        <w:tc>
          <w:tcPr>
            <w:tcW w:w="840" w:type="dxa"/>
            <w:tcBorders>
              <w:top w:val="nil"/>
              <w:left w:val="single" w:sz="4" w:space="0" w:color="auto"/>
              <w:bottom w:val="single" w:sz="4" w:space="0" w:color="auto"/>
              <w:right w:val="single" w:sz="4" w:space="0" w:color="auto"/>
            </w:tcBorders>
            <w:shd w:val="clear" w:color="auto" w:fill="auto"/>
            <w:noWrap/>
            <w:vAlign w:val="center"/>
          </w:tcPr>
          <w:p w:rsidR="009D5C94" w:rsidRPr="00884D17" w:rsidRDefault="009D5C94">
            <w:pPr>
              <w:jc w:val="center"/>
            </w:pPr>
            <w:r w:rsidRPr="00884D17">
              <w:t>10</w:t>
            </w:r>
          </w:p>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10-1</w:t>
            </w:r>
          </w:p>
        </w:tc>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9 961,33   </w:t>
            </w:r>
          </w:p>
        </w:tc>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r>
      <w:tr w:rsidR="009D5C94" w:rsidRPr="00884D17">
        <w:trPr>
          <w:trHeight w:val="255"/>
        </w:trPr>
        <w:tc>
          <w:tcPr>
            <w:tcW w:w="840" w:type="dxa"/>
            <w:tcBorders>
              <w:top w:val="nil"/>
              <w:left w:val="single" w:sz="4" w:space="0" w:color="auto"/>
              <w:bottom w:val="single" w:sz="4" w:space="0" w:color="auto"/>
              <w:right w:val="single" w:sz="4" w:space="0" w:color="auto"/>
            </w:tcBorders>
            <w:shd w:val="clear" w:color="auto" w:fill="auto"/>
            <w:noWrap/>
            <w:vAlign w:val="center"/>
          </w:tcPr>
          <w:p w:rsidR="009D5C94" w:rsidRPr="00884D17" w:rsidRDefault="009D5C94">
            <w:pPr>
              <w:jc w:val="center"/>
            </w:pPr>
            <w:r w:rsidRPr="00884D17">
              <w:t>11</w:t>
            </w:r>
          </w:p>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11-1</w:t>
            </w:r>
          </w:p>
        </w:tc>
        <w:tc>
          <w:tcPr>
            <w:tcW w:w="3480" w:type="dxa"/>
            <w:vMerge w:val="restart"/>
            <w:tcBorders>
              <w:top w:val="nil"/>
              <w:left w:val="single" w:sz="4" w:space="0" w:color="auto"/>
              <w:bottom w:val="single" w:sz="4" w:space="0" w:color="000000"/>
              <w:right w:val="single" w:sz="4" w:space="0" w:color="auto"/>
            </w:tcBorders>
            <w:shd w:val="clear" w:color="auto" w:fill="auto"/>
            <w:noWrap/>
            <w:vAlign w:val="center"/>
          </w:tcPr>
          <w:p w:rsidR="009D5C94" w:rsidRPr="00884D17" w:rsidRDefault="00CF4560">
            <w:pPr>
              <w:jc w:val="center"/>
            </w:pPr>
            <w:r w:rsidRPr="00884D17">
              <w:t>G</w:t>
            </w:r>
            <w:r w:rsidR="009D5C94" w:rsidRPr="00884D17">
              <w:t>-</w:t>
            </w:r>
            <w:r w:rsidR="00D30938" w:rsidRPr="00884D17">
              <w:t>I</w:t>
            </w:r>
            <w:r w:rsidR="009D5C94" w:rsidRPr="00884D17">
              <w:t>-</w:t>
            </w:r>
            <w:r w:rsidRPr="00884D17">
              <w:t>Z</w:t>
            </w:r>
          </w:p>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3 007,98   </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tcPr>
          <w:p w:rsidR="009D5C94" w:rsidRPr="00884D17" w:rsidRDefault="009D5C94">
            <w:pPr>
              <w:jc w:val="center"/>
            </w:pPr>
            <w:r w:rsidRPr="00884D17">
              <w:t xml:space="preserve">        31 826,63   </w:t>
            </w:r>
          </w:p>
        </w:tc>
      </w:tr>
      <w:tr w:rsidR="009D5C94" w:rsidRPr="00884D17">
        <w:trPr>
          <w:trHeight w:val="255"/>
        </w:trPr>
        <w:tc>
          <w:tcPr>
            <w:tcW w:w="840" w:type="dxa"/>
            <w:tcBorders>
              <w:top w:val="nil"/>
              <w:left w:val="single" w:sz="4" w:space="0" w:color="auto"/>
              <w:bottom w:val="single" w:sz="4" w:space="0" w:color="auto"/>
              <w:right w:val="single" w:sz="4" w:space="0" w:color="auto"/>
            </w:tcBorders>
            <w:shd w:val="clear" w:color="auto" w:fill="auto"/>
            <w:noWrap/>
            <w:vAlign w:val="center"/>
          </w:tcPr>
          <w:p w:rsidR="009D5C94" w:rsidRPr="00884D17" w:rsidRDefault="009D5C94">
            <w:pPr>
              <w:jc w:val="center"/>
            </w:pPr>
            <w:r w:rsidRPr="00884D17">
              <w:t>12</w:t>
            </w:r>
          </w:p>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12-1</w:t>
            </w:r>
          </w:p>
        </w:tc>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19 934,33   </w:t>
            </w:r>
          </w:p>
        </w:tc>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r>
      <w:tr w:rsidR="009D5C94" w:rsidRPr="00884D17">
        <w:trPr>
          <w:trHeight w:val="255"/>
        </w:trPr>
        <w:tc>
          <w:tcPr>
            <w:tcW w:w="840" w:type="dxa"/>
            <w:tcBorders>
              <w:top w:val="nil"/>
              <w:left w:val="single" w:sz="4" w:space="0" w:color="auto"/>
              <w:bottom w:val="nil"/>
              <w:right w:val="single" w:sz="4" w:space="0" w:color="auto"/>
            </w:tcBorders>
            <w:shd w:val="clear" w:color="auto" w:fill="auto"/>
            <w:noWrap/>
            <w:vAlign w:val="center"/>
          </w:tcPr>
          <w:p w:rsidR="009D5C94" w:rsidRPr="00884D17" w:rsidRDefault="009D5C94">
            <w:pPr>
              <w:jc w:val="center"/>
            </w:pPr>
            <w:r w:rsidRPr="00884D17">
              <w:t>13</w:t>
            </w:r>
          </w:p>
        </w:tc>
        <w:tc>
          <w:tcPr>
            <w:tcW w:w="88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13-1</w:t>
            </w:r>
          </w:p>
        </w:tc>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c>
          <w:tcPr>
            <w:tcW w:w="1260" w:type="dxa"/>
            <w:tcBorders>
              <w:top w:val="nil"/>
              <w:left w:val="nil"/>
              <w:bottom w:val="single" w:sz="4" w:space="0" w:color="auto"/>
              <w:right w:val="single" w:sz="4" w:space="0" w:color="auto"/>
            </w:tcBorders>
            <w:shd w:val="clear" w:color="auto" w:fill="auto"/>
            <w:noWrap/>
            <w:vAlign w:val="center"/>
          </w:tcPr>
          <w:p w:rsidR="009D5C94" w:rsidRPr="00884D17" w:rsidRDefault="009D5C94">
            <w:pPr>
              <w:jc w:val="center"/>
            </w:pPr>
            <w:r w:rsidRPr="00884D17">
              <w:t xml:space="preserve">    8 884,32   </w:t>
            </w:r>
          </w:p>
        </w:tc>
        <w:tc>
          <w:tcPr>
            <w:tcW w:w="0" w:type="auto"/>
            <w:vMerge/>
            <w:tcBorders>
              <w:top w:val="nil"/>
              <w:left w:val="single" w:sz="4" w:space="0" w:color="auto"/>
              <w:bottom w:val="single" w:sz="4" w:space="0" w:color="000000"/>
              <w:right w:val="single" w:sz="4" w:space="0" w:color="auto"/>
            </w:tcBorders>
            <w:shd w:val="clear" w:color="auto" w:fill="auto"/>
            <w:vAlign w:val="center"/>
          </w:tcPr>
          <w:p w:rsidR="009D5C94" w:rsidRPr="00884D17" w:rsidRDefault="009D5C94"/>
        </w:tc>
      </w:tr>
      <w:tr w:rsidR="009D5C94" w:rsidRPr="00884D17">
        <w:trPr>
          <w:trHeight w:val="255"/>
        </w:trPr>
        <w:tc>
          <w:tcPr>
            <w:tcW w:w="840" w:type="dxa"/>
            <w:tcBorders>
              <w:top w:val="nil"/>
              <w:left w:val="single" w:sz="4" w:space="0" w:color="auto"/>
              <w:bottom w:val="single" w:sz="4" w:space="0" w:color="auto"/>
              <w:right w:val="nil"/>
            </w:tcBorders>
            <w:shd w:val="clear" w:color="auto" w:fill="auto"/>
            <w:noWrap/>
            <w:vAlign w:val="bottom"/>
          </w:tcPr>
          <w:p w:rsidR="009D5C94" w:rsidRPr="00884D17" w:rsidRDefault="009D5C94">
            <w:r w:rsidRPr="00884D17">
              <w:t> </w:t>
            </w:r>
          </w:p>
        </w:tc>
        <w:tc>
          <w:tcPr>
            <w:tcW w:w="880" w:type="dxa"/>
            <w:tcBorders>
              <w:top w:val="nil"/>
              <w:left w:val="nil"/>
              <w:bottom w:val="single" w:sz="4" w:space="0" w:color="auto"/>
              <w:right w:val="single" w:sz="4" w:space="0" w:color="auto"/>
            </w:tcBorders>
            <w:shd w:val="clear" w:color="auto" w:fill="auto"/>
            <w:noWrap/>
            <w:vAlign w:val="bottom"/>
          </w:tcPr>
          <w:p w:rsidR="009D5C94" w:rsidRPr="00884D17" w:rsidRDefault="009D5C94">
            <w:r w:rsidRPr="00884D17">
              <w:t> </w:t>
            </w:r>
          </w:p>
        </w:tc>
        <w:tc>
          <w:tcPr>
            <w:tcW w:w="3480" w:type="dxa"/>
            <w:tcBorders>
              <w:top w:val="nil"/>
              <w:left w:val="single" w:sz="4" w:space="0" w:color="auto"/>
              <w:bottom w:val="single" w:sz="4" w:space="0" w:color="auto"/>
              <w:right w:val="single" w:sz="4" w:space="0" w:color="auto"/>
            </w:tcBorders>
            <w:shd w:val="clear" w:color="auto" w:fill="auto"/>
            <w:noWrap/>
            <w:vAlign w:val="center"/>
          </w:tcPr>
          <w:p w:rsidR="009D5C94" w:rsidRPr="00884D17" w:rsidRDefault="009D5C94">
            <w:pPr>
              <w:jc w:val="center"/>
              <w:rPr>
                <w:b/>
                <w:bCs/>
              </w:rPr>
            </w:pPr>
            <w:r w:rsidRPr="00884D17">
              <w:rPr>
                <w:b/>
                <w:bCs/>
              </w:rPr>
              <w:t>TOTAL</w:t>
            </w:r>
          </w:p>
        </w:tc>
        <w:tc>
          <w:tcPr>
            <w:tcW w:w="1260" w:type="dxa"/>
            <w:tcBorders>
              <w:top w:val="nil"/>
              <w:left w:val="nil"/>
              <w:bottom w:val="single" w:sz="4" w:space="0" w:color="auto"/>
              <w:right w:val="single" w:sz="4" w:space="0" w:color="auto"/>
            </w:tcBorders>
            <w:shd w:val="clear" w:color="auto" w:fill="auto"/>
            <w:noWrap/>
            <w:vAlign w:val="bottom"/>
          </w:tcPr>
          <w:p w:rsidR="009D5C94" w:rsidRPr="00884D17" w:rsidRDefault="009D5C94">
            <w:pPr>
              <w:rPr>
                <w:b/>
                <w:bCs/>
              </w:rPr>
            </w:pPr>
            <w:r w:rsidRPr="00884D17">
              <w:rPr>
                <w:b/>
                <w:bCs/>
              </w:rPr>
              <w:t xml:space="preserve">  47 562,22   </w:t>
            </w:r>
          </w:p>
        </w:tc>
        <w:tc>
          <w:tcPr>
            <w:tcW w:w="1600" w:type="dxa"/>
            <w:tcBorders>
              <w:top w:val="nil"/>
              <w:left w:val="nil"/>
              <w:bottom w:val="single" w:sz="4" w:space="0" w:color="auto"/>
              <w:right w:val="single" w:sz="4" w:space="0" w:color="auto"/>
            </w:tcBorders>
            <w:shd w:val="clear" w:color="auto" w:fill="auto"/>
            <w:noWrap/>
            <w:vAlign w:val="bottom"/>
          </w:tcPr>
          <w:p w:rsidR="009D5C94" w:rsidRPr="00884D17" w:rsidRDefault="009D5C94">
            <w:pPr>
              <w:jc w:val="center"/>
              <w:rPr>
                <w:b/>
                <w:bCs/>
              </w:rPr>
            </w:pPr>
            <w:r w:rsidRPr="00884D17">
              <w:rPr>
                <w:b/>
                <w:bCs/>
              </w:rPr>
              <w:t xml:space="preserve">        47 562,22   </w:t>
            </w:r>
          </w:p>
        </w:tc>
      </w:tr>
    </w:tbl>
    <w:p w:rsidR="009D5C94" w:rsidRDefault="009D5C94" w:rsidP="00433255">
      <w:pPr>
        <w:pStyle w:val="ParagrapheStandard"/>
        <w:spacing w:before="0" w:after="0"/>
        <w:ind w:left="1701"/>
      </w:pPr>
    </w:p>
    <w:p w:rsidR="002453D4" w:rsidRPr="00433255" w:rsidRDefault="002453D4" w:rsidP="00A40035">
      <w:pPr>
        <w:pStyle w:val="ParagrapheStandard"/>
        <w:ind w:left="1701"/>
        <w:rPr>
          <w:rFonts w:ascii="Times New Roman" w:hAnsi="Times New Roman"/>
          <w:szCs w:val="24"/>
        </w:rPr>
      </w:pPr>
      <w:r w:rsidRPr="00433255">
        <w:rPr>
          <w:rFonts w:ascii="Times New Roman" w:hAnsi="Times New Roman"/>
          <w:szCs w:val="24"/>
        </w:rPr>
        <w:t xml:space="preserve">Attendu que les comptables de fait visés par ladite injonction en application du tableau ci-dessus, Mme </w:t>
      </w:r>
      <w:r w:rsidR="00CF4560">
        <w:rPr>
          <w:rFonts w:ascii="Times New Roman" w:hAnsi="Times New Roman"/>
          <w:szCs w:val="24"/>
        </w:rPr>
        <w:t>B</w:t>
      </w:r>
      <w:r w:rsidRPr="00433255">
        <w:rPr>
          <w:rFonts w:ascii="Times New Roman" w:hAnsi="Times New Roman"/>
          <w:szCs w:val="24"/>
        </w:rPr>
        <w:t>, MM</w:t>
      </w:r>
      <w:r w:rsidR="00433255" w:rsidRPr="00433255">
        <w:rPr>
          <w:rFonts w:ascii="Times New Roman" w:hAnsi="Times New Roman"/>
          <w:szCs w:val="24"/>
        </w:rPr>
        <w:t>.</w:t>
      </w:r>
      <w:r w:rsidRPr="00433255">
        <w:rPr>
          <w:rFonts w:ascii="Times New Roman" w:hAnsi="Times New Roman"/>
          <w:szCs w:val="24"/>
        </w:rPr>
        <w:t xml:space="preserve"> </w:t>
      </w:r>
      <w:r w:rsidR="00D03506">
        <w:rPr>
          <w:rFonts w:ascii="Times New Roman" w:hAnsi="Times New Roman"/>
          <w:szCs w:val="24"/>
        </w:rPr>
        <w:t>F</w:t>
      </w:r>
      <w:r w:rsidRPr="00433255">
        <w:rPr>
          <w:rFonts w:ascii="Times New Roman" w:hAnsi="Times New Roman"/>
          <w:szCs w:val="24"/>
        </w:rPr>
        <w:t xml:space="preserve">, </w:t>
      </w:r>
      <w:r w:rsidR="00D03506">
        <w:rPr>
          <w:rFonts w:ascii="Times New Roman" w:hAnsi="Times New Roman"/>
          <w:szCs w:val="24"/>
        </w:rPr>
        <w:t>H</w:t>
      </w:r>
      <w:r w:rsidRPr="00433255">
        <w:rPr>
          <w:rFonts w:ascii="Times New Roman" w:hAnsi="Times New Roman"/>
          <w:szCs w:val="24"/>
        </w:rPr>
        <w:t xml:space="preserve">, </w:t>
      </w:r>
      <w:r w:rsidR="00CF4560">
        <w:rPr>
          <w:rFonts w:ascii="Times New Roman" w:hAnsi="Times New Roman"/>
          <w:szCs w:val="24"/>
        </w:rPr>
        <w:t>X</w:t>
      </w:r>
      <w:r w:rsidRPr="00433255">
        <w:rPr>
          <w:rFonts w:ascii="Times New Roman" w:hAnsi="Times New Roman"/>
          <w:szCs w:val="24"/>
        </w:rPr>
        <w:t xml:space="preserve">, </w:t>
      </w:r>
      <w:r w:rsidR="00CF4560">
        <w:rPr>
          <w:rFonts w:ascii="Times New Roman" w:hAnsi="Times New Roman"/>
          <w:szCs w:val="24"/>
        </w:rPr>
        <w:t>Y</w:t>
      </w:r>
      <w:r w:rsidRPr="00433255">
        <w:rPr>
          <w:rFonts w:ascii="Times New Roman" w:hAnsi="Times New Roman"/>
          <w:szCs w:val="24"/>
        </w:rPr>
        <w:t xml:space="preserve">, </w:t>
      </w:r>
      <w:r w:rsidR="00CF4560">
        <w:rPr>
          <w:rFonts w:ascii="Times New Roman" w:hAnsi="Times New Roman"/>
          <w:szCs w:val="24"/>
        </w:rPr>
        <w:t>E</w:t>
      </w:r>
      <w:r w:rsidRPr="00433255">
        <w:rPr>
          <w:rFonts w:ascii="Times New Roman" w:hAnsi="Times New Roman"/>
          <w:szCs w:val="24"/>
        </w:rPr>
        <w:t xml:space="preserve">, </w:t>
      </w:r>
      <w:r w:rsidR="00CF4560">
        <w:rPr>
          <w:rFonts w:ascii="Times New Roman" w:hAnsi="Times New Roman"/>
          <w:szCs w:val="24"/>
        </w:rPr>
        <w:t>G</w:t>
      </w:r>
      <w:r w:rsidRPr="00433255">
        <w:rPr>
          <w:rFonts w:ascii="Times New Roman" w:hAnsi="Times New Roman"/>
          <w:szCs w:val="24"/>
        </w:rPr>
        <w:t xml:space="preserve">, </w:t>
      </w:r>
      <w:r w:rsidR="00D30938">
        <w:rPr>
          <w:rFonts w:ascii="Times New Roman" w:hAnsi="Times New Roman"/>
          <w:szCs w:val="24"/>
        </w:rPr>
        <w:t>I</w:t>
      </w:r>
      <w:r w:rsidRPr="00433255">
        <w:rPr>
          <w:rFonts w:ascii="Times New Roman" w:hAnsi="Times New Roman"/>
          <w:szCs w:val="24"/>
        </w:rPr>
        <w:t xml:space="preserve"> et Mme </w:t>
      </w:r>
      <w:r w:rsidR="00CF4560">
        <w:rPr>
          <w:rFonts w:ascii="Times New Roman" w:hAnsi="Times New Roman"/>
          <w:szCs w:val="24"/>
        </w:rPr>
        <w:t>Z</w:t>
      </w:r>
      <w:r w:rsidRPr="00433255">
        <w:rPr>
          <w:rFonts w:ascii="Times New Roman" w:hAnsi="Times New Roman"/>
          <w:szCs w:val="24"/>
        </w:rPr>
        <w:t>, n’y ont pas apporté de réponse ; qu’il n’a donc pas été satisfait à l’injonction unique de l’arrêt n° 52866 du 12 septembre 2008 ;</w:t>
      </w:r>
    </w:p>
    <w:p w:rsidR="002453D4" w:rsidRPr="00433255" w:rsidRDefault="002453D4" w:rsidP="00A40035">
      <w:pPr>
        <w:pStyle w:val="ParagrapheStandard"/>
        <w:ind w:left="1701"/>
        <w:rPr>
          <w:rFonts w:ascii="Times New Roman" w:hAnsi="Times New Roman"/>
          <w:szCs w:val="24"/>
        </w:rPr>
      </w:pPr>
      <w:r w:rsidRPr="00433255">
        <w:rPr>
          <w:rFonts w:ascii="Times New Roman" w:hAnsi="Times New Roman"/>
          <w:szCs w:val="24"/>
        </w:rPr>
        <w:t>Considérant qu’il convient dès lors de lever l’injonction dudit arrêt et, à partir des sphères de responsabilité (SR) fixées dans le tableau ci-dessus, de constituer conjointement et solidairement :</w:t>
      </w:r>
    </w:p>
    <w:p w:rsidR="002453D4" w:rsidRPr="00433255" w:rsidRDefault="00433255" w:rsidP="00A40035">
      <w:pPr>
        <w:pStyle w:val="ParagrapheStandard"/>
        <w:ind w:left="1701"/>
        <w:rPr>
          <w:rFonts w:ascii="Times New Roman" w:hAnsi="Times New Roman"/>
          <w:szCs w:val="24"/>
        </w:rPr>
      </w:pPr>
      <w:r w:rsidRPr="00433255">
        <w:rPr>
          <w:rFonts w:ascii="Times New Roman" w:hAnsi="Times New Roman"/>
          <w:szCs w:val="24"/>
        </w:rPr>
        <w:t>- </w:t>
      </w:r>
      <w:r w:rsidR="002453D4" w:rsidRPr="00433255">
        <w:rPr>
          <w:rFonts w:ascii="Times New Roman" w:hAnsi="Times New Roman"/>
          <w:szCs w:val="24"/>
        </w:rPr>
        <w:t xml:space="preserve">Mme </w:t>
      </w:r>
      <w:r w:rsidR="00CF4560">
        <w:rPr>
          <w:rFonts w:ascii="Times New Roman" w:hAnsi="Times New Roman"/>
          <w:szCs w:val="24"/>
        </w:rPr>
        <w:t>B</w:t>
      </w:r>
      <w:r w:rsidR="002453D4" w:rsidRPr="00433255">
        <w:rPr>
          <w:rFonts w:ascii="Times New Roman" w:hAnsi="Times New Roman"/>
          <w:szCs w:val="24"/>
        </w:rPr>
        <w:t xml:space="preserve"> et MM. </w:t>
      </w:r>
      <w:r w:rsidR="00D03506">
        <w:rPr>
          <w:rFonts w:ascii="Times New Roman" w:hAnsi="Times New Roman"/>
          <w:szCs w:val="24"/>
        </w:rPr>
        <w:t>F</w:t>
      </w:r>
      <w:r w:rsidR="002453D4" w:rsidRPr="00433255">
        <w:rPr>
          <w:rFonts w:ascii="Times New Roman" w:hAnsi="Times New Roman"/>
          <w:szCs w:val="24"/>
        </w:rPr>
        <w:t xml:space="preserve">, </w:t>
      </w:r>
      <w:r w:rsidR="00D03506">
        <w:rPr>
          <w:rFonts w:ascii="Times New Roman" w:hAnsi="Times New Roman"/>
          <w:szCs w:val="24"/>
        </w:rPr>
        <w:t>H</w:t>
      </w:r>
      <w:r w:rsidR="00D03506" w:rsidRPr="00433255">
        <w:rPr>
          <w:rFonts w:ascii="Times New Roman" w:hAnsi="Times New Roman"/>
          <w:szCs w:val="24"/>
        </w:rPr>
        <w:t xml:space="preserve"> </w:t>
      </w:r>
      <w:r w:rsidR="002453D4" w:rsidRPr="00433255">
        <w:rPr>
          <w:rFonts w:ascii="Times New Roman" w:hAnsi="Times New Roman"/>
          <w:szCs w:val="24"/>
        </w:rPr>
        <w:t xml:space="preserve">et </w:t>
      </w:r>
      <w:r w:rsidR="00CF4560">
        <w:rPr>
          <w:rFonts w:ascii="Times New Roman" w:hAnsi="Times New Roman"/>
          <w:szCs w:val="24"/>
        </w:rPr>
        <w:t>X</w:t>
      </w:r>
      <w:r w:rsidR="002453D4" w:rsidRPr="00433255">
        <w:rPr>
          <w:rFonts w:ascii="Times New Roman" w:hAnsi="Times New Roman"/>
          <w:szCs w:val="24"/>
        </w:rPr>
        <w:t xml:space="preserve"> débiteurs envers la ca</w:t>
      </w:r>
      <w:r w:rsidR="00891D8F" w:rsidRPr="00433255">
        <w:rPr>
          <w:rFonts w:ascii="Times New Roman" w:hAnsi="Times New Roman"/>
          <w:szCs w:val="24"/>
        </w:rPr>
        <w:t xml:space="preserve">isse de l’Etat de la somme de 1 </w:t>
      </w:r>
      <w:r w:rsidR="002453D4" w:rsidRPr="00433255">
        <w:rPr>
          <w:rFonts w:ascii="Times New Roman" w:hAnsi="Times New Roman"/>
          <w:szCs w:val="24"/>
        </w:rPr>
        <w:t>785,11 € (SR n°</w:t>
      </w:r>
      <w:r w:rsidR="009C0EB1" w:rsidRPr="00433255">
        <w:rPr>
          <w:rFonts w:ascii="Times New Roman" w:hAnsi="Times New Roman"/>
          <w:szCs w:val="24"/>
        </w:rPr>
        <w:t xml:space="preserve"> </w:t>
      </w:r>
      <w:r w:rsidR="002453D4" w:rsidRPr="00433255">
        <w:rPr>
          <w:rFonts w:ascii="Times New Roman" w:hAnsi="Times New Roman"/>
          <w:szCs w:val="24"/>
        </w:rPr>
        <w:t>1-1 et 1-2 : 871,18 € + 913,93 €) ;</w:t>
      </w:r>
    </w:p>
    <w:p w:rsidR="002453D4" w:rsidRPr="00433255" w:rsidRDefault="00433255" w:rsidP="00A40035">
      <w:pPr>
        <w:pStyle w:val="ParagrapheStandard"/>
        <w:ind w:left="1701"/>
        <w:rPr>
          <w:rFonts w:ascii="Times New Roman" w:hAnsi="Times New Roman"/>
          <w:szCs w:val="24"/>
        </w:rPr>
      </w:pPr>
      <w:r w:rsidRPr="00433255">
        <w:rPr>
          <w:rFonts w:ascii="Times New Roman" w:hAnsi="Times New Roman"/>
          <w:szCs w:val="24"/>
        </w:rPr>
        <w:t>- </w:t>
      </w:r>
      <w:r w:rsidR="002453D4" w:rsidRPr="00433255">
        <w:rPr>
          <w:rFonts w:ascii="Times New Roman" w:hAnsi="Times New Roman"/>
          <w:szCs w:val="24"/>
        </w:rPr>
        <w:t xml:space="preserve">Mme </w:t>
      </w:r>
      <w:r w:rsidR="00CF4560">
        <w:rPr>
          <w:rFonts w:ascii="Times New Roman" w:hAnsi="Times New Roman"/>
          <w:szCs w:val="24"/>
        </w:rPr>
        <w:t>B</w:t>
      </w:r>
      <w:r w:rsidR="002453D4" w:rsidRPr="00433255">
        <w:rPr>
          <w:rFonts w:ascii="Times New Roman" w:hAnsi="Times New Roman"/>
          <w:szCs w:val="24"/>
        </w:rPr>
        <w:t xml:space="preserve"> et MM. </w:t>
      </w:r>
      <w:r w:rsidR="00D03506">
        <w:rPr>
          <w:rFonts w:ascii="Times New Roman" w:hAnsi="Times New Roman"/>
          <w:szCs w:val="24"/>
        </w:rPr>
        <w:t>F</w:t>
      </w:r>
      <w:r w:rsidR="002453D4" w:rsidRPr="00433255">
        <w:rPr>
          <w:rFonts w:ascii="Times New Roman" w:hAnsi="Times New Roman"/>
          <w:szCs w:val="24"/>
        </w:rPr>
        <w:t xml:space="preserve">, </w:t>
      </w:r>
      <w:r w:rsidR="00D03506">
        <w:rPr>
          <w:rFonts w:ascii="Times New Roman" w:hAnsi="Times New Roman"/>
          <w:szCs w:val="24"/>
        </w:rPr>
        <w:t>H</w:t>
      </w:r>
      <w:r w:rsidR="00D03506" w:rsidRPr="00433255">
        <w:rPr>
          <w:rFonts w:ascii="Times New Roman" w:hAnsi="Times New Roman"/>
          <w:szCs w:val="24"/>
        </w:rPr>
        <w:t xml:space="preserve"> </w:t>
      </w:r>
      <w:r w:rsidR="002453D4" w:rsidRPr="00433255">
        <w:rPr>
          <w:rFonts w:ascii="Times New Roman" w:hAnsi="Times New Roman"/>
          <w:szCs w:val="24"/>
        </w:rPr>
        <w:t xml:space="preserve">et </w:t>
      </w:r>
      <w:r w:rsidR="00CF4560">
        <w:rPr>
          <w:rFonts w:ascii="Times New Roman" w:hAnsi="Times New Roman"/>
          <w:szCs w:val="24"/>
        </w:rPr>
        <w:t>Y</w:t>
      </w:r>
      <w:r w:rsidR="002453D4" w:rsidRPr="00433255">
        <w:rPr>
          <w:rFonts w:ascii="Times New Roman" w:hAnsi="Times New Roman"/>
          <w:szCs w:val="24"/>
        </w:rPr>
        <w:t xml:space="preserve"> débiteurs envers la caisse de l’Etat de la somme de 437,84 € (SR n°</w:t>
      </w:r>
      <w:r w:rsidR="009C0EB1" w:rsidRPr="00433255">
        <w:rPr>
          <w:rFonts w:ascii="Times New Roman" w:hAnsi="Times New Roman"/>
          <w:szCs w:val="24"/>
        </w:rPr>
        <w:t xml:space="preserve"> </w:t>
      </w:r>
      <w:r w:rsidR="002453D4" w:rsidRPr="00433255">
        <w:rPr>
          <w:rFonts w:ascii="Times New Roman" w:hAnsi="Times New Roman"/>
          <w:szCs w:val="24"/>
        </w:rPr>
        <w:t>2-2 : 437,84 €) ;</w:t>
      </w:r>
    </w:p>
    <w:p w:rsidR="002453D4" w:rsidRPr="00433255" w:rsidRDefault="002453D4" w:rsidP="00A40035">
      <w:pPr>
        <w:pStyle w:val="ParagrapheStandard"/>
        <w:ind w:left="1701"/>
        <w:rPr>
          <w:rFonts w:ascii="Times New Roman" w:hAnsi="Times New Roman"/>
          <w:szCs w:val="24"/>
        </w:rPr>
      </w:pPr>
      <w:r w:rsidRPr="00433255">
        <w:rPr>
          <w:rFonts w:ascii="Times New Roman" w:hAnsi="Times New Roman"/>
          <w:szCs w:val="24"/>
        </w:rPr>
        <w:t>-</w:t>
      </w:r>
      <w:r w:rsidR="00433255" w:rsidRPr="00433255">
        <w:rPr>
          <w:rFonts w:ascii="Times New Roman" w:hAnsi="Times New Roman"/>
          <w:szCs w:val="24"/>
        </w:rPr>
        <w:t> </w:t>
      </w:r>
      <w:r w:rsidR="007D4DBF">
        <w:rPr>
          <w:rFonts w:ascii="Times New Roman" w:hAnsi="Times New Roman"/>
          <w:szCs w:val="24"/>
        </w:rPr>
        <w:t xml:space="preserve">MM. </w:t>
      </w:r>
      <w:r w:rsidR="00CF4560">
        <w:rPr>
          <w:rFonts w:ascii="Times New Roman" w:hAnsi="Times New Roman"/>
          <w:szCs w:val="24"/>
        </w:rPr>
        <w:t>E</w:t>
      </w:r>
      <w:r w:rsidR="007D4DBF">
        <w:rPr>
          <w:rFonts w:ascii="Times New Roman" w:hAnsi="Times New Roman"/>
          <w:szCs w:val="24"/>
        </w:rPr>
        <w:t xml:space="preserve">, </w:t>
      </w:r>
      <w:r w:rsidR="00CF4560">
        <w:rPr>
          <w:rFonts w:ascii="Times New Roman" w:hAnsi="Times New Roman"/>
          <w:szCs w:val="24"/>
        </w:rPr>
        <w:t>G</w:t>
      </w:r>
      <w:r w:rsidR="007D4DBF">
        <w:rPr>
          <w:rFonts w:ascii="Times New Roman" w:hAnsi="Times New Roman"/>
          <w:szCs w:val="24"/>
        </w:rPr>
        <w:t>,</w:t>
      </w:r>
      <w:r w:rsidRPr="00433255">
        <w:rPr>
          <w:rFonts w:ascii="Times New Roman" w:hAnsi="Times New Roman"/>
          <w:szCs w:val="24"/>
        </w:rPr>
        <w:t xml:space="preserve"> </w:t>
      </w:r>
      <w:r w:rsidR="00D03506">
        <w:rPr>
          <w:rFonts w:ascii="Times New Roman" w:hAnsi="Times New Roman"/>
          <w:szCs w:val="24"/>
        </w:rPr>
        <w:t>H</w:t>
      </w:r>
      <w:r w:rsidR="00D03506" w:rsidRPr="00433255">
        <w:rPr>
          <w:rFonts w:ascii="Times New Roman" w:hAnsi="Times New Roman"/>
          <w:szCs w:val="24"/>
        </w:rPr>
        <w:t xml:space="preserve"> </w:t>
      </w:r>
      <w:r w:rsidRPr="00433255">
        <w:rPr>
          <w:rFonts w:ascii="Times New Roman" w:hAnsi="Times New Roman"/>
          <w:szCs w:val="24"/>
        </w:rPr>
        <w:t xml:space="preserve">et Mme </w:t>
      </w:r>
      <w:r w:rsidR="00CF4560">
        <w:rPr>
          <w:rFonts w:ascii="Times New Roman" w:hAnsi="Times New Roman"/>
          <w:szCs w:val="24"/>
        </w:rPr>
        <w:t>Z</w:t>
      </w:r>
      <w:r w:rsidRPr="00433255">
        <w:rPr>
          <w:rFonts w:ascii="Times New Roman" w:hAnsi="Times New Roman"/>
          <w:szCs w:val="24"/>
        </w:rPr>
        <w:t xml:space="preserve"> débiteurs envers la ca</w:t>
      </w:r>
      <w:r w:rsidR="00891D8F" w:rsidRPr="00433255">
        <w:rPr>
          <w:rFonts w:ascii="Times New Roman" w:hAnsi="Times New Roman"/>
          <w:szCs w:val="24"/>
        </w:rPr>
        <w:t xml:space="preserve">isse de l’Etat de la somme de 2 </w:t>
      </w:r>
      <w:r w:rsidRPr="00433255">
        <w:rPr>
          <w:rFonts w:ascii="Times New Roman" w:hAnsi="Times New Roman"/>
          <w:szCs w:val="24"/>
        </w:rPr>
        <w:t>593,93 € (SR n°</w:t>
      </w:r>
      <w:r w:rsidR="009C0EB1" w:rsidRPr="00433255">
        <w:rPr>
          <w:rFonts w:ascii="Times New Roman" w:hAnsi="Times New Roman"/>
          <w:szCs w:val="24"/>
        </w:rPr>
        <w:t xml:space="preserve"> </w:t>
      </w:r>
      <w:r w:rsidRPr="00433255">
        <w:rPr>
          <w:rFonts w:ascii="Times New Roman" w:hAnsi="Times New Roman"/>
          <w:szCs w:val="24"/>
        </w:rPr>
        <w:t>9-1 : 2</w:t>
      </w:r>
      <w:r w:rsidR="00891D8F" w:rsidRPr="00433255">
        <w:rPr>
          <w:rFonts w:ascii="Times New Roman" w:hAnsi="Times New Roman"/>
          <w:szCs w:val="24"/>
        </w:rPr>
        <w:t xml:space="preserve"> </w:t>
      </w:r>
      <w:r w:rsidRPr="00433255">
        <w:rPr>
          <w:rFonts w:ascii="Times New Roman" w:hAnsi="Times New Roman"/>
          <w:szCs w:val="24"/>
        </w:rPr>
        <w:t>593,93</w:t>
      </w:r>
      <w:r w:rsidR="009C0EB1" w:rsidRPr="00433255">
        <w:rPr>
          <w:rFonts w:ascii="Times New Roman" w:hAnsi="Times New Roman"/>
          <w:szCs w:val="24"/>
        </w:rPr>
        <w:t xml:space="preserve"> </w:t>
      </w:r>
      <w:r w:rsidRPr="00433255">
        <w:rPr>
          <w:rFonts w:ascii="Times New Roman" w:hAnsi="Times New Roman"/>
          <w:szCs w:val="24"/>
        </w:rPr>
        <w:t xml:space="preserve"> €)</w:t>
      </w:r>
      <w:r w:rsidR="00891D8F" w:rsidRPr="00433255">
        <w:rPr>
          <w:rFonts w:ascii="Times New Roman" w:hAnsi="Times New Roman"/>
          <w:szCs w:val="24"/>
        </w:rPr>
        <w:t xml:space="preserve"> </w:t>
      </w:r>
      <w:r w:rsidRPr="00433255">
        <w:rPr>
          <w:rFonts w:ascii="Times New Roman" w:hAnsi="Times New Roman"/>
          <w:szCs w:val="24"/>
        </w:rPr>
        <w:t>;</w:t>
      </w:r>
    </w:p>
    <w:p w:rsidR="002453D4" w:rsidRPr="00433255" w:rsidRDefault="002453D4" w:rsidP="00891D8F">
      <w:pPr>
        <w:pStyle w:val="ParagrapheStandard"/>
        <w:ind w:left="1701" w:right="-142"/>
        <w:rPr>
          <w:rFonts w:ascii="Times New Roman" w:hAnsi="Times New Roman"/>
          <w:szCs w:val="24"/>
        </w:rPr>
      </w:pPr>
      <w:r w:rsidRPr="00433255">
        <w:rPr>
          <w:rFonts w:ascii="Times New Roman" w:hAnsi="Times New Roman"/>
          <w:szCs w:val="24"/>
        </w:rPr>
        <w:t>-</w:t>
      </w:r>
      <w:r w:rsidR="00433255" w:rsidRPr="00433255">
        <w:rPr>
          <w:rFonts w:ascii="Times New Roman" w:hAnsi="Times New Roman"/>
          <w:szCs w:val="24"/>
        </w:rPr>
        <w:t> </w:t>
      </w:r>
      <w:r w:rsidRPr="00433255">
        <w:rPr>
          <w:rFonts w:ascii="Times New Roman" w:hAnsi="Times New Roman"/>
          <w:szCs w:val="24"/>
        </w:rPr>
        <w:t xml:space="preserve">MM. </w:t>
      </w:r>
      <w:r w:rsidR="00CF4560">
        <w:rPr>
          <w:rFonts w:ascii="Times New Roman" w:hAnsi="Times New Roman"/>
          <w:szCs w:val="24"/>
        </w:rPr>
        <w:t>E</w:t>
      </w:r>
      <w:r w:rsidRPr="00433255">
        <w:rPr>
          <w:rFonts w:ascii="Times New Roman" w:hAnsi="Times New Roman"/>
          <w:szCs w:val="24"/>
        </w:rPr>
        <w:t>,</w:t>
      </w:r>
      <w:r w:rsidR="007D4DBF">
        <w:rPr>
          <w:rFonts w:ascii="Times New Roman" w:hAnsi="Times New Roman"/>
          <w:szCs w:val="24"/>
        </w:rPr>
        <w:t xml:space="preserve"> </w:t>
      </w:r>
      <w:r w:rsidR="00CF4560">
        <w:rPr>
          <w:rFonts w:ascii="Times New Roman" w:hAnsi="Times New Roman"/>
          <w:szCs w:val="24"/>
        </w:rPr>
        <w:t>G</w:t>
      </w:r>
      <w:r w:rsidR="007D4DBF">
        <w:rPr>
          <w:rFonts w:ascii="Times New Roman" w:hAnsi="Times New Roman"/>
          <w:szCs w:val="24"/>
        </w:rPr>
        <w:t>,</w:t>
      </w:r>
      <w:r w:rsidRPr="00433255">
        <w:rPr>
          <w:rFonts w:ascii="Times New Roman" w:hAnsi="Times New Roman"/>
          <w:szCs w:val="24"/>
        </w:rPr>
        <w:t xml:space="preserve"> </w:t>
      </w:r>
      <w:r w:rsidR="00D03506">
        <w:rPr>
          <w:rFonts w:ascii="Times New Roman" w:hAnsi="Times New Roman"/>
          <w:szCs w:val="24"/>
        </w:rPr>
        <w:t>I</w:t>
      </w:r>
      <w:r w:rsidR="00D03506" w:rsidRPr="00433255">
        <w:rPr>
          <w:rFonts w:ascii="Times New Roman" w:hAnsi="Times New Roman"/>
          <w:szCs w:val="24"/>
        </w:rPr>
        <w:t xml:space="preserve"> </w:t>
      </w:r>
      <w:r w:rsidRPr="00433255">
        <w:rPr>
          <w:rFonts w:ascii="Times New Roman" w:hAnsi="Times New Roman"/>
          <w:szCs w:val="24"/>
        </w:rPr>
        <w:t xml:space="preserve">et Mme </w:t>
      </w:r>
      <w:r w:rsidR="00CF4560">
        <w:rPr>
          <w:rFonts w:ascii="Times New Roman" w:hAnsi="Times New Roman"/>
          <w:szCs w:val="24"/>
        </w:rPr>
        <w:t>Z</w:t>
      </w:r>
      <w:r w:rsidRPr="00433255">
        <w:rPr>
          <w:rFonts w:ascii="Times New Roman" w:hAnsi="Times New Roman"/>
          <w:szCs w:val="24"/>
        </w:rPr>
        <w:t xml:space="preserve"> débiteurs envers la cai</w:t>
      </w:r>
      <w:r w:rsidR="00891D8F" w:rsidRPr="00433255">
        <w:rPr>
          <w:rFonts w:ascii="Times New Roman" w:hAnsi="Times New Roman"/>
          <w:szCs w:val="24"/>
        </w:rPr>
        <w:t xml:space="preserve">sse de l’Etat de la somme de 10 </w:t>
      </w:r>
      <w:r w:rsidRPr="00433255">
        <w:rPr>
          <w:rFonts w:ascii="Times New Roman" w:hAnsi="Times New Roman"/>
          <w:szCs w:val="24"/>
        </w:rPr>
        <w:t>918,71 € (SR n° 9-2 et 10-1 : 957,38 € + 9</w:t>
      </w:r>
      <w:r w:rsidR="00891D8F" w:rsidRPr="00433255">
        <w:rPr>
          <w:rFonts w:ascii="Times New Roman" w:hAnsi="Times New Roman"/>
          <w:szCs w:val="24"/>
        </w:rPr>
        <w:t xml:space="preserve"> </w:t>
      </w:r>
      <w:r w:rsidRPr="00433255">
        <w:rPr>
          <w:rFonts w:ascii="Times New Roman" w:hAnsi="Times New Roman"/>
          <w:szCs w:val="24"/>
        </w:rPr>
        <w:t>961,33 €)</w:t>
      </w:r>
      <w:r w:rsidR="00891D8F" w:rsidRPr="00433255">
        <w:rPr>
          <w:rFonts w:ascii="Times New Roman" w:hAnsi="Times New Roman"/>
          <w:szCs w:val="24"/>
        </w:rPr>
        <w:t> ;</w:t>
      </w:r>
    </w:p>
    <w:p w:rsidR="00235FA8" w:rsidRPr="00433255" w:rsidRDefault="002453D4" w:rsidP="00A40035">
      <w:pPr>
        <w:pStyle w:val="ParagrapheStandard"/>
        <w:ind w:left="1701"/>
        <w:rPr>
          <w:rFonts w:ascii="Times New Roman" w:hAnsi="Times New Roman"/>
          <w:szCs w:val="24"/>
        </w:rPr>
      </w:pPr>
      <w:r w:rsidRPr="00433255">
        <w:rPr>
          <w:rFonts w:ascii="Times New Roman" w:hAnsi="Times New Roman"/>
          <w:szCs w:val="24"/>
        </w:rPr>
        <w:t>-</w:t>
      </w:r>
      <w:r w:rsidR="00433255" w:rsidRPr="00433255">
        <w:rPr>
          <w:rFonts w:ascii="Times New Roman" w:hAnsi="Times New Roman"/>
          <w:szCs w:val="24"/>
        </w:rPr>
        <w:t> </w:t>
      </w:r>
      <w:r w:rsidR="007D4DBF">
        <w:rPr>
          <w:rFonts w:ascii="Times New Roman" w:hAnsi="Times New Roman"/>
          <w:szCs w:val="24"/>
        </w:rPr>
        <w:t xml:space="preserve">MM. </w:t>
      </w:r>
      <w:r w:rsidR="00CF4560">
        <w:rPr>
          <w:rFonts w:ascii="Times New Roman" w:hAnsi="Times New Roman"/>
          <w:szCs w:val="24"/>
        </w:rPr>
        <w:t>G</w:t>
      </w:r>
      <w:r w:rsidR="007D4DBF">
        <w:rPr>
          <w:rFonts w:ascii="Times New Roman" w:hAnsi="Times New Roman"/>
          <w:szCs w:val="24"/>
        </w:rPr>
        <w:t>,</w:t>
      </w:r>
      <w:r w:rsidRPr="00433255">
        <w:rPr>
          <w:rFonts w:ascii="Times New Roman" w:hAnsi="Times New Roman"/>
          <w:szCs w:val="24"/>
        </w:rPr>
        <w:t xml:space="preserve"> </w:t>
      </w:r>
      <w:r w:rsidR="00D30938">
        <w:rPr>
          <w:rFonts w:ascii="Times New Roman" w:hAnsi="Times New Roman"/>
          <w:szCs w:val="24"/>
        </w:rPr>
        <w:t>I</w:t>
      </w:r>
      <w:r w:rsidRPr="00433255">
        <w:rPr>
          <w:rFonts w:ascii="Times New Roman" w:hAnsi="Times New Roman"/>
          <w:szCs w:val="24"/>
        </w:rPr>
        <w:t xml:space="preserve"> et Mme </w:t>
      </w:r>
      <w:r w:rsidR="00CF4560">
        <w:rPr>
          <w:rFonts w:ascii="Times New Roman" w:hAnsi="Times New Roman"/>
          <w:szCs w:val="24"/>
        </w:rPr>
        <w:t>Z</w:t>
      </w:r>
      <w:r w:rsidRPr="00433255">
        <w:rPr>
          <w:rFonts w:ascii="Times New Roman" w:hAnsi="Times New Roman"/>
          <w:szCs w:val="24"/>
        </w:rPr>
        <w:t xml:space="preserve"> débiteurs </w:t>
      </w:r>
      <w:r w:rsidR="00795630" w:rsidRPr="00433255">
        <w:rPr>
          <w:rFonts w:ascii="Times New Roman" w:hAnsi="Times New Roman"/>
          <w:szCs w:val="24"/>
        </w:rPr>
        <w:t>envers la caisse de l’Etat de</w:t>
      </w:r>
      <w:r w:rsidRPr="00433255">
        <w:rPr>
          <w:rFonts w:ascii="Times New Roman" w:hAnsi="Times New Roman"/>
          <w:szCs w:val="24"/>
        </w:rPr>
        <w:t xml:space="preserve"> </w:t>
      </w:r>
      <w:r w:rsidR="00795630" w:rsidRPr="00433255">
        <w:rPr>
          <w:rFonts w:ascii="Times New Roman" w:hAnsi="Times New Roman"/>
          <w:szCs w:val="24"/>
        </w:rPr>
        <w:t xml:space="preserve">la </w:t>
      </w:r>
      <w:r w:rsidR="00891D8F" w:rsidRPr="00433255">
        <w:rPr>
          <w:rFonts w:ascii="Times New Roman" w:hAnsi="Times New Roman"/>
          <w:szCs w:val="24"/>
        </w:rPr>
        <w:t xml:space="preserve">somme de 31 </w:t>
      </w:r>
      <w:r w:rsidRPr="00433255">
        <w:rPr>
          <w:rFonts w:ascii="Times New Roman" w:hAnsi="Times New Roman"/>
          <w:szCs w:val="24"/>
        </w:rPr>
        <w:t>826,63 € (SR n° 11-1, 12-1 et 13-1 : 3</w:t>
      </w:r>
      <w:r w:rsidR="00891D8F" w:rsidRPr="00433255">
        <w:rPr>
          <w:rFonts w:ascii="Times New Roman" w:hAnsi="Times New Roman"/>
          <w:szCs w:val="24"/>
        </w:rPr>
        <w:t xml:space="preserve"> </w:t>
      </w:r>
      <w:r w:rsidRPr="00433255">
        <w:rPr>
          <w:rFonts w:ascii="Times New Roman" w:hAnsi="Times New Roman"/>
          <w:szCs w:val="24"/>
        </w:rPr>
        <w:t>007,98 € + 19</w:t>
      </w:r>
      <w:r w:rsidR="00891D8F" w:rsidRPr="00433255">
        <w:rPr>
          <w:rFonts w:ascii="Times New Roman" w:hAnsi="Times New Roman"/>
          <w:szCs w:val="24"/>
        </w:rPr>
        <w:t> </w:t>
      </w:r>
      <w:r w:rsidRPr="00433255">
        <w:rPr>
          <w:rFonts w:ascii="Times New Roman" w:hAnsi="Times New Roman"/>
          <w:szCs w:val="24"/>
        </w:rPr>
        <w:t>934,33</w:t>
      </w:r>
      <w:r w:rsidR="00891D8F" w:rsidRPr="00433255">
        <w:rPr>
          <w:rFonts w:ascii="Times New Roman" w:hAnsi="Times New Roman"/>
          <w:szCs w:val="24"/>
        </w:rPr>
        <w:t> </w:t>
      </w:r>
      <w:r w:rsidRPr="00433255">
        <w:rPr>
          <w:rFonts w:ascii="Times New Roman" w:hAnsi="Times New Roman"/>
          <w:szCs w:val="24"/>
        </w:rPr>
        <w:t>€ + 8</w:t>
      </w:r>
      <w:r w:rsidR="00891D8F" w:rsidRPr="00433255">
        <w:rPr>
          <w:rFonts w:ascii="Times New Roman" w:hAnsi="Times New Roman"/>
          <w:szCs w:val="24"/>
        </w:rPr>
        <w:t xml:space="preserve"> </w:t>
      </w:r>
      <w:r w:rsidRPr="00433255">
        <w:rPr>
          <w:rFonts w:ascii="Times New Roman" w:hAnsi="Times New Roman"/>
          <w:szCs w:val="24"/>
        </w:rPr>
        <w:t>884,32 €)</w:t>
      </w:r>
      <w:r w:rsidR="00795630" w:rsidRPr="00433255">
        <w:rPr>
          <w:rFonts w:ascii="Times New Roman" w:hAnsi="Times New Roman"/>
          <w:szCs w:val="24"/>
        </w:rPr>
        <w:t> ;</w:t>
      </w:r>
    </w:p>
    <w:p w:rsidR="002453D4" w:rsidRPr="00433255" w:rsidRDefault="002453D4" w:rsidP="00433255">
      <w:pPr>
        <w:pStyle w:val="PS"/>
        <w:spacing w:after="240"/>
      </w:pPr>
      <w:r w:rsidRPr="00433255">
        <w:t>Attendu que, lorsqu’un débet est prononcé à l’encontre de comptables de fait solidaires, chacun d’eux est tenu « </w:t>
      </w:r>
      <w:r w:rsidRPr="00433255">
        <w:rPr>
          <w:i/>
        </w:rPr>
        <w:t xml:space="preserve">in solidum » </w:t>
      </w:r>
      <w:r w:rsidRPr="00433255">
        <w:t>d’en acquitter le montant, sans préjudice d’éventuelles actions récursoires contre les autres ;</w:t>
      </w:r>
    </w:p>
    <w:p w:rsidR="00617F77" w:rsidRPr="00433255" w:rsidRDefault="009A166F" w:rsidP="00F37828">
      <w:pPr>
        <w:pStyle w:val="PS"/>
      </w:pPr>
      <w:r>
        <w:br w:type="page"/>
      </w:r>
      <w:r w:rsidR="00617F77" w:rsidRPr="00433255">
        <w:lastRenderedPageBreak/>
        <w:t>Attendu qu’aux termes du paragraphe VIII de l’article 60 modifié de la loi n°</w:t>
      </w:r>
      <w:r w:rsidR="00433255" w:rsidRPr="00433255">
        <w:t> </w:t>
      </w:r>
      <w:r w:rsidR="00617F77" w:rsidRPr="00433255">
        <w:t>63-156 susvisée, « les débets portent intérêt au taux légal à compter du premier acte de la mise en jeu de la responsabilité personnelle et pécuniaire des comptables publics</w:t>
      </w:r>
      <w:r w:rsidR="00433255" w:rsidRPr="00433255">
        <w:t> </w:t>
      </w:r>
      <w:r w:rsidR="00617F77" w:rsidRPr="00433255">
        <w:t>»</w:t>
      </w:r>
      <w:r w:rsidR="00433255" w:rsidRPr="00433255">
        <w:t> </w:t>
      </w:r>
      <w:r w:rsidR="00617F77" w:rsidRPr="00433255">
        <w:t>; qu’en l’espèce, le point de départ des intérêts du débet doit être fixé au 12</w:t>
      </w:r>
      <w:r w:rsidR="00433255" w:rsidRPr="00433255">
        <w:t> </w:t>
      </w:r>
      <w:r w:rsidR="00617F77" w:rsidRPr="00433255">
        <w:t>septembre 2008, date à laquelle la Cour des comptes a prononcé l’injonction de reversement précitée ;</w:t>
      </w:r>
    </w:p>
    <w:p w:rsidR="00617F77" w:rsidRPr="00433255" w:rsidRDefault="00433255" w:rsidP="00433255">
      <w:pPr>
        <w:pStyle w:val="Titre3"/>
        <w:ind w:left="2835"/>
        <w:rPr>
          <w:u w:val="single"/>
        </w:rPr>
      </w:pPr>
      <w:r w:rsidRPr="00433255">
        <w:t>III.</w:t>
      </w:r>
      <w:r w:rsidRPr="00433255">
        <w:tab/>
      </w:r>
      <w:r w:rsidR="00617F77" w:rsidRPr="00433255">
        <w:rPr>
          <w:u w:val="single"/>
        </w:rPr>
        <w:t xml:space="preserve">Sur les amendes </w:t>
      </w:r>
      <w:r w:rsidR="00EC11BD" w:rsidRPr="00433255">
        <w:rPr>
          <w:u w:val="single"/>
        </w:rPr>
        <w:t>pour</w:t>
      </w:r>
      <w:r w:rsidR="00617F77" w:rsidRPr="00433255">
        <w:rPr>
          <w:u w:val="single"/>
        </w:rPr>
        <w:t xml:space="preserve"> gestion de fait</w:t>
      </w:r>
    </w:p>
    <w:p w:rsidR="00617F77" w:rsidRPr="00433255" w:rsidRDefault="00617F77" w:rsidP="00263872">
      <w:pPr>
        <w:pStyle w:val="ParagrapheStandard"/>
        <w:spacing w:before="300"/>
        <w:ind w:left="1701"/>
        <w:rPr>
          <w:rFonts w:ascii="Times New Roman" w:hAnsi="Times New Roman"/>
          <w:szCs w:val="24"/>
        </w:rPr>
      </w:pPr>
      <w:r w:rsidRPr="00433255">
        <w:rPr>
          <w:rFonts w:ascii="Times New Roman" w:hAnsi="Times New Roman"/>
          <w:szCs w:val="24"/>
        </w:rPr>
        <w:t>Attendu qu'aux termes des dispositions de l'article L.</w:t>
      </w:r>
      <w:r w:rsidR="00FC76C2">
        <w:rPr>
          <w:rFonts w:ascii="Times New Roman" w:hAnsi="Times New Roman"/>
          <w:szCs w:val="24"/>
        </w:rPr>
        <w:t> </w:t>
      </w:r>
      <w:r w:rsidRPr="00433255">
        <w:rPr>
          <w:rFonts w:ascii="Times New Roman" w:hAnsi="Times New Roman"/>
          <w:szCs w:val="24"/>
        </w:rPr>
        <w:t>131-11 du code des juridictions financières, les comptables de fait peuvent, dans le cas où ils n'ont pas fait l'objet des poursuites prévues à l'article L.</w:t>
      </w:r>
      <w:r w:rsidR="00FC76C2">
        <w:rPr>
          <w:rFonts w:ascii="Times New Roman" w:hAnsi="Times New Roman"/>
          <w:szCs w:val="24"/>
        </w:rPr>
        <w:t> </w:t>
      </w:r>
      <w:r w:rsidRPr="00433255">
        <w:rPr>
          <w:rFonts w:ascii="Times New Roman" w:hAnsi="Times New Roman"/>
          <w:szCs w:val="24"/>
        </w:rPr>
        <w:t>433-12 du code pénal, être condamnés à l'amende par la Cour des comptes en raison de leur immixtion dans les fonctions de comptable public; que cette amende doit être calculée en tenant compte de l'importance et de la durée du maniement des deniers publics, sans pouvoir dépasser le total des sommes indûment détenues ou maniées</w:t>
      </w:r>
      <w:r w:rsidR="003E3CCA" w:rsidRPr="00433255">
        <w:rPr>
          <w:rFonts w:ascii="Times New Roman" w:hAnsi="Times New Roman"/>
          <w:szCs w:val="24"/>
        </w:rPr>
        <w:t xml:space="preserve"> </w:t>
      </w:r>
      <w:r w:rsidRPr="00433255">
        <w:rPr>
          <w:rFonts w:ascii="Times New Roman" w:hAnsi="Times New Roman"/>
          <w:szCs w:val="24"/>
        </w:rPr>
        <w:t>;</w:t>
      </w:r>
    </w:p>
    <w:p w:rsidR="00617F77" w:rsidRPr="00433255" w:rsidRDefault="00617F77" w:rsidP="00A40035">
      <w:pPr>
        <w:pStyle w:val="ParagrapheStandard"/>
        <w:ind w:left="1701"/>
        <w:rPr>
          <w:rFonts w:ascii="Times New Roman" w:hAnsi="Times New Roman"/>
          <w:szCs w:val="24"/>
        </w:rPr>
      </w:pPr>
      <w:r w:rsidRPr="00433255">
        <w:rPr>
          <w:rFonts w:ascii="Times New Roman" w:hAnsi="Times New Roman"/>
          <w:szCs w:val="24"/>
        </w:rPr>
        <w:t>Attendu que l’arrêt n°</w:t>
      </w:r>
      <w:r w:rsidR="0014479F" w:rsidRPr="00433255">
        <w:rPr>
          <w:rFonts w:ascii="Times New Roman" w:hAnsi="Times New Roman"/>
          <w:szCs w:val="24"/>
        </w:rPr>
        <w:t xml:space="preserve"> </w:t>
      </w:r>
      <w:r w:rsidRPr="00433255">
        <w:rPr>
          <w:rFonts w:ascii="Times New Roman" w:hAnsi="Times New Roman"/>
          <w:szCs w:val="24"/>
        </w:rPr>
        <w:t xml:space="preserve">52866 du 12 septembre 2008 susvisé a condamné à titre provisoire Mme </w:t>
      </w:r>
      <w:r w:rsidR="00CF4560">
        <w:rPr>
          <w:rFonts w:ascii="Times New Roman" w:hAnsi="Times New Roman"/>
          <w:szCs w:val="24"/>
        </w:rPr>
        <w:t>Z</w:t>
      </w:r>
      <w:r w:rsidRPr="00433255">
        <w:rPr>
          <w:rFonts w:ascii="Times New Roman" w:hAnsi="Times New Roman"/>
          <w:szCs w:val="24"/>
        </w:rPr>
        <w:t xml:space="preserve"> à une amende de 12</w:t>
      </w:r>
      <w:r w:rsidR="00FC76C2">
        <w:rPr>
          <w:rFonts w:ascii="Times New Roman" w:hAnsi="Times New Roman"/>
          <w:szCs w:val="24"/>
        </w:rPr>
        <w:t> </w:t>
      </w:r>
      <w:r w:rsidRPr="00433255">
        <w:rPr>
          <w:rFonts w:ascii="Times New Roman" w:hAnsi="Times New Roman"/>
          <w:szCs w:val="24"/>
        </w:rPr>
        <w:t xml:space="preserve">000 €, MM. </w:t>
      </w:r>
      <w:r w:rsidR="00CF4560">
        <w:rPr>
          <w:rFonts w:ascii="Times New Roman" w:hAnsi="Times New Roman"/>
          <w:szCs w:val="24"/>
        </w:rPr>
        <w:t>Y</w:t>
      </w:r>
      <w:r w:rsidRPr="00433255">
        <w:rPr>
          <w:rFonts w:ascii="Times New Roman" w:hAnsi="Times New Roman"/>
          <w:szCs w:val="24"/>
        </w:rPr>
        <w:t xml:space="preserve"> et </w:t>
      </w:r>
      <w:r w:rsidR="00D03506">
        <w:rPr>
          <w:rFonts w:ascii="Times New Roman" w:hAnsi="Times New Roman"/>
          <w:szCs w:val="24"/>
        </w:rPr>
        <w:t xml:space="preserve">G </w:t>
      </w:r>
      <w:r w:rsidRPr="00433255">
        <w:rPr>
          <w:rFonts w:ascii="Times New Roman" w:hAnsi="Times New Roman"/>
          <w:szCs w:val="24"/>
        </w:rPr>
        <w:t>à une amende de 2</w:t>
      </w:r>
      <w:r w:rsidR="00FC76C2">
        <w:rPr>
          <w:rFonts w:ascii="Times New Roman" w:hAnsi="Times New Roman"/>
          <w:szCs w:val="24"/>
        </w:rPr>
        <w:t> </w:t>
      </w:r>
      <w:r w:rsidR="00D03506">
        <w:rPr>
          <w:rFonts w:ascii="Times New Roman" w:hAnsi="Times New Roman"/>
          <w:szCs w:val="24"/>
        </w:rPr>
        <w:t> 500 </w:t>
      </w:r>
      <w:r w:rsidR="00E4299D">
        <w:rPr>
          <w:rFonts w:ascii="Times New Roman" w:hAnsi="Times New Roman"/>
          <w:szCs w:val="24"/>
        </w:rPr>
        <w:t xml:space="preserve">€ chacun, M. </w:t>
      </w:r>
      <w:r w:rsidR="00CF4560">
        <w:rPr>
          <w:rFonts w:ascii="Times New Roman" w:hAnsi="Times New Roman"/>
          <w:szCs w:val="24"/>
        </w:rPr>
        <w:t>X</w:t>
      </w:r>
      <w:r w:rsidRPr="00433255">
        <w:rPr>
          <w:rFonts w:ascii="Times New Roman" w:hAnsi="Times New Roman"/>
          <w:szCs w:val="24"/>
        </w:rPr>
        <w:t xml:space="preserve"> à une amende de 1</w:t>
      </w:r>
      <w:r w:rsidR="00FC76C2">
        <w:rPr>
          <w:rFonts w:ascii="Times New Roman" w:hAnsi="Times New Roman"/>
          <w:szCs w:val="24"/>
        </w:rPr>
        <w:t> </w:t>
      </w:r>
      <w:r w:rsidRPr="00433255">
        <w:rPr>
          <w:rFonts w:ascii="Times New Roman" w:hAnsi="Times New Roman"/>
          <w:szCs w:val="24"/>
        </w:rPr>
        <w:t>500</w:t>
      </w:r>
      <w:r w:rsidR="00FC76C2">
        <w:rPr>
          <w:rFonts w:ascii="Times New Roman" w:hAnsi="Times New Roman"/>
          <w:szCs w:val="24"/>
        </w:rPr>
        <w:t> </w:t>
      </w:r>
      <w:r w:rsidRPr="00433255">
        <w:rPr>
          <w:rFonts w:ascii="Times New Roman" w:hAnsi="Times New Roman"/>
          <w:szCs w:val="24"/>
        </w:rPr>
        <w:t>€, M.</w:t>
      </w:r>
      <w:r w:rsidR="003E3CCA" w:rsidRPr="00433255">
        <w:rPr>
          <w:rFonts w:ascii="Times New Roman" w:hAnsi="Times New Roman"/>
          <w:szCs w:val="24"/>
        </w:rPr>
        <w:t> </w:t>
      </w:r>
      <w:r w:rsidR="00D03506">
        <w:rPr>
          <w:rFonts w:ascii="Times New Roman" w:hAnsi="Times New Roman"/>
          <w:szCs w:val="24"/>
        </w:rPr>
        <w:t>F</w:t>
      </w:r>
      <w:r w:rsidR="00D03506" w:rsidRPr="00433255">
        <w:rPr>
          <w:rFonts w:ascii="Times New Roman" w:hAnsi="Times New Roman"/>
          <w:szCs w:val="24"/>
        </w:rPr>
        <w:t xml:space="preserve"> </w:t>
      </w:r>
      <w:r w:rsidRPr="00433255">
        <w:rPr>
          <w:rFonts w:ascii="Times New Roman" w:hAnsi="Times New Roman"/>
          <w:szCs w:val="24"/>
        </w:rPr>
        <w:t>à une amende de 1</w:t>
      </w:r>
      <w:r w:rsidR="00FC76C2">
        <w:rPr>
          <w:rFonts w:ascii="Times New Roman" w:hAnsi="Times New Roman"/>
          <w:szCs w:val="24"/>
        </w:rPr>
        <w:t> </w:t>
      </w:r>
      <w:r w:rsidRPr="00433255">
        <w:rPr>
          <w:rFonts w:ascii="Times New Roman" w:hAnsi="Times New Roman"/>
          <w:szCs w:val="24"/>
        </w:rPr>
        <w:t xml:space="preserve">000 €, MM. </w:t>
      </w:r>
      <w:r w:rsidR="00CF4560">
        <w:rPr>
          <w:rFonts w:ascii="Times New Roman" w:hAnsi="Times New Roman"/>
          <w:szCs w:val="24"/>
        </w:rPr>
        <w:t>C</w:t>
      </w:r>
      <w:r w:rsidRPr="00433255">
        <w:rPr>
          <w:rFonts w:ascii="Times New Roman" w:hAnsi="Times New Roman"/>
          <w:szCs w:val="24"/>
        </w:rPr>
        <w:t xml:space="preserve"> et </w:t>
      </w:r>
      <w:r w:rsidR="00CF4560">
        <w:rPr>
          <w:rFonts w:ascii="Times New Roman" w:hAnsi="Times New Roman"/>
          <w:szCs w:val="24"/>
        </w:rPr>
        <w:t>E</w:t>
      </w:r>
      <w:r w:rsidRPr="00433255">
        <w:rPr>
          <w:rFonts w:ascii="Times New Roman" w:hAnsi="Times New Roman"/>
          <w:szCs w:val="24"/>
        </w:rPr>
        <w:t xml:space="preserve"> à une amende de 750</w:t>
      </w:r>
      <w:r w:rsidR="003E3CCA" w:rsidRPr="00433255">
        <w:rPr>
          <w:rFonts w:ascii="Times New Roman" w:hAnsi="Times New Roman"/>
          <w:szCs w:val="24"/>
        </w:rPr>
        <w:t> </w:t>
      </w:r>
      <w:r w:rsidRPr="00433255">
        <w:rPr>
          <w:rFonts w:ascii="Times New Roman" w:hAnsi="Times New Roman"/>
          <w:szCs w:val="24"/>
        </w:rPr>
        <w:t xml:space="preserve">€ chacun, Mme </w:t>
      </w:r>
      <w:r w:rsidR="00CF4560">
        <w:rPr>
          <w:rFonts w:ascii="Times New Roman" w:hAnsi="Times New Roman"/>
          <w:szCs w:val="24"/>
        </w:rPr>
        <w:t>D</w:t>
      </w:r>
      <w:r w:rsidRPr="00433255">
        <w:rPr>
          <w:rFonts w:ascii="Times New Roman" w:hAnsi="Times New Roman"/>
          <w:szCs w:val="24"/>
        </w:rPr>
        <w:t xml:space="preserve"> et M. </w:t>
      </w:r>
      <w:r w:rsidR="00D03506">
        <w:rPr>
          <w:rFonts w:ascii="Times New Roman" w:hAnsi="Times New Roman"/>
          <w:szCs w:val="24"/>
        </w:rPr>
        <w:t>H</w:t>
      </w:r>
      <w:r w:rsidR="00D03506" w:rsidRPr="00433255">
        <w:rPr>
          <w:rFonts w:ascii="Times New Roman" w:hAnsi="Times New Roman"/>
          <w:szCs w:val="24"/>
        </w:rPr>
        <w:t xml:space="preserve"> </w:t>
      </w:r>
      <w:r w:rsidRPr="00433255">
        <w:rPr>
          <w:rFonts w:ascii="Times New Roman" w:hAnsi="Times New Roman"/>
          <w:szCs w:val="24"/>
        </w:rPr>
        <w:t>à une amende de 500</w:t>
      </w:r>
      <w:r w:rsidR="00FC76C2">
        <w:rPr>
          <w:rFonts w:ascii="Times New Roman" w:hAnsi="Times New Roman"/>
          <w:szCs w:val="24"/>
        </w:rPr>
        <w:t> </w:t>
      </w:r>
      <w:r w:rsidRPr="00433255">
        <w:rPr>
          <w:rFonts w:ascii="Times New Roman" w:hAnsi="Times New Roman"/>
          <w:szCs w:val="24"/>
        </w:rPr>
        <w:t>€ chacun et M.</w:t>
      </w:r>
      <w:r w:rsidR="003C5CC1" w:rsidRPr="00433255">
        <w:rPr>
          <w:rFonts w:ascii="Times New Roman" w:hAnsi="Times New Roman"/>
          <w:szCs w:val="24"/>
        </w:rPr>
        <w:t> </w:t>
      </w:r>
      <w:r w:rsidR="00D30938">
        <w:rPr>
          <w:rFonts w:ascii="Times New Roman" w:hAnsi="Times New Roman"/>
          <w:szCs w:val="24"/>
        </w:rPr>
        <w:t>I</w:t>
      </w:r>
      <w:r w:rsidRPr="00433255">
        <w:rPr>
          <w:rFonts w:ascii="Times New Roman" w:hAnsi="Times New Roman"/>
          <w:szCs w:val="24"/>
        </w:rPr>
        <w:t xml:space="preserve"> à une amende de 250</w:t>
      </w:r>
      <w:r w:rsidR="0014479F" w:rsidRPr="00433255">
        <w:rPr>
          <w:rFonts w:ascii="Times New Roman" w:hAnsi="Times New Roman"/>
          <w:szCs w:val="24"/>
        </w:rPr>
        <w:t> </w:t>
      </w:r>
      <w:r w:rsidRPr="00433255">
        <w:rPr>
          <w:rFonts w:ascii="Times New Roman" w:hAnsi="Times New Roman"/>
          <w:szCs w:val="24"/>
        </w:rPr>
        <w:t>€ ;</w:t>
      </w:r>
    </w:p>
    <w:p w:rsidR="00617F77" w:rsidRPr="00433255" w:rsidRDefault="00617F77" w:rsidP="00A40035">
      <w:pPr>
        <w:pStyle w:val="ParagrapheStandard"/>
        <w:ind w:left="1701"/>
        <w:rPr>
          <w:rFonts w:ascii="Times New Roman" w:hAnsi="Times New Roman"/>
          <w:szCs w:val="24"/>
        </w:rPr>
      </w:pPr>
      <w:r w:rsidRPr="00433255">
        <w:rPr>
          <w:rFonts w:ascii="Times New Roman" w:hAnsi="Times New Roman"/>
          <w:szCs w:val="24"/>
        </w:rPr>
        <w:t>Considérant que la Cour a pris en considération l’importance et la durée des sommes maniées respectivement par chacun des comptables de fait, l’existence d’un continuum issu de pratiques irrégulières très anciennes, l’absence d’avantages personnels et pécuniaires tirés de la gestion irrégulière, sauf dans le cas de Mme</w:t>
      </w:r>
      <w:r w:rsidR="00E41853" w:rsidRPr="00433255">
        <w:rPr>
          <w:rFonts w:ascii="Times New Roman" w:hAnsi="Times New Roman"/>
          <w:szCs w:val="24"/>
        </w:rPr>
        <w:t> </w:t>
      </w:r>
      <w:r w:rsidR="00CF4560">
        <w:rPr>
          <w:rFonts w:ascii="Times New Roman" w:hAnsi="Times New Roman"/>
          <w:szCs w:val="24"/>
        </w:rPr>
        <w:t>Z</w:t>
      </w:r>
      <w:r w:rsidRPr="00433255">
        <w:rPr>
          <w:rFonts w:ascii="Times New Roman" w:hAnsi="Times New Roman"/>
          <w:szCs w:val="24"/>
        </w:rPr>
        <w:t>, et le fait que les intéressés se sont prêtés à la régularisation du dispositif ;</w:t>
      </w:r>
    </w:p>
    <w:p w:rsidR="007D77EF" w:rsidRPr="00433255" w:rsidRDefault="00617F77" w:rsidP="0015631A">
      <w:pPr>
        <w:pStyle w:val="ParagrapheStandard"/>
        <w:ind w:left="1701"/>
        <w:rPr>
          <w:rFonts w:ascii="Times New Roman" w:hAnsi="Times New Roman"/>
          <w:szCs w:val="24"/>
        </w:rPr>
      </w:pPr>
      <w:r w:rsidRPr="00433255">
        <w:rPr>
          <w:rFonts w:ascii="Times New Roman" w:hAnsi="Times New Roman"/>
          <w:szCs w:val="24"/>
        </w:rPr>
        <w:t>Considérant que les lettres reçues respectivement le 11 novembre 2008 de M.</w:t>
      </w:r>
      <w:r w:rsidR="00E41853" w:rsidRPr="00433255">
        <w:rPr>
          <w:rFonts w:ascii="Times New Roman" w:hAnsi="Times New Roman"/>
          <w:szCs w:val="24"/>
        </w:rPr>
        <w:t> </w:t>
      </w:r>
      <w:r w:rsidR="00CF4560">
        <w:rPr>
          <w:rFonts w:ascii="Times New Roman" w:hAnsi="Times New Roman"/>
          <w:szCs w:val="24"/>
        </w:rPr>
        <w:t>E</w:t>
      </w:r>
      <w:r w:rsidRPr="00433255">
        <w:rPr>
          <w:rFonts w:ascii="Times New Roman" w:hAnsi="Times New Roman"/>
          <w:szCs w:val="24"/>
        </w:rPr>
        <w:t xml:space="preserve">, le 18 novembre 2008, de M. </w:t>
      </w:r>
      <w:r w:rsidR="00CF4560">
        <w:rPr>
          <w:rFonts w:ascii="Times New Roman" w:hAnsi="Times New Roman"/>
          <w:szCs w:val="24"/>
        </w:rPr>
        <w:t>C</w:t>
      </w:r>
      <w:r w:rsidRPr="00433255">
        <w:rPr>
          <w:rFonts w:ascii="Times New Roman" w:hAnsi="Times New Roman"/>
          <w:szCs w:val="24"/>
        </w:rPr>
        <w:t xml:space="preserve"> et le 8 janvier 2009 de Mme</w:t>
      </w:r>
      <w:r w:rsidR="00960B0E" w:rsidRPr="00433255">
        <w:rPr>
          <w:rFonts w:ascii="Times New Roman" w:hAnsi="Times New Roman"/>
          <w:szCs w:val="24"/>
        </w:rPr>
        <w:t> </w:t>
      </w:r>
      <w:r w:rsidR="00CF4560">
        <w:rPr>
          <w:rFonts w:ascii="Times New Roman" w:hAnsi="Times New Roman"/>
          <w:szCs w:val="24"/>
        </w:rPr>
        <w:t>Z</w:t>
      </w:r>
      <w:r w:rsidRPr="00433255">
        <w:rPr>
          <w:rFonts w:ascii="Times New Roman" w:hAnsi="Times New Roman"/>
          <w:szCs w:val="24"/>
        </w:rPr>
        <w:t xml:space="preserve"> n’apportent pas d’élément proprement nouveau ; qu’il y a donc lieu de confirmer les condamnations prononcées dans l’arrêt n°</w:t>
      </w:r>
      <w:r w:rsidR="003E3CCA" w:rsidRPr="00433255">
        <w:rPr>
          <w:rFonts w:ascii="Times New Roman" w:hAnsi="Times New Roman"/>
          <w:szCs w:val="24"/>
        </w:rPr>
        <w:t xml:space="preserve"> </w:t>
      </w:r>
      <w:r w:rsidRPr="00433255">
        <w:rPr>
          <w:rFonts w:ascii="Times New Roman" w:hAnsi="Times New Roman"/>
          <w:szCs w:val="24"/>
        </w:rPr>
        <w:t>52866 du 12 septembre 2008 ;</w:t>
      </w:r>
    </w:p>
    <w:p w:rsidR="0029662A" w:rsidRDefault="00617F77" w:rsidP="0015631A">
      <w:pPr>
        <w:pStyle w:val="ps0"/>
        <w:ind w:left="1701" w:firstLine="1134"/>
        <w:jc w:val="both"/>
      </w:pPr>
      <w:r w:rsidRPr="00433255">
        <w:t>Par ces motifs,</w:t>
      </w:r>
    </w:p>
    <w:p w:rsidR="00263872" w:rsidRDefault="00263872" w:rsidP="009A166F">
      <w:pPr>
        <w:pStyle w:val="ps0"/>
        <w:spacing w:before="120" w:beforeAutospacing="0" w:after="120" w:afterAutospacing="0"/>
        <w:ind w:left="1701"/>
        <w:jc w:val="center"/>
      </w:pPr>
      <w:r>
        <w:t>STATUANT DEFINITIVEMENT</w:t>
      </w:r>
    </w:p>
    <w:p w:rsidR="0029662A" w:rsidRPr="00433255" w:rsidRDefault="00FC76C2" w:rsidP="009A166F">
      <w:pPr>
        <w:pStyle w:val="ps0"/>
        <w:spacing w:before="120" w:beforeAutospacing="0" w:after="120" w:afterAutospacing="0"/>
        <w:ind w:left="1701"/>
        <w:jc w:val="center"/>
      </w:pPr>
      <w:r>
        <w:t>ORDONNE</w:t>
      </w:r>
      <w:r w:rsidR="00617F77" w:rsidRPr="00433255">
        <w:t> :</w:t>
      </w:r>
    </w:p>
    <w:p w:rsidR="00803993" w:rsidRPr="00433255" w:rsidRDefault="00617F77" w:rsidP="0015631A">
      <w:pPr>
        <w:pStyle w:val="ps0"/>
        <w:ind w:left="1701" w:firstLine="1134"/>
        <w:jc w:val="both"/>
      </w:pPr>
      <w:r w:rsidRPr="0015631A">
        <w:rPr>
          <w:u w:val="single"/>
        </w:rPr>
        <w:t>Article 1</w:t>
      </w:r>
      <w:r w:rsidRPr="00433255">
        <w:t> : l’injonction prononcée par l’arrêt n°</w:t>
      </w:r>
      <w:r w:rsidR="003C5CC1" w:rsidRPr="00433255">
        <w:t xml:space="preserve"> </w:t>
      </w:r>
      <w:r w:rsidRPr="00433255">
        <w:t>52866 du 12 septembre 2008 est levée ;</w:t>
      </w:r>
    </w:p>
    <w:p w:rsidR="007D77EF" w:rsidRPr="00433255" w:rsidRDefault="00617F77" w:rsidP="0015631A">
      <w:pPr>
        <w:pStyle w:val="ps0"/>
        <w:ind w:left="1701" w:firstLine="1134"/>
        <w:jc w:val="both"/>
      </w:pPr>
      <w:r w:rsidRPr="0015631A">
        <w:rPr>
          <w:u w:val="single"/>
        </w:rPr>
        <w:t>Article 2</w:t>
      </w:r>
      <w:r w:rsidRPr="00433255">
        <w:t> : La ligne de compte de la gestion de fait est fixée comme ci</w:t>
      </w:r>
      <w:r w:rsidR="00FC76C2">
        <w:noBreakHyphen/>
      </w:r>
      <w:r w:rsidRPr="00433255">
        <w:t>après</w:t>
      </w:r>
      <w:r w:rsidR="00FC76C2">
        <w:t> </w:t>
      </w:r>
      <w:r w:rsidRPr="00433255">
        <w:t>:</w:t>
      </w:r>
    </w:p>
    <w:p w:rsidR="00617F77" w:rsidRPr="00433255" w:rsidRDefault="00FC76C2" w:rsidP="0015631A">
      <w:pPr>
        <w:pStyle w:val="ps0"/>
        <w:spacing w:before="120" w:beforeAutospacing="0" w:after="120" w:afterAutospacing="0"/>
        <w:ind w:left="1701" w:firstLine="1134"/>
        <w:jc w:val="both"/>
      </w:pPr>
      <w:r>
        <w:t>* </w:t>
      </w:r>
      <w:r w:rsidR="00617F77" w:rsidRPr="00433255">
        <w:t>Les recettes sont admises pour 568.622,57 € ;</w:t>
      </w:r>
    </w:p>
    <w:p w:rsidR="0029662A" w:rsidRPr="00433255" w:rsidRDefault="00FC76C2" w:rsidP="0015631A">
      <w:pPr>
        <w:pStyle w:val="ps0"/>
        <w:spacing w:before="120" w:beforeAutospacing="0" w:after="120" w:afterAutospacing="0"/>
        <w:ind w:left="1701" w:firstLine="1134"/>
        <w:jc w:val="both"/>
      </w:pPr>
      <w:r>
        <w:t>* </w:t>
      </w:r>
      <w:r w:rsidR="00617F77" w:rsidRPr="00433255">
        <w:t>Les dépenses sont allouées pour 521.060,35 € ;</w:t>
      </w:r>
    </w:p>
    <w:p w:rsidR="007C1DBF" w:rsidRPr="00433255" w:rsidRDefault="00FC76C2" w:rsidP="0015631A">
      <w:pPr>
        <w:pStyle w:val="ps0"/>
        <w:spacing w:before="0" w:beforeAutospacing="0" w:after="0" w:afterAutospacing="0"/>
        <w:ind w:left="2977" w:hanging="142"/>
        <w:jc w:val="both"/>
      </w:pPr>
      <w:r>
        <w:t>* </w:t>
      </w:r>
      <w:r w:rsidR="00617F77" w:rsidRPr="00433255">
        <w:t>L'excédent des recettes admises sur les</w:t>
      </w:r>
      <w:r w:rsidR="0015631A">
        <w:t xml:space="preserve"> dépenses allouées s'élève à  47 </w:t>
      </w:r>
      <w:r w:rsidR="00617F77" w:rsidRPr="00433255">
        <w:t>562,22 € ;</w:t>
      </w:r>
    </w:p>
    <w:p w:rsidR="00617F77" w:rsidRPr="0015631A" w:rsidRDefault="009A166F" w:rsidP="0015631A">
      <w:pPr>
        <w:pStyle w:val="ps0"/>
        <w:spacing w:before="120" w:beforeAutospacing="0" w:after="120" w:afterAutospacing="0"/>
        <w:ind w:left="1701" w:firstLine="1134"/>
        <w:jc w:val="both"/>
      </w:pPr>
      <w:r>
        <w:rPr>
          <w:u w:val="single"/>
        </w:rPr>
        <w:br w:type="page"/>
      </w:r>
      <w:r w:rsidR="00617F77" w:rsidRPr="0015631A">
        <w:rPr>
          <w:u w:val="single"/>
        </w:rPr>
        <w:lastRenderedPageBreak/>
        <w:t>Article 3</w:t>
      </w:r>
      <w:r w:rsidR="00617F77" w:rsidRPr="0015631A">
        <w:t> :</w:t>
      </w:r>
    </w:p>
    <w:p w:rsidR="00617F77" w:rsidRPr="00433255" w:rsidRDefault="00617F77" w:rsidP="0015631A">
      <w:pPr>
        <w:pStyle w:val="ps0"/>
        <w:ind w:left="1701" w:firstLine="1134"/>
        <w:jc w:val="both"/>
      </w:pPr>
      <w:r w:rsidRPr="00433255">
        <w:t>Sont constitués conjointement et solidairement débiteurs envers l’Etat :</w:t>
      </w:r>
    </w:p>
    <w:p w:rsidR="00617F77" w:rsidRPr="00433255" w:rsidRDefault="00FC76C2" w:rsidP="009A166F">
      <w:pPr>
        <w:pStyle w:val="ParagrapheStandard"/>
        <w:ind w:left="2268" w:firstLine="0"/>
        <w:rPr>
          <w:rFonts w:ascii="Times New Roman" w:hAnsi="Times New Roman"/>
          <w:szCs w:val="24"/>
        </w:rPr>
      </w:pPr>
      <w:r>
        <w:rPr>
          <w:rFonts w:ascii="Times New Roman" w:hAnsi="Times New Roman"/>
          <w:szCs w:val="24"/>
        </w:rPr>
        <w:t>-</w:t>
      </w:r>
      <w:r w:rsidR="0015631A">
        <w:rPr>
          <w:rFonts w:ascii="Times New Roman" w:hAnsi="Times New Roman"/>
          <w:szCs w:val="24"/>
        </w:rPr>
        <w:t> </w:t>
      </w:r>
      <w:r w:rsidR="00617F77" w:rsidRPr="00433255">
        <w:rPr>
          <w:rFonts w:ascii="Times New Roman" w:hAnsi="Times New Roman"/>
          <w:szCs w:val="24"/>
        </w:rPr>
        <w:t xml:space="preserve">Mme </w:t>
      </w:r>
      <w:r w:rsidR="00CF4560">
        <w:rPr>
          <w:rFonts w:ascii="Times New Roman" w:hAnsi="Times New Roman"/>
          <w:szCs w:val="24"/>
        </w:rPr>
        <w:t>B</w:t>
      </w:r>
      <w:r w:rsidR="00617F77" w:rsidRPr="00433255">
        <w:rPr>
          <w:rFonts w:ascii="Times New Roman" w:hAnsi="Times New Roman"/>
          <w:szCs w:val="24"/>
        </w:rPr>
        <w:t xml:space="preserve"> et MM. </w:t>
      </w:r>
      <w:r w:rsidR="00D03506">
        <w:rPr>
          <w:rFonts w:ascii="Times New Roman" w:hAnsi="Times New Roman"/>
          <w:szCs w:val="24"/>
        </w:rPr>
        <w:t>F</w:t>
      </w:r>
      <w:r w:rsidR="00617F77" w:rsidRPr="00433255">
        <w:rPr>
          <w:rFonts w:ascii="Times New Roman" w:hAnsi="Times New Roman"/>
          <w:szCs w:val="24"/>
        </w:rPr>
        <w:t xml:space="preserve">, </w:t>
      </w:r>
      <w:r w:rsidR="00D03506">
        <w:rPr>
          <w:rFonts w:ascii="Times New Roman" w:hAnsi="Times New Roman"/>
          <w:szCs w:val="24"/>
        </w:rPr>
        <w:t xml:space="preserve">H </w:t>
      </w:r>
      <w:r w:rsidR="0015631A">
        <w:rPr>
          <w:rFonts w:ascii="Times New Roman" w:hAnsi="Times New Roman"/>
          <w:szCs w:val="24"/>
        </w:rPr>
        <w:t xml:space="preserve">et </w:t>
      </w:r>
      <w:r w:rsidR="00CF4560">
        <w:rPr>
          <w:rFonts w:ascii="Times New Roman" w:hAnsi="Times New Roman"/>
          <w:szCs w:val="24"/>
        </w:rPr>
        <w:t>X</w:t>
      </w:r>
      <w:r w:rsidR="0015631A">
        <w:rPr>
          <w:rFonts w:ascii="Times New Roman" w:hAnsi="Times New Roman"/>
          <w:szCs w:val="24"/>
        </w:rPr>
        <w:t>, de la somme de   1 </w:t>
      </w:r>
      <w:r w:rsidR="00617F77" w:rsidRPr="00433255">
        <w:rPr>
          <w:rFonts w:ascii="Times New Roman" w:hAnsi="Times New Roman"/>
          <w:szCs w:val="24"/>
        </w:rPr>
        <w:t>785,11</w:t>
      </w:r>
      <w:r w:rsidR="0015631A">
        <w:rPr>
          <w:rFonts w:ascii="Times New Roman" w:hAnsi="Times New Roman"/>
          <w:szCs w:val="24"/>
        </w:rPr>
        <w:t> </w:t>
      </w:r>
      <w:r w:rsidR="00617F77" w:rsidRPr="00433255">
        <w:rPr>
          <w:rFonts w:ascii="Times New Roman" w:hAnsi="Times New Roman"/>
          <w:szCs w:val="24"/>
        </w:rPr>
        <w:t>€ ;</w:t>
      </w:r>
    </w:p>
    <w:p w:rsidR="007C1DBF" w:rsidRPr="00433255" w:rsidRDefault="00FC76C2" w:rsidP="009A166F">
      <w:pPr>
        <w:pStyle w:val="ParagrapheStandard"/>
        <w:ind w:left="2268" w:firstLine="0"/>
        <w:rPr>
          <w:rFonts w:ascii="Times New Roman" w:hAnsi="Times New Roman"/>
          <w:szCs w:val="24"/>
        </w:rPr>
      </w:pPr>
      <w:r>
        <w:rPr>
          <w:rFonts w:ascii="Times New Roman" w:hAnsi="Times New Roman"/>
          <w:szCs w:val="24"/>
        </w:rPr>
        <w:t>-</w:t>
      </w:r>
      <w:r w:rsidR="0015631A">
        <w:rPr>
          <w:rFonts w:ascii="Times New Roman" w:hAnsi="Times New Roman"/>
          <w:szCs w:val="24"/>
        </w:rPr>
        <w:t> </w:t>
      </w:r>
      <w:r w:rsidR="00617F77" w:rsidRPr="00433255">
        <w:rPr>
          <w:rFonts w:ascii="Times New Roman" w:hAnsi="Times New Roman"/>
          <w:szCs w:val="24"/>
        </w:rPr>
        <w:t xml:space="preserve">Mme </w:t>
      </w:r>
      <w:r w:rsidR="00CF4560">
        <w:rPr>
          <w:rFonts w:ascii="Times New Roman" w:hAnsi="Times New Roman"/>
          <w:szCs w:val="24"/>
        </w:rPr>
        <w:t>B</w:t>
      </w:r>
      <w:r w:rsidR="00617F77" w:rsidRPr="00433255">
        <w:rPr>
          <w:rFonts w:ascii="Times New Roman" w:hAnsi="Times New Roman"/>
          <w:szCs w:val="24"/>
        </w:rPr>
        <w:t xml:space="preserve"> et MM. </w:t>
      </w:r>
      <w:r w:rsidR="00A94941">
        <w:rPr>
          <w:rFonts w:ascii="Times New Roman" w:hAnsi="Times New Roman"/>
          <w:szCs w:val="24"/>
        </w:rPr>
        <w:t>F</w:t>
      </w:r>
      <w:r w:rsidR="00617F77" w:rsidRPr="00433255">
        <w:rPr>
          <w:rFonts w:ascii="Times New Roman" w:hAnsi="Times New Roman"/>
          <w:szCs w:val="24"/>
        </w:rPr>
        <w:t xml:space="preserve">, </w:t>
      </w:r>
      <w:r w:rsidR="00A94941">
        <w:rPr>
          <w:rFonts w:ascii="Times New Roman" w:hAnsi="Times New Roman"/>
          <w:szCs w:val="24"/>
        </w:rPr>
        <w:t>H</w:t>
      </w:r>
      <w:r w:rsidR="00A94941" w:rsidRPr="00433255">
        <w:rPr>
          <w:rFonts w:ascii="Times New Roman" w:hAnsi="Times New Roman"/>
          <w:szCs w:val="24"/>
        </w:rPr>
        <w:t xml:space="preserve"> </w:t>
      </w:r>
      <w:r w:rsidR="00617F77" w:rsidRPr="00433255">
        <w:rPr>
          <w:rFonts w:ascii="Times New Roman" w:hAnsi="Times New Roman"/>
          <w:szCs w:val="24"/>
        </w:rPr>
        <w:t xml:space="preserve">et </w:t>
      </w:r>
      <w:r w:rsidR="00CF4560">
        <w:rPr>
          <w:rFonts w:ascii="Times New Roman" w:hAnsi="Times New Roman"/>
          <w:szCs w:val="24"/>
        </w:rPr>
        <w:t>Y</w:t>
      </w:r>
      <w:r w:rsidR="00617F77" w:rsidRPr="00433255">
        <w:rPr>
          <w:rFonts w:ascii="Times New Roman" w:hAnsi="Times New Roman"/>
          <w:szCs w:val="24"/>
        </w:rPr>
        <w:t xml:space="preserve">, de la somme de </w:t>
      </w:r>
      <w:r w:rsidR="0015631A">
        <w:rPr>
          <w:rFonts w:ascii="Times New Roman" w:hAnsi="Times New Roman"/>
          <w:szCs w:val="24"/>
        </w:rPr>
        <w:t>  </w:t>
      </w:r>
      <w:r w:rsidR="00617F77" w:rsidRPr="00433255">
        <w:rPr>
          <w:rFonts w:ascii="Times New Roman" w:hAnsi="Times New Roman"/>
          <w:szCs w:val="24"/>
        </w:rPr>
        <w:t>437,84</w:t>
      </w:r>
      <w:r w:rsidR="0015631A">
        <w:rPr>
          <w:rFonts w:ascii="Times New Roman" w:hAnsi="Times New Roman"/>
          <w:szCs w:val="24"/>
        </w:rPr>
        <w:t> </w:t>
      </w:r>
      <w:r w:rsidR="00617F77" w:rsidRPr="00433255">
        <w:rPr>
          <w:rFonts w:ascii="Times New Roman" w:hAnsi="Times New Roman"/>
          <w:szCs w:val="24"/>
        </w:rPr>
        <w:t>€ ;</w:t>
      </w:r>
    </w:p>
    <w:p w:rsidR="007C1DBF" w:rsidRPr="00433255" w:rsidRDefault="00FC76C2" w:rsidP="009A166F">
      <w:pPr>
        <w:pStyle w:val="ParagrapheStandard"/>
        <w:ind w:left="2268" w:firstLine="0"/>
        <w:rPr>
          <w:rFonts w:ascii="Times New Roman" w:hAnsi="Times New Roman"/>
          <w:szCs w:val="24"/>
        </w:rPr>
      </w:pPr>
      <w:r>
        <w:rPr>
          <w:rFonts w:ascii="Times New Roman" w:hAnsi="Times New Roman"/>
          <w:szCs w:val="24"/>
        </w:rPr>
        <w:t>-</w:t>
      </w:r>
      <w:r w:rsidR="0015631A">
        <w:rPr>
          <w:rFonts w:ascii="Times New Roman" w:hAnsi="Times New Roman"/>
          <w:szCs w:val="24"/>
        </w:rPr>
        <w:t> </w:t>
      </w:r>
      <w:r w:rsidR="007C1DBF" w:rsidRPr="00433255">
        <w:rPr>
          <w:rFonts w:ascii="Times New Roman" w:hAnsi="Times New Roman"/>
          <w:szCs w:val="24"/>
        </w:rPr>
        <w:t xml:space="preserve">MM. </w:t>
      </w:r>
      <w:r w:rsidR="00CF4560">
        <w:rPr>
          <w:rFonts w:ascii="Times New Roman" w:hAnsi="Times New Roman"/>
          <w:szCs w:val="24"/>
        </w:rPr>
        <w:t>E</w:t>
      </w:r>
      <w:r w:rsidR="007C1DBF" w:rsidRPr="00433255">
        <w:rPr>
          <w:rFonts w:ascii="Times New Roman" w:hAnsi="Times New Roman"/>
          <w:szCs w:val="24"/>
        </w:rPr>
        <w:t xml:space="preserve">, </w:t>
      </w:r>
      <w:r w:rsidR="00CF4560">
        <w:rPr>
          <w:rFonts w:ascii="Times New Roman" w:hAnsi="Times New Roman"/>
          <w:szCs w:val="24"/>
        </w:rPr>
        <w:t>G</w:t>
      </w:r>
      <w:r w:rsidR="007C1DBF" w:rsidRPr="00433255">
        <w:rPr>
          <w:rFonts w:ascii="Times New Roman" w:hAnsi="Times New Roman"/>
          <w:szCs w:val="24"/>
        </w:rPr>
        <w:t xml:space="preserve">, et </w:t>
      </w:r>
      <w:r w:rsidR="00A94941">
        <w:rPr>
          <w:rFonts w:ascii="Times New Roman" w:hAnsi="Times New Roman"/>
          <w:szCs w:val="24"/>
        </w:rPr>
        <w:t>H</w:t>
      </w:r>
      <w:r w:rsidR="00A94941" w:rsidRPr="00433255">
        <w:rPr>
          <w:rFonts w:ascii="Times New Roman" w:hAnsi="Times New Roman"/>
          <w:szCs w:val="24"/>
        </w:rPr>
        <w:t xml:space="preserve"> </w:t>
      </w:r>
      <w:r w:rsidR="007C1DBF" w:rsidRPr="00433255">
        <w:rPr>
          <w:rFonts w:ascii="Times New Roman" w:hAnsi="Times New Roman"/>
          <w:szCs w:val="24"/>
        </w:rPr>
        <w:t>e</w:t>
      </w:r>
      <w:r w:rsidR="0015631A">
        <w:rPr>
          <w:rFonts w:ascii="Times New Roman" w:hAnsi="Times New Roman"/>
          <w:szCs w:val="24"/>
        </w:rPr>
        <w:t xml:space="preserve">t Mme </w:t>
      </w:r>
      <w:r w:rsidR="00CF4560">
        <w:rPr>
          <w:rFonts w:ascii="Times New Roman" w:hAnsi="Times New Roman"/>
          <w:szCs w:val="24"/>
        </w:rPr>
        <w:t>Z</w:t>
      </w:r>
      <w:r w:rsidR="0015631A">
        <w:rPr>
          <w:rFonts w:ascii="Times New Roman" w:hAnsi="Times New Roman"/>
          <w:szCs w:val="24"/>
        </w:rPr>
        <w:t xml:space="preserve"> de la somme de   2 </w:t>
      </w:r>
      <w:r w:rsidR="007C1DBF" w:rsidRPr="00433255">
        <w:rPr>
          <w:rFonts w:ascii="Times New Roman" w:hAnsi="Times New Roman"/>
          <w:szCs w:val="24"/>
        </w:rPr>
        <w:t>593,93 €</w:t>
      </w:r>
      <w:r w:rsidR="003C5CC1" w:rsidRPr="00433255">
        <w:rPr>
          <w:rFonts w:ascii="Times New Roman" w:hAnsi="Times New Roman"/>
          <w:szCs w:val="24"/>
        </w:rPr>
        <w:t xml:space="preserve"> </w:t>
      </w:r>
      <w:r w:rsidR="007C1DBF" w:rsidRPr="00433255">
        <w:rPr>
          <w:rFonts w:ascii="Times New Roman" w:hAnsi="Times New Roman"/>
          <w:szCs w:val="24"/>
        </w:rPr>
        <w:t>;</w:t>
      </w:r>
    </w:p>
    <w:p w:rsidR="007C1DBF" w:rsidRPr="00433255" w:rsidRDefault="00FC76C2" w:rsidP="009A166F">
      <w:pPr>
        <w:pStyle w:val="ParagrapheStandard"/>
        <w:ind w:left="2268" w:firstLine="0"/>
        <w:rPr>
          <w:rFonts w:ascii="Times New Roman" w:hAnsi="Times New Roman"/>
          <w:szCs w:val="24"/>
        </w:rPr>
      </w:pPr>
      <w:r>
        <w:rPr>
          <w:rFonts w:ascii="Times New Roman" w:hAnsi="Times New Roman"/>
          <w:szCs w:val="24"/>
        </w:rPr>
        <w:t>-</w:t>
      </w:r>
      <w:r w:rsidR="0015631A">
        <w:rPr>
          <w:rFonts w:ascii="Times New Roman" w:hAnsi="Times New Roman"/>
          <w:szCs w:val="24"/>
        </w:rPr>
        <w:t> </w:t>
      </w:r>
      <w:r w:rsidR="007C1DBF" w:rsidRPr="00433255">
        <w:rPr>
          <w:rFonts w:ascii="Times New Roman" w:hAnsi="Times New Roman"/>
          <w:szCs w:val="24"/>
        </w:rPr>
        <w:t xml:space="preserve">MM. </w:t>
      </w:r>
      <w:r w:rsidR="00CF4560">
        <w:rPr>
          <w:rFonts w:ascii="Times New Roman" w:hAnsi="Times New Roman"/>
          <w:szCs w:val="24"/>
        </w:rPr>
        <w:t>E</w:t>
      </w:r>
      <w:r w:rsidR="007C1DBF" w:rsidRPr="00433255">
        <w:rPr>
          <w:rFonts w:ascii="Times New Roman" w:hAnsi="Times New Roman"/>
          <w:szCs w:val="24"/>
        </w:rPr>
        <w:t xml:space="preserve">, </w:t>
      </w:r>
      <w:r w:rsidR="00CF4560">
        <w:rPr>
          <w:rFonts w:ascii="Times New Roman" w:hAnsi="Times New Roman"/>
          <w:szCs w:val="24"/>
        </w:rPr>
        <w:t>G</w:t>
      </w:r>
      <w:r w:rsidR="007C1DBF" w:rsidRPr="00433255">
        <w:rPr>
          <w:rFonts w:ascii="Times New Roman" w:hAnsi="Times New Roman"/>
          <w:szCs w:val="24"/>
        </w:rPr>
        <w:t xml:space="preserve">, et </w:t>
      </w:r>
      <w:r w:rsidR="00D30938">
        <w:rPr>
          <w:rFonts w:ascii="Times New Roman" w:hAnsi="Times New Roman"/>
          <w:szCs w:val="24"/>
        </w:rPr>
        <w:t>I</w:t>
      </w:r>
      <w:r w:rsidR="007C1DBF" w:rsidRPr="00433255">
        <w:rPr>
          <w:rFonts w:ascii="Times New Roman" w:hAnsi="Times New Roman"/>
          <w:szCs w:val="24"/>
        </w:rPr>
        <w:t xml:space="preserve"> et</w:t>
      </w:r>
      <w:r w:rsidR="0015631A">
        <w:rPr>
          <w:rFonts w:ascii="Times New Roman" w:hAnsi="Times New Roman"/>
          <w:szCs w:val="24"/>
        </w:rPr>
        <w:t xml:space="preserve"> Mme </w:t>
      </w:r>
      <w:r w:rsidR="00CF4560">
        <w:rPr>
          <w:rFonts w:ascii="Times New Roman" w:hAnsi="Times New Roman"/>
          <w:szCs w:val="24"/>
        </w:rPr>
        <w:t>Z</w:t>
      </w:r>
      <w:r w:rsidR="0015631A">
        <w:rPr>
          <w:rFonts w:ascii="Times New Roman" w:hAnsi="Times New Roman"/>
          <w:szCs w:val="24"/>
        </w:rPr>
        <w:t xml:space="preserve"> de la somme de   10 </w:t>
      </w:r>
      <w:r w:rsidR="007C1DBF" w:rsidRPr="00433255">
        <w:rPr>
          <w:rFonts w:ascii="Times New Roman" w:hAnsi="Times New Roman"/>
          <w:szCs w:val="24"/>
        </w:rPr>
        <w:t>918,71 € ;</w:t>
      </w:r>
    </w:p>
    <w:p w:rsidR="007C1DBF" w:rsidRPr="00433255" w:rsidRDefault="00FC76C2" w:rsidP="009A166F">
      <w:pPr>
        <w:pStyle w:val="ParagrapheStandard"/>
        <w:ind w:left="2268" w:firstLine="0"/>
        <w:rPr>
          <w:rFonts w:ascii="Times New Roman" w:hAnsi="Times New Roman"/>
          <w:szCs w:val="24"/>
        </w:rPr>
      </w:pPr>
      <w:r>
        <w:rPr>
          <w:rFonts w:ascii="Times New Roman" w:hAnsi="Times New Roman"/>
          <w:szCs w:val="24"/>
        </w:rPr>
        <w:t>-</w:t>
      </w:r>
      <w:r w:rsidR="0015631A">
        <w:rPr>
          <w:rFonts w:ascii="Times New Roman" w:hAnsi="Times New Roman"/>
          <w:szCs w:val="24"/>
        </w:rPr>
        <w:t> </w:t>
      </w:r>
      <w:r w:rsidR="007C1DBF" w:rsidRPr="00433255">
        <w:rPr>
          <w:rFonts w:ascii="Times New Roman" w:hAnsi="Times New Roman"/>
          <w:szCs w:val="24"/>
        </w:rPr>
        <w:t xml:space="preserve">MM. </w:t>
      </w:r>
      <w:r w:rsidR="00CF4560">
        <w:rPr>
          <w:rFonts w:ascii="Times New Roman" w:hAnsi="Times New Roman"/>
          <w:szCs w:val="24"/>
        </w:rPr>
        <w:t>G</w:t>
      </w:r>
      <w:r w:rsidR="007C1DBF" w:rsidRPr="00433255">
        <w:rPr>
          <w:rFonts w:ascii="Times New Roman" w:hAnsi="Times New Roman"/>
          <w:szCs w:val="24"/>
        </w:rPr>
        <w:t xml:space="preserve">, et </w:t>
      </w:r>
      <w:r w:rsidR="00D30938">
        <w:rPr>
          <w:rFonts w:ascii="Times New Roman" w:hAnsi="Times New Roman"/>
          <w:szCs w:val="24"/>
        </w:rPr>
        <w:t>I</w:t>
      </w:r>
      <w:r w:rsidR="007C1DBF" w:rsidRPr="00433255">
        <w:rPr>
          <w:rFonts w:ascii="Times New Roman" w:hAnsi="Times New Roman"/>
          <w:szCs w:val="24"/>
        </w:rPr>
        <w:t xml:space="preserve"> et Mme </w:t>
      </w:r>
      <w:r w:rsidR="00CF4560">
        <w:rPr>
          <w:rFonts w:ascii="Times New Roman" w:hAnsi="Times New Roman"/>
          <w:szCs w:val="24"/>
        </w:rPr>
        <w:t>Z</w:t>
      </w:r>
      <w:r w:rsidR="007C1DBF" w:rsidRPr="00433255">
        <w:rPr>
          <w:rFonts w:ascii="Times New Roman" w:hAnsi="Times New Roman"/>
          <w:szCs w:val="24"/>
        </w:rPr>
        <w:t xml:space="preserve"> de la somme de </w:t>
      </w:r>
      <w:r w:rsidR="0015631A">
        <w:rPr>
          <w:rFonts w:ascii="Times New Roman" w:hAnsi="Times New Roman"/>
          <w:szCs w:val="24"/>
        </w:rPr>
        <w:t>  </w:t>
      </w:r>
      <w:r w:rsidR="007C1DBF" w:rsidRPr="00433255">
        <w:rPr>
          <w:rFonts w:ascii="Times New Roman" w:hAnsi="Times New Roman"/>
          <w:szCs w:val="24"/>
        </w:rPr>
        <w:t>31</w:t>
      </w:r>
      <w:r w:rsidR="0015631A">
        <w:rPr>
          <w:rFonts w:ascii="Times New Roman" w:hAnsi="Times New Roman"/>
          <w:szCs w:val="24"/>
        </w:rPr>
        <w:t> </w:t>
      </w:r>
      <w:r w:rsidR="007C1DBF" w:rsidRPr="00433255">
        <w:rPr>
          <w:rFonts w:ascii="Times New Roman" w:hAnsi="Times New Roman"/>
          <w:szCs w:val="24"/>
        </w:rPr>
        <w:t>826,63</w:t>
      </w:r>
      <w:r w:rsidR="0015631A">
        <w:rPr>
          <w:rFonts w:ascii="Times New Roman" w:hAnsi="Times New Roman"/>
          <w:szCs w:val="24"/>
        </w:rPr>
        <w:t> </w:t>
      </w:r>
      <w:r w:rsidR="007C1DBF" w:rsidRPr="00433255">
        <w:rPr>
          <w:rFonts w:ascii="Times New Roman" w:hAnsi="Times New Roman"/>
          <w:szCs w:val="24"/>
        </w:rPr>
        <w:t>€</w:t>
      </w:r>
      <w:r w:rsidR="0015631A">
        <w:rPr>
          <w:rFonts w:ascii="Times New Roman" w:hAnsi="Times New Roman"/>
          <w:szCs w:val="24"/>
        </w:rPr>
        <w:t> </w:t>
      </w:r>
      <w:r w:rsidR="007C1DBF" w:rsidRPr="00433255">
        <w:rPr>
          <w:rFonts w:ascii="Times New Roman" w:hAnsi="Times New Roman"/>
          <w:szCs w:val="24"/>
        </w:rPr>
        <w:t>;</w:t>
      </w:r>
    </w:p>
    <w:p w:rsidR="007C1DBF" w:rsidRPr="00433255" w:rsidRDefault="007C1DBF" w:rsidP="0015631A">
      <w:pPr>
        <w:pStyle w:val="ParagrapheStandard"/>
        <w:ind w:left="1701"/>
        <w:rPr>
          <w:rFonts w:ascii="Times New Roman" w:hAnsi="Times New Roman"/>
          <w:szCs w:val="24"/>
        </w:rPr>
      </w:pPr>
      <w:r w:rsidRPr="00433255">
        <w:rPr>
          <w:rFonts w:ascii="Times New Roman" w:hAnsi="Times New Roman"/>
          <w:szCs w:val="24"/>
        </w:rPr>
        <w:t>Les montants des débets prononcés au présent article sont augmentés des intérêts de droit à compter de la date du 12 septembre 2008.</w:t>
      </w:r>
    </w:p>
    <w:p w:rsidR="007C1DBF" w:rsidRPr="00433255" w:rsidRDefault="007C1DBF" w:rsidP="0015631A">
      <w:pPr>
        <w:pStyle w:val="ps0"/>
        <w:ind w:left="1701" w:firstLine="1134"/>
        <w:jc w:val="both"/>
      </w:pPr>
      <w:r w:rsidRPr="00433255">
        <w:rPr>
          <w:u w:val="single"/>
        </w:rPr>
        <w:t xml:space="preserve">Article 4 </w:t>
      </w:r>
      <w:r w:rsidRPr="00433255">
        <w:t xml:space="preserve">: </w:t>
      </w:r>
      <w:r w:rsidR="00E4299D">
        <w:t>E</w:t>
      </w:r>
      <w:r w:rsidRPr="00433255">
        <w:t>n ce qui concerne les amendes</w:t>
      </w:r>
      <w:r w:rsidR="003C5CC1" w:rsidRPr="00433255">
        <w:t xml:space="preserve"> </w:t>
      </w:r>
      <w:r w:rsidRPr="00433255">
        <w:t>:</w:t>
      </w:r>
    </w:p>
    <w:p w:rsidR="007C1DBF" w:rsidRPr="00433255" w:rsidRDefault="007C1DBF" w:rsidP="009A166F">
      <w:pPr>
        <w:pStyle w:val="ps0"/>
        <w:ind w:left="2268"/>
        <w:jc w:val="both"/>
      </w:pPr>
      <w:r w:rsidRPr="00433255">
        <w:t>- Une amende de 12</w:t>
      </w:r>
      <w:r w:rsidR="0015631A">
        <w:t> </w:t>
      </w:r>
      <w:r w:rsidRPr="00433255">
        <w:t xml:space="preserve">000 € est prononcée à l'encontre de Mme </w:t>
      </w:r>
      <w:r w:rsidR="00CF4560">
        <w:t>Z</w:t>
      </w:r>
      <w:r w:rsidR="003C5CC1" w:rsidRPr="00433255">
        <w:t xml:space="preserve"> </w:t>
      </w:r>
      <w:r w:rsidRPr="00433255">
        <w:t>;</w:t>
      </w:r>
    </w:p>
    <w:p w:rsidR="007C1DBF" w:rsidRPr="00433255" w:rsidRDefault="007C1DBF" w:rsidP="009A166F">
      <w:pPr>
        <w:pStyle w:val="ps0"/>
        <w:ind w:left="2268"/>
        <w:jc w:val="both"/>
      </w:pPr>
      <w:r w:rsidRPr="00433255">
        <w:t>- Une amende de 2</w:t>
      </w:r>
      <w:r w:rsidR="0015631A">
        <w:t> </w:t>
      </w:r>
      <w:r w:rsidRPr="00433255">
        <w:t xml:space="preserve">500 € est prononcée à l'encontre de M. </w:t>
      </w:r>
      <w:r w:rsidR="00CF4560">
        <w:t>Y</w:t>
      </w:r>
      <w:r w:rsidR="003C5CC1" w:rsidRPr="00433255">
        <w:t xml:space="preserve"> </w:t>
      </w:r>
      <w:r w:rsidRPr="00433255">
        <w:t>;</w:t>
      </w:r>
    </w:p>
    <w:p w:rsidR="007C1DBF" w:rsidRPr="00433255" w:rsidRDefault="007C1DBF" w:rsidP="009A166F">
      <w:pPr>
        <w:pStyle w:val="ps0"/>
        <w:ind w:left="2268"/>
        <w:jc w:val="both"/>
      </w:pPr>
      <w:r w:rsidRPr="00433255">
        <w:t>- Une amende de 2</w:t>
      </w:r>
      <w:r w:rsidR="0015631A">
        <w:t> </w:t>
      </w:r>
      <w:r w:rsidRPr="00433255">
        <w:t xml:space="preserve">500 € est prononcée à l'encontre de M. </w:t>
      </w:r>
      <w:r w:rsidR="00CF4560">
        <w:t>G</w:t>
      </w:r>
      <w:r w:rsidRPr="00433255">
        <w:t xml:space="preserve"> ;</w:t>
      </w:r>
    </w:p>
    <w:p w:rsidR="007C1DBF" w:rsidRPr="00433255" w:rsidRDefault="007C1DBF" w:rsidP="009A166F">
      <w:pPr>
        <w:pStyle w:val="ps0"/>
        <w:ind w:left="2268"/>
        <w:jc w:val="both"/>
      </w:pPr>
      <w:r w:rsidRPr="00433255">
        <w:t xml:space="preserve">- Une amende de 1 500 € est prononcée à l'encontre de M. </w:t>
      </w:r>
      <w:r w:rsidR="00CF4560">
        <w:t>X</w:t>
      </w:r>
      <w:r w:rsidR="003C5CC1" w:rsidRPr="00433255">
        <w:t xml:space="preserve"> </w:t>
      </w:r>
      <w:r w:rsidRPr="00433255">
        <w:t>;</w:t>
      </w:r>
    </w:p>
    <w:p w:rsidR="007C1DBF" w:rsidRPr="00433255" w:rsidRDefault="007C1DBF" w:rsidP="009A166F">
      <w:pPr>
        <w:pStyle w:val="ps0"/>
        <w:ind w:left="2268"/>
        <w:jc w:val="both"/>
      </w:pPr>
      <w:r w:rsidRPr="00433255">
        <w:t xml:space="preserve">- Une amende de 1 000 € est prononcée à l'encontre de M. </w:t>
      </w:r>
      <w:r w:rsidR="00A94941">
        <w:t>F</w:t>
      </w:r>
      <w:r w:rsidR="00A94941" w:rsidRPr="00433255">
        <w:t xml:space="preserve"> </w:t>
      </w:r>
      <w:r w:rsidRPr="00433255">
        <w:t>;</w:t>
      </w:r>
    </w:p>
    <w:p w:rsidR="007C1DBF" w:rsidRPr="00433255" w:rsidRDefault="007C1DBF" w:rsidP="009A166F">
      <w:pPr>
        <w:pStyle w:val="ps0"/>
        <w:ind w:left="2268"/>
        <w:jc w:val="both"/>
      </w:pPr>
      <w:r w:rsidRPr="00433255">
        <w:t xml:space="preserve">- Une amende de 750 € est prononcée à l'encontre de M. </w:t>
      </w:r>
      <w:r w:rsidR="00CF4560">
        <w:t>C</w:t>
      </w:r>
      <w:r w:rsidRPr="00433255">
        <w:t xml:space="preserve"> ;</w:t>
      </w:r>
    </w:p>
    <w:p w:rsidR="007C1DBF" w:rsidRPr="00433255" w:rsidRDefault="007C1DBF" w:rsidP="009A166F">
      <w:pPr>
        <w:pStyle w:val="ps0"/>
        <w:ind w:left="2268"/>
        <w:jc w:val="both"/>
      </w:pPr>
      <w:r w:rsidRPr="00433255">
        <w:t xml:space="preserve">- Une amende de 750 € est prononcée à l'encontre de M. </w:t>
      </w:r>
      <w:r w:rsidR="00CF4560">
        <w:t>E</w:t>
      </w:r>
      <w:r w:rsidRPr="00433255">
        <w:t xml:space="preserve"> ;</w:t>
      </w:r>
    </w:p>
    <w:p w:rsidR="007C1DBF" w:rsidRPr="00433255" w:rsidRDefault="007C1DBF" w:rsidP="009A166F">
      <w:pPr>
        <w:pStyle w:val="ps0"/>
        <w:ind w:left="2268"/>
        <w:jc w:val="both"/>
      </w:pPr>
      <w:r w:rsidRPr="00433255">
        <w:t xml:space="preserve">- Une amende de 500 € est prononcée à l'encontre de Mme </w:t>
      </w:r>
      <w:r w:rsidR="00CF4560">
        <w:t>D</w:t>
      </w:r>
      <w:r w:rsidR="003C5CC1" w:rsidRPr="00433255">
        <w:t xml:space="preserve"> </w:t>
      </w:r>
      <w:r w:rsidRPr="00433255">
        <w:t>;</w:t>
      </w:r>
    </w:p>
    <w:p w:rsidR="007C1DBF" w:rsidRPr="00433255" w:rsidRDefault="007C1DBF" w:rsidP="009A166F">
      <w:pPr>
        <w:pStyle w:val="ps0"/>
        <w:ind w:left="2268"/>
        <w:jc w:val="both"/>
      </w:pPr>
      <w:r w:rsidRPr="00433255">
        <w:t xml:space="preserve">- Une amende de 500 € est prononcée à l'encontre de M. </w:t>
      </w:r>
      <w:r w:rsidR="00A94941">
        <w:t>H</w:t>
      </w:r>
      <w:r w:rsidR="00A94941" w:rsidRPr="00433255">
        <w:t xml:space="preserve"> </w:t>
      </w:r>
      <w:r w:rsidRPr="00433255">
        <w:t>;</w:t>
      </w:r>
    </w:p>
    <w:p w:rsidR="00803993" w:rsidRPr="00433255" w:rsidRDefault="007C1DBF" w:rsidP="009A166F">
      <w:pPr>
        <w:pStyle w:val="ps0"/>
        <w:ind w:left="2268"/>
        <w:jc w:val="both"/>
      </w:pPr>
      <w:r w:rsidRPr="00433255">
        <w:t xml:space="preserve">- Une amende de 250 € est prononcée à l'encontre de M. </w:t>
      </w:r>
      <w:r w:rsidR="00D30938">
        <w:t>I</w:t>
      </w:r>
      <w:r w:rsidRPr="00433255">
        <w:t>.</w:t>
      </w:r>
    </w:p>
    <w:p w:rsidR="007C1DBF" w:rsidRPr="00433255" w:rsidRDefault="007C1DBF" w:rsidP="00FC76C2">
      <w:pPr>
        <w:pStyle w:val="ps0"/>
        <w:spacing w:before="240" w:beforeAutospacing="0" w:after="240" w:afterAutospacing="0"/>
        <w:ind w:left="1701"/>
        <w:jc w:val="center"/>
      </w:pPr>
      <w:r w:rsidRPr="00433255">
        <w:t>---------------</w:t>
      </w:r>
    </w:p>
    <w:p w:rsidR="00E96B1A" w:rsidRPr="00433255" w:rsidRDefault="007C1DBF" w:rsidP="00C94C56">
      <w:pPr>
        <w:pStyle w:val="ps0"/>
        <w:spacing w:before="0" w:after="120"/>
        <w:ind w:left="1701" w:firstLine="1134"/>
        <w:jc w:val="both"/>
      </w:pPr>
      <w:r w:rsidRPr="00433255">
        <w:t>Fait et jugé à la Cour des comptes, troisième c</w:t>
      </w:r>
      <w:r w:rsidR="00FB5913" w:rsidRPr="00433255">
        <w:t xml:space="preserve">hambre, quatrième section, le trente et un </w:t>
      </w:r>
      <w:r w:rsidRPr="00433255">
        <w:t>mai deux mil dix. Présents : Mme Froment-Meurice, président</w:t>
      </w:r>
      <w:r w:rsidR="00C92FC2" w:rsidRPr="00433255">
        <w:t>e</w:t>
      </w:r>
      <w:r w:rsidRPr="00433255">
        <w:t xml:space="preserve"> de la section, MM. Mayaud et Cazala, Mme Seyvet, MM. Sabbe et Korb, conseillers maîtres.</w:t>
      </w:r>
    </w:p>
    <w:p w:rsidR="00206FEC" w:rsidRPr="00433255" w:rsidRDefault="00AC0DCB" w:rsidP="00FC76C2">
      <w:pPr>
        <w:pStyle w:val="ps0"/>
        <w:spacing w:before="0" w:after="120"/>
        <w:ind w:left="1701" w:firstLine="1134"/>
        <w:jc w:val="both"/>
      </w:pPr>
      <w:r w:rsidRPr="00433255">
        <w:br w:type="page"/>
      </w:r>
      <w:r w:rsidR="00206FEC" w:rsidRPr="00433255">
        <w:lastRenderedPageBreak/>
        <w:t>Signé : Froment-Meurice, président</w:t>
      </w:r>
      <w:r w:rsidR="000A4E3B" w:rsidRPr="00433255">
        <w:t>e</w:t>
      </w:r>
      <w:r w:rsidR="00206FEC" w:rsidRPr="00433255">
        <w:t xml:space="preserve"> de section, et Brulé, greffière.</w:t>
      </w:r>
    </w:p>
    <w:p w:rsidR="00206FEC" w:rsidRPr="00433255" w:rsidRDefault="00206FEC" w:rsidP="00FC76C2">
      <w:pPr>
        <w:pStyle w:val="ps0"/>
        <w:ind w:left="1701" w:firstLine="1134"/>
      </w:pPr>
      <w:r w:rsidRPr="00433255">
        <w:t>Collationné, certifié conforme à la minute</w:t>
      </w:r>
      <w:r w:rsidR="007521CA" w:rsidRPr="00433255">
        <w:t xml:space="preserve"> étant au greffe de la Cour des </w:t>
      </w:r>
      <w:r w:rsidRPr="00433255">
        <w:t>comptes et délivré par moi, secrétaire général.</w:t>
      </w:r>
    </w:p>
    <w:p w:rsidR="00EF6A45" w:rsidRPr="00433255" w:rsidRDefault="00EF6A45" w:rsidP="00FC76C2">
      <w:pPr>
        <w:pStyle w:val="ParagrapheStandard"/>
        <w:ind w:left="1701"/>
        <w:rPr>
          <w:rFonts w:ascii="Times New Roman" w:hAnsi="Times New Roman"/>
          <w:szCs w:val="24"/>
        </w:rPr>
      </w:pPr>
      <w:r w:rsidRPr="00433255">
        <w:rPr>
          <w:rFonts w:ascii="Times New Roman" w:hAnsi="Times New Roman"/>
          <w:szCs w:val="24"/>
        </w:rPr>
        <w:t>En conséquence, la République mande et ordonne à tous huissiers de justice, sur ce requis, de mettre ledit arrêt à exécution, aux procureurs généraux et aux procureurs de la République près les tribunaux de grande instance, d’y tenir la main, à</w:t>
      </w:r>
      <w:r w:rsidR="00313574" w:rsidRPr="00433255">
        <w:rPr>
          <w:rFonts w:ascii="Times New Roman" w:hAnsi="Times New Roman"/>
          <w:szCs w:val="24"/>
        </w:rPr>
        <w:t> </w:t>
      </w:r>
      <w:r w:rsidRPr="00433255">
        <w:rPr>
          <w:rFonts w:ascii="Times New Roman" w:hAnsi="Times New Roman"/>
          <w:szCs w:val="24"/>
        </w:rPr>
        <w:t>tous commandants et officiers de la force publique, de prêter main-forte, lorsqu’ils en seront légalement requis.</w:t>
      </w:r>
    </w:p>
    <w:p w:rsidR="00EF6A45" w:rsidRPr="00433255" w:rsidRDefault="00EF6A45" w:rsidP="00106C9F">
      <w:pPr>
        <w:pStyle w:val="ParagrapheStandard"/>
        <w:ind w:left="1698"/>
        <w:rPr>
          <w:rFonts w:ascii="Times New Roman" w:hAnsi="Times New Roman"/>
          <w:szCs w:val="24"/>
        </w:rPr>
      </w:pPr>
      <w:r w:rsidRPr="00433255">
        <w:rPr>
          <w:rFonts w:ascii="Times New Roman" w:hAnsi="Times New Roman"/>
          <w:szCs w:val="24"/>
        </w:rPr>
        <w:t>Délivré par moi, secrétaire générale.</w:t>
      </w:r>
    </w:p>
    <w:p w:rsidR="00A40035" w:rsidRPr="0008779D" w:rsidRDefault="00A40035" w:rsidP="00106C9F">
      <w:pPr>
        <w:pStyle w:val="ParagrapheStandard"/>
        <w:ind w:left="1698"/>
        <w:rPr>
          <w:rFonts w:ascii="Times New Roman" w:hAnsi="Times New Roman"/>
          <w:szCs w:val="24"/>
        </w:rPr>
      </w:pPr>
    </w:p>
    <w:p w:rsidR="00A40035" w:rsidRPr="0008779D" w:rsidRDefault="00A40035" w:rsidP="00106C9F">
      <w:pPr>
        <w:pStyle w:val="ParagrapheStandard"/>
        <w:ind w:left="1698"/>
        <w:rPr>
          <w:rFonts w:ascii="Times New Roman" w:hAnsi="Times New Roman"/>
          <w:szCs w:val="24"/>
        </w:rPr>
      </w:pPr>
    </w:p>
    <w:p w:rsidR="00105FE6" w:rsidRPr="0008779D" w:rsidRDefault="00105FE6" w:rsidP="00CC4216">
      <w:pPr>
        <w:pStyle w:val="ps0"/>
        <w:spacing w:before="0" w:beforeAutospacing="0" w:after="0" w:afterAutospacing="0"/>
        <w:ind w:left="6237"/>
        <w:jc w:val="center"/>
        <w:rPr>
          <w:b/>
        </w:rPr>
      </w:pPr>
      <w:r w:rsidRPr="0008779D">
        <w:rPr>
          <w:b/>
        </w:rPr>
        <w:t>Pour la Secrétaire générale</w:t>
      </w:r>
    </w:p>
    <w:p w:rsidR="00105FE6" w:rsidRPr="0008779D" w:rsidRDefault="00105FE6" w:rsidP="00CC4216">
      <w:pPr>
        <w:pStyle w:val="ps0"/>
        <w:spacing w:before="0" w:beforeAutospacing="0" w:after="0" w:afterAutospacing="0"/>
        <w:ind w:left="6237"/>
        <w:jc w:val="center"/>
        <w:rPr>
          <w:b/>
        </w:rPr>
      </w:pPr>
      <w:r w:rsidRPr="0008779D">
        <w:rPr>
          <w:b/>
        </w:rPr>
        <w:t>et par délégation</w:t>
      </w:r>
    </w:p>
    <w:p w:rsidR="00105FE6" w:rsidRPr="0008779D" w:rsidRDefault="00105FE6" w:rsidP="00CC4216">
      <w:pPr>
        <w:pStyle w:val="ps0"/>
        <w:spacing w:before="0" w:beforeAutospacing="0" w:after="0" w:afterAutospacing="0"/>
        <w:ind w:left="6237"/>
        <w:jc w:val="center"/>
        <w:rPr>
          <w:b/>
        </w:rPr>
      </w:pPr>
      <w:r w:rsidRPr="0008779D">
        <w:rPr>
          <w:b/>
        </w:rPr>
        <w:t>le Chef du greffe central par intérim</w:t>
      </w:r>
    </w:p>
    <w:p w:rsidR="00105FE6" w:rsidRPr="0008779D" w:rsidRDefault="00105FE6" w:rsidP="00105FE6">
      <w:pPr>
        <w:pStyle w:val="StylepsNoirPremireligne222cmAvantAutomatiqueApr"/>
        <w:ind w:left="5398" w:firstLine="902"/>
        <w:jc w:val="center"/>
        <w:rPr>
          <w:b/>
          <w:color w:val="auto"/>
          <w:szCs w:val="24"/>
        </w:rPr>
      </w:pPr>
    </w:p>
    <w:p w:rsidR="00AC0DCB" w:rsidRPr="0008779D" w:rsidRDefault="00AC0DCB" w:rsidP="00105FE6">
      <w:pPr>
        <w:pStyle w:val="StylepsNoirPremireligne222cmAvantAutomatiqueApr"/>
        <w:ind w:left="5398" w:firstLine="902"/>
        <w:jc w:val="center"/>
        <w:rPr>
          <w:b/>
          <w:color w:val="auto"/>
          <w:szCs w:val="24"/>
        </w:rPr>
      </w:pPr>
    </w:p>
    <w:p w:rsidR="00105FE6" w:rsidRPr="0008779D" w:rsidRDefault="00105FE6" w:rsidP="00105FE6">
      <w:pPr>
        <w:pStyle w:val="StylepsNoirPremireligne222cmAvantAutomatiqueApr"/>
        <w:spacing w:before="360" w:beforeAutospacing="0" w:after="0" w:afterAutospacing="0"/>
        <w:ind w:left="5398" w:firstLine="902"/>
        <w:jc w:val="center"/>
        <w:rPr>
          <w:b/>
          <w:color w:val="auto"/>
          <w:szCs w:val="24"/>
        </w:rPr>
      </w:pPr>
      <w:r w:rsidRPr="0008779D">
        <w:rPr>
          <w:b/>
          <w:color w:val="auto"/>
          <w:szCs w:val="24"/>
        </w:rPr>
        <w:t>Catherine PAILOT-BONN</w:t>
      </w:r>
      <w:r w:rsidR="00626A9A" w:rsidRPr="0008779D">
        <w:rPr>
          <w:b/>
          <w:color w:val="auto"/>
          <w:szCs w:val="24"/>
        </w:rPr>
        <w:t>É</w:t>
      </w:r>
      <w:r w:rsidRPr="0008779D">
        <w:rPr>
          <w:b/>
          <w:color w:val="auto"/>
          <w:szCs w:val="24"/>
        </w:rPr>
        <w:t>TAT</w:t>
      </w:r>
    </w:p>
    <w:p w:rsidR="00105FE6" w:rsidRPr="0008779D" w:rsidRDefault="00105FE6" w:rsidP="00105FE6">
      <w:pPr>
        <w:pStyle w:val="StylepsNoirPremireligne222cmAvantAutomatiqueApr"/>
        <w:spacing w:before="0" w:beforeAutospacing="0"/>
        <w:ind w:left="5398" w:firstLine="902"/>
        <w:jc w:val="center"/>
        <w:rPr>
          <w:b/>
          <w:color w:val="auto"/>
          <w:szCs w:val="24"/>
        </w:rPr>
      </w:pPr>
      <w:r w:rsidRPr="0008779D">
        <w:rPr>
          <w:b/>
          <w:color w:val="auto"/>
          <w:szCs w:val="24"/>
        </w:rPr>
        <w:t>Conseillère référendaire</w:t>
      </w:r>
    </w:p>
    <w:bookmarkEnd w:id="0"/>
    <w:p w:rsidR="00313574" w:rsidRPr="0008779D" w:rsidRDefault="00313574" w:rsidP="00EF6A45">
      <w:pPr>
        <w:pStyle w:val="PS"/>
      </w:pPr>
    </w:p>
    <w:sectPr w:rsidR="00313574" w:rsidRPr="0008779D" w:rsidSect="006073EE">
      <w:headerReference w:type="default" r:id="rId10"/>
      <w:pgSz w:w="11907" w:h="16840" w:code="9"/>
      <w:pgMar w:top="851" w:right="1134" w:bottom="851"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22C" w:rsidRDefault="008D622C">
      <w:r>
        <w:separator/>
      </w:r>
    </w:p>
  </w:endnote>
  <w:endnote w:type="continuationSeparator" w:id="0">
    <w:p w:rsidR="008D622C" w:rsidRDefault="008D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22C" w:rsidRDefault="008D622C">
      <w:r>
        <w:separator/>
      </w:r>
    </w:p>
  </w:footnote>
  <w:footnote w:type="continuationSeparator" w:id="0">
    <w:p w:rsidR="008D622C" w:rsidRDefault="008D62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506" w:rsidRDefault="00D03506" w:rsidP="00D90D94">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03506" w:rsidRDefault="00D03506" w:rsidP="00D90D94">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506" w:rsidRDefault="00D03506" w:rsidP="00D90D94">
    <w:pPr>
      <w:pStyle w:val="En-tte"/>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506" w:rsidRDefault="00D03506">
    <w:pPr>
      <w:pStyle w:val="En-tte"/>
    </w:pPr>
    <w:r>
      <w:rPr>
        <w:rStyle w:val="Numrodepage"/>
      </w:rPr>
      <w:tab/>
    </w:r>
    <w:r>
      <w:rPr>
        <w:rStyle w:val="Numrodepage"/>
      </w:rPr>
      <w:tab/>
    </w:r>
    <w:r>
      <w:rPr>
        <w:rStyle w:val="Numrodepage"/>
      </w:rPr>
      <w:tab/>
    </w:r>
    <w:r>
      <w:rPr>
        <w:rStyle w:val="Numrodepage"/>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506" w:rsidRDefault="00D03506" w:rsidP="006073EE">
    <w:pPr>
      <w:pStyle w:val="En-tte"/>
      <w:spacing w:before="120" w:after="360"/>
      <w:jc w:val="right"/>
    </w:pPr>
    <w:r>
      <w:rPr>
        <w:rStyle w:val="Numrodepage"/>
      </w:rPr>
      <w:fldChar w:fldCharType="begin"/>
    </w:r>
    <w:r>
      <w:rPr>
        <w:rStyle w:val="Numrodepage"/>
      </w:rPr>
      <w:instrText xml:space="preserve"> PAGE </w:instrText>
    </w:r>
    <w:r>
      <w:rPr>
        <w:rStyle w:val="Numrodepage"/>
      </w:rPr>
      <w:fldChar w:fldCharType="separate"/>
    </w:r>
    <w:r w:rsidR="00781DA9">
      <w:rPr>
        <w:rStyle w:val="Numrodepage"/>
        <w:noProof/>
      </w:rPr>
      <w:t>6</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460E442"/>
    <w:lvl w:ilvl="0">
      <w:start w:val="1"/>
      <w:numFmt w:val="decimal"/>
      <w:lvlText w:val="%1."/>
      <w:lvlJc w:val="left"/>
      <w:pPr>
        <w:tabs>
          <w:tab w:val="num" w:pos="360"/>
        </w:tabs>
        <w:ind w:left="360" w:hanging="360"/>
      </w:pPr>
    </w:lvl>
  </w:abstractNum>
  <w:abstractNum w:abstractNumId="1">
    <w:nsid w:val="FFFFFFFE"/>
    <w:multiLevelType w:val="singleLevel"/>
    <w:tmpl w:val="FFFFFFFF"/>
    <w:lvl w:ilvl="0">
      <w:numFmt w:val="decimal"/>
      <w:lvlText w:val="*"/>
      <w:lvlJc w:val="left"/>
    </w:lvl>
  </w:abstractNum>
  <w:abstractNum w:abstractNumId="2">
    <w:nsid w:val="06977958"/>
    <w:multiLevelType w:val="singleLevel"/>
    <w:tmpl w:val="838AE7C8"/>
    <w:lvl w:ilvl="0">
      <w:start w:val="1"/>
      <w:numFmt w:val="bullet"/>
      <w:pStyle w:val="p0"/>
      <w:lvlText w:val=""/>
      <w:lvlJc w:val="left"/>
      <w:pPr>
        <w:tabs>
          <w:tab w:val="num" w:pos="360"/>
        </w:tabs>
        <w:ind w:left="360" w:hanging="360"/>
      </w:pPr>
      <w:rPr>
        <w:rFonts w:ascii="Symbol" w:hAnsi="Symbol" w:hint="default"/>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C3909C9"/>
    <w:multiLevelType w:val="multilevel"/>
    <w:tmpl w:val="2C983802"/>
    <w:lvl w:ilvl="0">
      <w:start w:val="1"/>
      <w:numFmt w:val="none"/>
      <w:suff w:val="nothing"/>
      <w:lvlText w:val="%1"/>
      <w:lvlJc w:val="left"/>
      <w:pPr>
        <w:ind w:left="284" w:hanging="284"/>
      </w:pPr>
    </w:lvl>
    <w:lvl w:ilvl="1">
      <w:start w:val="1"/>
      <w:numFmt w:val="none"/>
      <w:suff w:val="nothing"/>
      <w:lvlText w:val="%1%2"/>
      <w:lvlJc w:val="left"/>
      <w:pPr>
        <w:ind w:left="737" w:hanging="737"/>
      </w:pPr>
    </w:lvl>
    <w:lvl w:ilvl="2">
      <w:start w:val="1"/>
      <w:numFmt w:val="none"/>
      <w:suff w:val="nothing"/>
      <w:lvlText w:val="%1%2"/>
      <w:lvlJc w:val="left"/>
      <w:pPr>
        <w:ind w:left="737" w:hanging="737"/>
      </w:pPr>
    </w:lvl>
    <w:lvl w:ilvl="3">
      <w:start w:val="1"/>
      <w:numFmt w:val="none"/>
      <w:suff w:val="nothing"/>
      <w:lvlText w:val=""/>
      <w:lvlJc w:val="left"/>
      <w:pPr>
        <w:ind w:left="737" w:hanging="737"/>
      </w:pPr>
      <w:rPr>
        <w:u w:val="none"/>
      </w:rPr>
    </w:lvl>
    <w:lvl w:ilvl="4">
      <w:start w:val="1"/>
      <w:numFmt w:val="none"/>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6">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tentative="1">
      <w:start w:val="1"/>
      <w:numFmt w:val="lowerLetter"/>
      <w:lvlText w:val="%2."/>
      <w:lvlJc w:val="left"/>
      <w:pPr>
        <w:tabs>
          <w:tab w:val="num" w:pos="2880"/>
        </w:tabs>
        <w:ind w:left="2880" w:hanging="360"/>
      </w:pPr>
    </w:lvl>
    <w:lvl w:ilvl="2" w:tplc="040C001B" w:tentative="1">
      <w:start w:val="1"/>
      <w:numFmt w:val="lowerRoman"/>
      <w:lvlText w:val="%3."/>
      <w:lvlJc w:val="right"/>
      <w:pPr>
        <w:tabs>
          <w:tab w:val="num" w:pos="3600"/>
        </w:tabs>
        <w:ind w:left="3600" w:hanging="180"/>
      </w:pPr>
    </w:lvl>
    <w:lvl w:ilvl="3" w:tplc="040C000F" w:tentative="1">
      <w:start w:val="1"/>
      <w:numFmt w:val="decimal"/>
      <w:lvlText w:val="%4."/>
      <w:lvlJc w:val="left"/>
      <w:pPr>
        <w:tabs>
          <w:tab w:val="num" w:pos="4320"/>
        </w:tabs>
        <w:ind w:left="4320" w:hanging="360"/>
      </w:pPr>
    </w:lvl>
    <w:lvl w:ilvl="4" w:tplc="040C0019" w:tentative="1">
      <w:start w:val="1"/>
      <w:numFmt w:val="lowerLetter"/>
      <w:lvlText w:val="%5."/>
      <w:lvlJc w:val="left"/>
      <w:pPr>
        <w:tabs>
          <w:tab w:val="num" w:pos="5040"/>
        </w:tabs>
        <w:ind w:left="5040" w:hanging="360"/>
      </w:pPr>
    </w:lvl>
    <w:lvl w:ilvl="5" w:tplc="040C001B" w:tentative="1">
      <w:start w:val="1"/>
      <w:numFmt w:val="lowerRoman"/>
      <w:lvlText w:val="%6."/>
      <w:lvlJc w:val="right"/>
      <w:pPr>
        <w:tabs>
          <w:tab w:val="num" w:pos="5760"/>
        </w:tabs>
        <w:ind w:left="5760" w:hanging="180"/>
      </w:pPr>
    </w:lvl>
    <w:lvl w:ilvl="6" w:tplc="040C000F" w:tentative="1">
      <w:start w:val="1"/>
      <w:numFmt w:val="decimal"/>
      <w:lvlText w:val="%7."/>
      <w:lvlJc w:val="left"/>
      <w:pPr>
        <w:tabs>
          <w:tab w:val="num" w:pos="6480"/>
        </w:tabs>
        <w:ind w:left="6480" w:hanging="360"/>
      </w:pPr>
    </w:lvl>
    <w:lvl w:ilvl="7" w:tplc="040C0019" w:tentative="1">
      <w:start w:val="1"/>
      <w:numFmt w:val="lowerLetter"/>
      <w:lvlText w:val="%8."/>
      <w:lvlJc w:val="left"/>
      <w:pPr>
        <w:tabs>
          <w:tab w:val="num" w:pos="7200"/>
        </w:tabs>
        <w:ind w:left="7200" w:hanging="360"/>
      </w:pPr>
    </w:lvl>
    <w:lvl w:ilvl="8" w:tplc="040C001B" w:tentative="1">
      <w:start w:val="1"/>
      <w:numFmt w:val="lowerRoman"/>
      <w:lvlText w:val="%9."/>
      <w:lvlJc w:val="right"/>
      <w:pPr>
        <w:tabs>
          <w:tab w:val="num" w:pos="7920"/>
        </w:tabs>
        <w:ind w:left="7920" w:hanging="180"/>
      </w:pPr>
    </w:lvl>
  </w:abstractNum>
  <w:abstractNum w:abstractNumId="7">
    <w:nsid w:val="0EC2599D"/>
    <w:multiLevelType w:val="singleLevel"/>
    <w:tmpl w:val="A8D2107A"/>
    <w:lvl w:ilvl="0">
      <w:numFmt w:val="decimal"/>
      <w:lvlText w:val="%1"/>
      <w:legacy w:legacy="1" w:legacySpace="0" w:legacyIndent="0"/>
      <w:lvlJc w:val="left"/>
    </w:lvl>
  </w:abstractNum>
  <w:abstractNum w:abstractNumId="8">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9">
    <w:nsid w:val="12B439D1"/>
    <w:multiLevelType w:val="singleLevel"/>
    <w:tmpl w:val="11926C20"/>
    <w:lvl w:ilvl="0">
      <w:start w:val="1"/>
      <w:numFmt w:val="bullet"/>
      <w:lvlText w:val="−"/>
      <w:lvlJc w:val="left"/>
      <w:pPr>
        <w:tabs>
          <w:tab w:val="num" w:pos="3240"/>
        </w:tabs>
        <w:ind w:left="3960" w:hanging="360"/>
      </w:pPr>
      <w:rPr>
        <w:rFonts w:ascii="Verdana" w:hAnsi="Tahoma" w:hint="default"/>
      </w:rPr>
    </w:lvl>
  </w:abstractNum>
  <w:abstractNum w:abstractNumId="10">
    <w:nsid w:val="14CA3220"/>
    <w:multiLevelType w:val="singleLevel"/>
    <w:tmpl w:val="63AC2418"/>
    <w:lvl w:ilvl="0">
      <w:start w:val="1"/>
      <w:numFmt w:val="decimal"/>
      <w:lvlText w:val="%1."/>
      <w:lvlJc w:val="left"/>
      <w:pPr>
        <w:tabs>
          <w:tab w:val="num" w:pos="1494"/>
        </w:tabs>
        <w:ind w:left="1494" w:hanging="360"/>
      </w:pPr>
      <w:rPr>
        <w:rFonts w:hint="default"/>
      </w:rPr>
    </w:lvl>
  </w:abstractNum>
  <w:abstractNum w:abstractNumId="11">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cs="Times New Roman" w:hint="default"/>
      </w:rPr>
    </w:lvl>
    <w:lvl w:ilvl="1" w:tplc="040C0003" w:tentative="1">
      <w:start w:val="1"/>
      <w:numFmt w:val="bullet"/>
      <w:lvlText w:val="o"/>
      <w:lvlJc w:val="left"/>
      <w:pPr>
        <w:tabs>
          <w:tab w:val="num" w:pos="2274"/>
        </w:tabs>
        <w:ind w:left="2274" w:hanging="360"/>
      </w:pPr>
      <w:rPr>
        <w:rFonts w:ascii="Courier New" w:hAnsi="Courier New" w:cs="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cs="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cs="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2">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3">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sz w:val="24"/>
        <w:u w:val="none"/>
      </w:rPr>
    </w:lvl>
  </w:abstractNum>
  <w:abstractNum w:abstractNumId="1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cs="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cs="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cs="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5">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6">
    <w:nsid w:val="46D06755"/>
    <w:multiLevelType w:val="hybridMultilevel"/>
    <w:tmpl w:val="87A066B2"/>
    <w:lvl w:ilvl="0" w:tplc="869208B0">
      <w:start w:val="1"/>
      <w:numFmt w:val="upperRoman"/>
      <w:lvlText w:val="%1."/>
      <w:lvlJc w:val="left"/>
      <w:pPr>
        <w:tabs>
          <w:tab w:val="num" w:pos="1677"/>
        </w:tabs>
        <w:ind w:left="1677" w:hanging="720"/>
      </w:pPr>
      <w:rPr>
        <w:rFonts w:hint="default"/>
        <w:u w:val="none"/>
      </w:rPr>
    </w:lvl>
    <w:lvl w:ilvl="1" w:tplc="040C0019" w:tentative="1">
      <w:start w:val="1"/>
      <w:numFmt w:val="lowerLetter"/>
      <w:lvlText w:val="%2."/>
      <w:lvlJc w:val="left"/>
      <w:pPr>
        <w:tabs>
          <w:tab w:val="num" w:pos="2037"/>
        </w:tabs>
        <w:ind w:left="2037" w:hanging="360"/>
      </w:pPr>
    </w:lvl>
    <w:lvl w:ilvl="2" w:tplc="040C001B" w:tentative="1">
      <w:start w:val="1"/>
      <w:numFmt w:val="lowerRoman"/>
      <w:lvlText w:val="%3."/>
      <w:lvlJc w:val="right"/>
      <w:pPr>
        <w:tabs>
          <w:tab w:val="num" w:pos="2757"/>
        </w:tabs>
        <w:ind w:left="2757" w:hanging="180"/>
      </w:pPr>
    </w:lvl>
    <w:lvl w:ilvl="3" w:tplc="040C000F" w:tentative="1">
      <w:start w:val="1"/>
      <w:numFmt w:val="decimal"/>
      <w:lvlText w:val="%4."/>
      <w:lvlJc w:val="left"/>
      <w:pPr>
        <w:tabs>
          <w:tab w:val="num" w:pos="3477"/>
        </w:tabs>
        <w:ind w:left="3477" w:hanging="360"/>
      </w:pPr>
    </w:lvl>
    <w:lvl w:ilvl="4" w:tplc="040C0019" w:tentative="1">
      <w:start w:val="1"/>
      <w:numFmt w:val="lowerLetter"/>
      <w:lvlText w:val="%5."/>
      <w:lvlJc w:val="left"/>
      <w:pPr>
        <w:tabs>
          <w:tab w:val="num" w:pos="4197"/>
        </w:tabs>
        <w:ind w:left="4197" w:hanging="360"/>
      </w:pPr>
    </w:lvl>
    <w:lvl w:ilvl="5" w:tplc="040C001B" w:tentative="1">
      <w:start w:val="1"/>
      <w:numFmt w:val="lowerRoman"/>
      <w:lvlText w:val="%6."/>
      <w:lvlJc w:val="right"/>
      <w:pPr>
        <w:tabs>
          <w:tab w:val="num" w:pos="4917"/>
        </w:tabs>
        <w:ind w:left="4917" w:hanging="180"/>
      </w:pPr>
    </w:lvl>
    <w:lvl w:ilvl="6" w:tplc="040C000F" w:tentative="1">
      <w:start w:val="1"/>
      <w:numFmt w:val="decimal"/>
      <w:lvlText w:val="%7."/>
      <w:lvlJc w:val="left"/>
      <w:pPr>
        <w:tabs>
          <w:tab w:val="num" w:pos="5637"/>
        </w:tabs>
        <w:ind w:left="5637" w:hanging="360"/>
      </w:pPr>
    </w:lvl>
    <w:lvl w:ilvl="7" w:tplc="040C0019" w:tentative="1">
      <w:start w:val="1"/>
      <w:numFmt w:val="lowerLetter"/>
      <w:lvlText w:val="%8."/>
      <w:lvlJc w:val="left"/>
      <w:pPr>
        <w:tabs>
          <w:tab w:val="num" w:pos="6357"/>
        </w:tabs>
        <w:ind w:left="6357" w:hanging="360"/>
      </w:pPr>
    </w:lvl>
    <w:lvl w:ilvl="8" w:tplc="040C001B" w:tentative="1">
      <w:start w:val="1"/>
      <w:numFmt w:val="lowerRoman"/>
      <w:lvlText w:val="%9."/>
      <w:lvlJc w:val="right"/>
      <w:pPr>
        <w:tabs>
          <w:tab w:val="num" w:pos="7077"/>
        </w:tabs>
        <w:ind w:left="7077" w:hanging="180"/>
      </w:pPr>
    </w:lvl>
  </w:abstractNum>
  <w:abstractNum w:abstractNumId="17">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8">
    <w:nsid w:val="50923283"/>
    <w:multiLevelType w:val="multilevel"/>
    <w:tmpl w:val="865E6E98"/>
    <w:lvl w:ilvl="0">
      <w:start w:val="1"/>
      <w:numFmt w:val="decimal"/>
      <w:pStyle w:val="Tableautextedroite"/>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0">
    <w:nsid w:val="53B635B9"/>
    <w:multiLevelType w:val="hybridMultilevel"/>
    <w:tmpl w:val="FF5E7C28"/>
    <w:lvl w:ilvl="0">
      <w:numFmt w:val="bullet"/>
      <w:lvlText w:val="-"/>
      <w:lvlJc w:val="left"/>
      <w:pPr>
        <w:tabs>
          <w:tab w:val="num" w:pos="1800"/>
        </w:tabs>
        <w:ind w:left="1800" w:hanging="360"/>
      </w:pPr>
      <w:rPr>
        <w:rFonts w:ascii="Times New Roman" w:eastAsia="Times New Roman" w:hAnsi="Times New Roman" w:cs="Times New Roman" w:hint="default"/>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1">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2">
    <w:nsid w:val="62E07931"/>
    <w:multiLevelType w:val="hybridMultilevel"/>
    <w:tmpl w:val="A386E8A2"/>
    <w:lvl w:ilvl="0" w:tplc="BCA0B600">
      <w:start w:val="1"/>
      <w:numFmt w:val="upperRoman"/>
      <w:lvlText w:val="%1."/>
      <w:lvlJc w:val="left"/>
      <w:pPr>
        <w:tabs>
          <w:tab w:val="num" w:pos="1854"/>
        </w:tabs>
        <w:ind w:left="1854" w:hanging="720"/>
      </w:pPr>
      <w:rPr>
        <w:rFonts w:hint="default"/>
        <w:b/>
      </w:rPr>
    </w:lvl>
    <w:lvl w:ilvl="1" w:tplc="040C0019" w:tentative="1">
      <w:start w:val="1"/>
      <w:numFmt w:val="lowerLetter"/>
      <w:lvlText w:val="%2."/>
      <w:lvlJc w:val="left"/>
      <w:pPr>
        <w:tabs>
          <w:tab w:val="num" w:pos="2214"/>
        </w:tabs>
        <w:ind w:left="2214" w:hanging="360"/>
      </w:pPr>
    </w:lvl>
    <w:lvl w:ilvl="2" w:tplc="040C001B" w:tentative="1">
      <w:start w:val="1"/>
      <w:numFmt w:val="lowerRoman"/>
      <w:lvlText w:val="%3."/>
      <w:lvlJc w:val="right"/>
      <w:pPr>
        <w:tabs>
          <w:tab w:val="num" w:pos="2934"/>
        </w:tabs>
        <w:ind w:left="2934" w:hanging="180"/>
      </w:pPr>
    </w:lvl>
    <w:lvl w:ilvl="3" w:tplc="040C000F" w:tentative="1">
      <w:start w:val="1"/>
      <w:numFmt w:val="decimal"/>
      <w:lvlText w:val="%4."/>
      <w:lvlJc w:val="left"/>
      <w:pPr>
        <w:tabs>
          <w:tab w:val="num" w:pos="3654"/>
        </w:tabs>
        <w:ind w:left="3654" w:hanging="360"/>
      </w:pPr>
    </w:lvl>
    <w:lvl w:ilvl="4" w:tplc="040C0019" w:tentative="1">
      <w:start w:val="1"/>
      <w:numFmt w:val="lowerLetter"/>
      <w:lvlText w:val="%5."/>
      <w:lvlJc w:val="left"/>
      <w:pPr>
        <w:tabs>
          <w:tab w:val="num" w:pos="4374"/>
        </w:tabs>
        <w:ind w:left="4374" w:hanging="360"/>
      </w:pPr>
    </w:lvl>
    <w:lvl w:ilvl="5" w:tplc="040C001B" w:tentative="1">
      <w:start w:val="1"/>
      <w:numFmt w:val="lowerRoman"/>
      <w:lvlText w:val="%6."/>
      <w:lvlJc w:val="right"/>
      <w:pPr>
        <w:tabs>
          <w:tab w:val="num" w:pos="5094"/>
        </w:tabs>
        <w:ind w:left="5094" w:hanging="180"/>
      </w:pPr>
    </w:lvl>
    <w:lvl w:ilvl="6" w:tplc="040C000F" w:tentative="1">
      <w:start w:val="1"/>
      <w:numFmt w:val="decimal"/>
      <w:lvlText w:val="%7."/>
      <w:lvlJc w:val="left"/>
      <w:pPr>
        <w:tabs>
          <w:tab w:val="num" w:pos="5814"/>
        </w:tabs>
        <w:ind w:left="5814" w:hanging="360"/>
      </w:pPr>
    </w:lvl>
    <w:lvl w:ilvl="7" w:tplc="040C0019" w:tentative="1">
      <w:start w:val="1"/>
      <w:numFmt w:val="lowerLetter"/>
      <w:lvlText w:val="%8."/>
      <w:lvlJc w:val="left"/>
      <w:pPr>
        <w:tabs>
          <w:tab w:val="num" w:pos="6534"/>
        </w:tabs>
        <w:ind w:left="6534" w:hanging="360"/>
      </w:pPr>
    </w:lvl>
    <w:lvl w:ilvl="8" w:tplc="040C001B" w:tentative="1">
      <w:start w:val="1"/>
      <w:numFmt w:val="lowerRoman"/>
      <w:lvlText w:val="%9."/>
      <w:lvlJc w:val="right"/>
      <w:pPr>
        <w:tabs>
          <w:tab w:val="num" w:pos="7254"/>
        </w:tabs>
        <w:ind w:left="7254" w:hanging="180"/>
      </w:pPr>
    </w:lvl>
  </w:abstractNum>
  <w:abstractNum w:abstractNumId="23">
    <w:nsid w:val="64683772"/>
    <w:multiLevelType w:val="singleLevel"/>
    <w:tmpl w:val="A8D2107A"/>
    <w:lvl w:ilvl="0">
      <w:numFmt w:val="decimal"/>
      <w:lvlText w:val="%1"/>
      <w:legacy w:legacy="1" w:legacySpace="0" w:legacyIndent="0"/>
      <w:lvlJc w:val="left"/>
    </w:lvl>
  </w:abstractNum>
  <w:abstractNum w:abstractNumId="24">
    <w:nsid w:val="66B166A2"/>
    <w:multiLevelType w:val="singleLevel"/>
    <w:tmpl w:val="1AF8DFF2"/>
    <w:lvl w:ilvl="0">
      <w:start w:val="1"/>
      <w:numFmt w:val="decimal"/>
      <w:lvlText w:val="%1."/>
      <w:lvlJc w:val="left"/>
      <w:pPr>
        <w:tabs>
          <w:tab w:val="num" w:pos="927"/>
        </w:tabs>
        <w:ind w:left="907" w:hanging="340"/>
      </w:pPr>
    </w:lvl>
  </w:abstractNum>
  <w:abstractNum w:abstractNumId="25">
    <w:nsid w:val="6891531D"/>
    <w:multiLevelType w:val="hybridMultilevel"/>
    <w:tmpl w:val="BB564D44"/>
    <w:lvl w:ilvl="0">
      <w:numFmt w:val="bullet"/>
      <w:lvlText w:val="-"/>
      <w:lvlJc w:val="left"/>
      <w:pPr>
        <w:tabs>
          <w:tab w:val="num" w:pos="2424"/>
        </w:tabs>
        <w:ind w:left="2424" w:hanging="1290"/>
      </w:pPr>
      <w:rPr>
        <w:rFonts w:ascii="Times New Roman" w:eastAsia="Times New Roman" w:hAnsi="Times New Roman" w:cs="Times New Roman" w:hint="default"/>
      </w:rPr>
    </w:lvl>
    <w:lvl w:ilvl="1" w:tentative="1">
      <w:start w:val="1"/>
      <w:numFmt w:val="bullet"/>
      <w:lvlText w:val="o"/>
      <w:lvlJc w:val="left"/>
      <w:pPr>
        <w:tabs>
          <w:tab w:val="num" w:pos="2214"/>
        </w:tabs>
        <w:ind w:left="2214" w:hanging="360"/>
      </w:pPr>
      <w:rPr>
        <w:rFonts w:ascii="Courier New" w:hAnsi="Courier New" w:cs="Courier New" w:hint="default"/>
      </w:rPr>
    </w:lvl>
    <w:lvl w:ilvl="2" w:tentative="1">
      <w:start w:val="1"/>
      <w:numFmt w:val="bullet"/>
      <w:lvlText w:val=""/>
      <w:lvlJc w:val="left"/>
      <w:pPr>
        <w:tabs>
          <w:tab w:val="num" w:pos="2934"/>
        </w:tabs>
        <w:ind w:left="2934" w:hanging="360"/>
      </w:pPr>
      <w:rPr>
        <w:rFonts w:ascii="Wingdings" w:hAnsi="Wingdings" w:hint="default"/>
      </w:rPr>
    </w:lvl>
    <w:lvl w:ilvl="3" w:tentative="1">
      <w:start w:val="1"/>
      <w:numFmt w:val="bullet"/>
      <w:lvlText w:val=""/>
      <w:lvlJc w:val="left"/>
      <w:pPr>
        <w:tabs>
          <w:tab w:val="num" w:pos="3654"/>
        </w:tabs>
        <w:ind w:left="3654" w:hanging="360"/>
      </w:pPr>
      <w:rPr>
        <w:rFonts w:ascii="Symbol" w:hAnsi="Symbol" w:hint="default"/>
      </w:rPr>
    </w:lvl>
    <w:lvl w:ilvl="4" w:tentative="1">
      <w:start w:val="1"/>
      <w:numFmt w:val="bullet"/>
      <w:lvlText w:val="o"/>
      <w:lvlJc w:val="left"/>
      <w:pPr>
        <w:tabs>
          <w:tab w:val="num" w:pos="4374"/>
        </w:tabs>
        <w:ind w:left="4374" w:hanging="360"/>
      </w:pPr>
      <w:rPr>
        <w:rFonts w:ascii="Courier New" w:hAnsi="Courier New" w:cs="Courier New" w:hint="default"/>
      </w:rPr>
    </w:lvl>
    <w:lvl w:ilvl="5" w:tentative="1">
      <w:start w:val="1"/>
      <w:numFmt w:val="bullet"/>
      <w:lvlText w:val=""/>
      <w:lvlJc w:val="left"/>
      <w:pPr>
        <w:tabs>
          <w:tab w:val="num" w:pos="5094"/>
        </w:tabs>
        <w:ind w:left="5094" w:hanging="360"/>
      </w:pPr>
      <w:rPr>
        <w:rFonts w:ascii="Wingdings" w:hAnsi="Wingdings" w:hint="default"/>
      </w:rPr>
    </w:lvl>
    <w:lvl w:ilvl="6" w:tentative="1">
      <w:start w:val="1"/>
      <w:numFmt w:val="bullet"/>
      <w:lvlText w:val=""/>
      <w:lvlJc w:val="left"/>
      <w:pPr>
        <w:tabs>
          <w:tab w:val="num" w:pos="5814"/>
        </w:tabs>
        <w:ind w:left="5814" w:hanging="360"/>
      </w:pPr>
      <w:rPr>
        <w:rFonts w:ascii="Symbol" w:hAnsi="Symbol" w:hint="default"/>
      </w:rPr>
    </w:lvl>
    <w:lvl w:ilvl="7" w:tentative="1">
      <w:start w:val="1"/>
      <w:numFmt w:val="bullet"/>
      <w:lvlText w:val="o"/>
      <w:lvlJc w:val="left"/>
      <w:pPr>
        <w:tabs>
          <w:tab w:val="num" w:pos="6534"/>
        </w:tabs>
        <w:ind w:left="6534" w:hanging="360"/>
      </w:pPr>
      <w:rPr>
        <w:rFonts w:ascii="Courier New" w:hAnsi="Courier New" w:cs="Courier New" w:hint="default"/>
      </w:rPr>
    </w:lvl>
    <w:lvl w:ilvl="8" w:tentative="1">
      <w:start w:val="1"/>
      <w:numFmt w:val="bullet"/>
      <w:lvlText w:val=""/>
      <w:lvlJc w:val="left"/>
      <w:pPr>
        <w:tabs>
          <w:tab w:val="num" w:pos="7254"/>
        </w:tabs>
        <w:ind w:left="7254" w:hanging="360"/>
      </w:pPr>
      <w:rPr>
        <w:rFonts w:ascii="Wingdings" w:hAnsi="Wingdings" w:hint="default"/>
      </w:rPr>
    </w:lvl>
  </w:abstractNum>
  <w:abstractNum w:abstractNumId="26">
    <w:nsid w:val="68B35772"/>
    <w:multiLevelType w:val="multilevel"/>
    <w:tmpl w:val="A51A739E"/>
    <w:lvl w:ilvl="0">
      <w:start w:val="1"/>
      <w:numFmt w:val="upperRoman"/>
      <w:lvlText w:val="%1."/>
      <w:lvlJc w:val="left"/>
      <w:pPr>
        <w:tabs>
          <w:tab w:val="num" w:pos="720"/>
        </w:tabs>
        <w:ind w:left="0" w:firstLine="0"/>
      </w:pPr>
    </w:lvl>
    <w:lvl w:ilvl="1">
      <w:start w:val="1"/>
      <w:numFmt w:val="upperLetter"/>
      <w:lvlText w:val="%2 -"/>
      <w:lvlJc w:val="left"/>
      <w:pPr>
        <w:tabs>
          <w:tab w:val="num" w:pos="360"/>
        </w:tabs>
        <w:ind w:left="0" w:firstLine="0"/>
      </w:pPr>
    </w:lvl>
    <w:lvl w:ilvl="2">
      <w:start w:val="1"/>
      <w:numFmt w:val="decimal"/>
      <w:lvlText w:val="%3."/>
      <w:lvlJc w:val="left"/>
      <w:pPr>
        <w:tabs>
          <w:tab w:val="num" w:pos="360"/>
        </w:tabs>
        <w:ind w:left="0" w:firstLine="0"/>
      </w:pPr>
      <w:rPr>
        <w:spacing w:val="0"/>
        <w:w w:val="100"/>
        <w:kern w:val="0"/>
        <w:position w:val="0"/>
      </w:rPr>
    </w:lvl>
    <w:lvl w:ilvl="3">
      <w:start w:val="1"/>
      <w:numFmt w:val="lowerLetter"/>
      <w:lvlText w:val="%4)"/>
      <w:lvlJc w:val="left"/>
      <w:pPr>
        <w:tabs>
          <w:tab w:val="num" w:pos="360"/>
        </w:tabs>
        <w:ind w:left="0" w:firstLine="0"/>
      </w:pPr>
    </w:lvl>
    <w:lvl w:ilvl="4">
      <w:start w:val="1"/>
      <w:numFmt w:val="bullet"/>
      <w:lvlText w:val="•"/>
      <w:lvlJc w:val="left"/>
      <w:pPr>
        <w:tabs>
          <w:tab w:val="num" w:pos="360"/>
        </w:tabs>
        <w:ind w:left="0" w:firstLine="0"/>
      </w:pPr>
      <w:rPr>
        <w:rFonts w:ascii="Times New Roman" w:hAnsi="Times New Roman" w:hint="default"/>
        <w:sz w:val="28"/>
      </w:rPr>
    </w:lvl>
    <w:lvl w:ilvl="5">
      <w:start w:val="1"/>
      <w:numFmt w:val="bullet"/>
      <w:lvlText w:val=""/>
      <w:lvlJc w:val="left"/>
      <w:pPr>
        <w:tabs>
          <w:tab w:val="num" w:pos="360"/>
        </w:tabs>
        <w:ind w:left="0" w:firstLine="0"/>
      </w:pPr>
      <w:rPr>
        <w:rFonts w:ascii="Symbol" w:hAnsi="Symbol" w:hint="default"/>
      </w:rPr>
    </w:lvl>
    <w:lvl w:ilvl="6">
      <w:start w:val="1"/>
      <w:numFmt w:val="lowerRoman"/>
      <w:lvlText w:val="(%7)"/>
      <w:lvlJc w:val="left"/>
      <w:pPr>
        <w:tabs>
          <w:tab w:val="num" w:pos="4680"/>
        </w:tabs>
        <w:ind w:left="4320" w:firstLine="0"/>
      </w:pPr>
    </w:lvl>
    <w:lvl w:ilvl="7">
      <w:start w:val="1"/>
      <w:numFmt w:val="lowerLetter"/>
      <w:pStyle w:val="Titre8"/>
      <w:lvlText w:val="(%8)"/>
      <w:lvlJc w:val="left"/>
      <w:pPr>
        <w:tabs>
          <w:tab w:val="num" w:pos="5400"/>
        </w:tabs>
        <w:ind w:left="5040" w:firstLine="0"/>
      </w:pPr>
    </w:lvl>
    <w:lvl w:ilvl="8">
      <w:start w:val="1"/>
      <w:numFmt w:val="lowerRoman"/>
      <w:pStyle w:val="Titre9"/>
      <w:lvlText w:val="(%9)"/>
      <w:lvlJc w:val="left"/>
      <w:pPr>
        <w:tabs>
          <w:tab w:val="num" w:pos="6120"/>
        </w:tabs>
        <w:ind w:left="5760" w:firstLine="0"/>
      </w:pPr>
    </w:lvl>
  </w:abstractNum>
  <w:abstractNum w:abstractNumId="27">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8">
    <w:nsid w:val="6DD975E2"/>
    <w:multiLevelType w:val="singleLevel"/>
    <w:tmpl w:val="9620B584"/>
    <w:lvl w:ilvl="0">
      <w:start w:val="1"/>
      <w:numFmt w:val="bullet"/>
      <w:pStyle w:val="Titre6"/>
      <w:lvlText w:val=""/>
      <w:lvlJc w:val="left"/>
      <w:pPr>
        <w:tabs>
          <w:tab w:val="num" w:pos="360"/>
        </w:tabs>
        <w:ind w:left="360" w:hanging="360"/>
      </w:pPr>
      <w:rPr>
        <w:rFonts w:ascii="Symbol" w:hAnsi="Symbol" w:hint="default"/>
        <w:sz w:val="20"/>
      </w:rPr>
    </w:lvl>
  </w:abstractNum>
  <w:abstractNum w:abstractNumId="29">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cs="Times New Roman" w:hint="default"/>
      </w:rPr>
    </w:lvl>
    <w:lvl w:ilvl="1" w:tplc="040C0003" w:tentative="1">
      <w:start w:val="1"/>
      <w:numFmt w:val="bullet"/>
      <w:lvlText w:val="o"/>
      <w:lvlJc w:val="left"/>
      <w:pPr>
        <w:tabs>
          <w:tab w:val="num" w:pos="2274"/>
        </w:tabs>
        <w:ind w:left="2274" w:hanging="360"/>
      </w:pPr>
      <w:rPr>
        <w:rFonts w:ascii="Courier New" w:hAnsi="Courier New" w:cs="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cs="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cs="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30">
    <w:nsid w:val="73253612"/>
    <w:multiLevelType w:val="multilevel"/>
    <w:tmpl w:val="A49ECD6A"/>
    <w:lvl w:ilvl="0">
      <w:start w:val="1"/>
      <w:numFmt w:val="decimal"/>
      <w:suff w:val="nothing"/>
      <w:lvlText w:val="Observation n ° %1"/>
      <w:lvlJc w:val="center"/>
      <w:pPr>
        <w:ind w:left="1134" w:firstLine="0"/>
      </w:pPr>
    </w:lvl>
    <w:lvl w:ilvl="1">
      <w:start w:val="1"/>
      <w:numFmt w:val="upperRoman"/>
      <w:suff w:val="nothing"/>
      <w:lvlText w:val="%1%2. "/>
      <w:lvlJc w:val="left"/>
      <w:pPr>
        <w:ind w:left="709" w:hanging="284"/>
      </w:pPr>
    </w:lvl>
    <w:lvl w:ilvl="2">
      <w:start w:val="1"/>
      <w:numFmt w:val="upperLetter"/>
      <w:suff w:val="nothing"/>
      <w:lvlText w:val="%1%2.%3. "/>
      <w:lvlJc w:val="left"/>
      <w:pPr>
        <w:ind w:left="1474" w:hanging="1077"/>
      </w:pPr>
    </w:lvl>
    <w:lvl w:ilvl="3">
      <w:start w:val="1"/>
      <w:numFmt w:val="decimal"/>
      <w:suff w:val="nothing"/>
      <w:lvlText w:val="%1%2.%3.%4. "/>
      <w:lvlJc w:val="left"/>
      <w:pPr>
        <w:ind w:left="1644" w:hanging="1247"/>
      </w:pPr>
    </w:lvl>
    <w:lvl w:ilvl="4">
      <w:start w:val="1"/>
      <w:numFmt w:val="lowerLetter"/>
      <w:suff w:val="nothing"/>
      <w:lvlText w:val="I.A.1.%5 "/>
      <w:lvlJc w:val="left"/>
      <w:pPr>
        <w:ind w:left="2268" w:hanging="187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cs="Times New Roman" w:hint="default"/>
      </w:rPr>
    </w:lvl>
    <w:lvl w:ilvl="1" w:tplc="040C0003" w:tentative="1">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cs="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cs="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abstractNum w:abstractNumId="32">
    <w:nsid w:val="790F118F"/>
    <w:multiLevelType w:val="hybridMultilevel"/>
    <w:tmpl w:val="34E483B4"/>
    <w:lvl w:ilvl="0" w:tplc="71D6AF08">
      <w:start w:val="1"/>
      <w:numFmt w:val="upperRoman"/>
      <w:lvlText w:val="%1."/>
      <w:lvlJc w:val="left"/>
      <w:pPr>
        <w:tabs>
          <w:tab w:val="num" w:pos="2421"/>
        </w:tabs>
        <w:ind w:left="2421" w:hanging="720"/>
      </w:pPr>
      <w:rPr>
        <w:rFonts w:hint="default"/>
        <w:u w:val="none"/>
      </w:rPr>
    </w:lvl>
    <w:lvl w:ilvl="1" w:tplc="040C0019" w:tentative="1">
      <w:start w:val="1"/>
      <w:numFmt w:val="lowerLetter"/>
      <w:lvlText w:val="%2."/>
      <w:lvlJc w:val="left"/>
      <w:pPr>
        <w:tabs>
          <w:tab w:val="num" w:pos="2781"/>
        </w:tabs>
        <w:ind w:left="2781" w:hanging="360"/>
      </w:pPr>
    </w:lvl>
    <w:lvl w:ilvl="2" w:tplc="040C001B" w:tentative="1">
      <w:start w:val="1"/>
      <w:numFmt w:val="lowerRoman"/>
      <w:lvlText w:val="%3."/>
      <w:lvlJc w:val="right"/>
      <w:pPr>
        <w:tabs>
          <w:tab w:val="num" w:pos="3501"/>
        </w:tabs>
        <w:ind w:left="3501" w:hanging="180"/>
      </w:pPr>
    </w:lvl>
    <w:lvl w:ilvl="3" w:tplc="040C000F" w:tentative="1">
      <w:start w:val="1"/>
      <w:numFmt w:val="decimal"/>
      <w:lvlText w:val="%4."/>
      <w:lvlJc w:val="left"/>
      <w:pPr>
        <w:tabs>
          <w:tab w:val="num" w:pos="4221"/>
        </w:tabs>
        <w:ind w:left="4221" w:hanging="360"/>
      </w:pPr>
    </w:lvl>
    <w:lvl w:ilvl="4" w:tplc="040C0019" w:tentative="1">
      <w:start w:val="1"/>
      <w:numFmt w:val="lowerLetter"/>
      <w:lvlText w:val="%5."/>
      <w:lvlJc w:val="left"/>
      <w:pPr>
        <w:tabs>
          <w:tab w:val="num" w:pos="4941"/>
        </w:tabs>
        <w:ind w:left="4941" w:hanging="360"/>
      </w:pPr>
    </w:lvl>
    <w:lvl w:ilvl="5" w:tplc="040C001B" w:tentative="1">
      <w:start w:val="1"/>
      <w:numFmt w:val="lowerRoman"/>
      <w:lvlText w:val="%6."/>
      <w:lvlJc w:val="right"/>
      <w:pPr>
        <w:tabs>
          <w:tab w:val="num" w:pos="5661"/>
        </w:tabs>
        <w:ind w:left="5661" w:hanging="180"/>
      </w:pPr>
    </w:lvl>
    <w:lvl w:ilvl="6" w:tplc="040C000F" w:tentative="1">
      <w:start w:val="1"/>
      <w:numFmt w:val="decimal"/>
      <w:lvlText w:val="%7."/>
      <w:lvlJc w:val="left"/>
      <w:pPr>
        <w:tabs>
          <w:tab w:val="num" w:pos="6381"/>
        </w:tabs>
        <w:ind w:left="6381" w:hanging="360"/>
      </w:pPr>
    </w:lvl>
    <w:lvl w:ilvl="7" w:tplc="040C0019" w:tentative="1">
      <w:start w:val="1"/>
      <w:numFmt w:val="lowerLetter"/>
      <w:lvlText w:val="%8."/>
      <w:lvlJc w:val="left"/>
      <w:pPr>
        <w:tabs>
          <w:tab w:val="num" w:pos="7101"/>
        </w:tabs>
        <w:ind w:left="7101" w:hanging="360"/>
      </w:pPr>
    </w:lvl>
    <w:lvl w:ilvl="8" w:tplc="040C001B" w:tentative="1">
      <w:start w:val="1"/>
      <w:numFmt w:val="lowerRoman"/>
      <w:lvlText w:val="%9."/>
      <w:lvlJc w:val="right"/>
      <w:pPr>
        <w:tabs>
          <w:tab w:val="num" w:pos="7821"/>
        </w:tabs>
        <w:ind w:left="7821" w:hanging="180"/>
      </w:pPr>
    </w:lvl>
  </w:abstractNum>
  <w:num w:numId="1">
    <w:abstractNumId w:val="19"/>
  </w:num>
  <w:num w:numId="2">
    <w:abstractNumId w:val="14"/>
  </w:num>
  <w:num w:numId="3">
    <w:abstractNumId w:val="6"/>
  </w:num>
  <w:num w:numId="4">
    <w:abstractNumId w:val="20"/>
  </w:num>
  <w:num w:numId="5">
    <w:abstractNumId w:val="3"/>
  </w:num>
  <w:num w:numId="6">
    <w:abstractNumId w:val="21"/>
  </w:num>
  <w:num w:numId="7">
    <w:abstractNumId w:val="17"/>
  </w:num>
  <w:num w:numId="8">
    <w:abstractNumId w:val="25"/>
  </w:num>
  <w:num w:numId="9">
    <w:abstractNumId w:val="1"/>
    <w:lvlOverride w:ilvl="0">
      <w:lvl w:ilvl="0">
        <w:start w:val="4"/>
        <w:numFmt w:val="bullet"/>
        <w:lvlText w:val="–"/>
        <w:legacy w:legacy="1" w:legacySpace="0" w:legacyIndent="360"/>
        <w:lvlJc w:val="left"/>
        <w:pPr>
          <w:ind w:left="360" w:hanging="360"/>
        </w:pPr>
      </w:lvl>
    </w:lvlOverride>
  </w:num>
  <w:num w:numId="10">
    <w:abstractNumId w:val="23"/>
  </w:num>
  <w:num w:numId="11">
    <w:abstractNumId w:val="27"/>
  </w:num>
  <w:num w:numId="12">
    <w:abstractNumId w:val="8"/>
  </w:num>
  <w:num w:numId="13">
    <w:abstractNumId w:val="9"/>
  </w:num>
  <w:num w:numId="14">
    <w:abstractNumId w:val="12"/>
  </w:num>
  <w:num w:numId="15">
    <w:abstractNumId w:val="7"/>
  </w:num>
  <w:num w:numId="16">
    <w:abstractNumId w:val="0"/>
  </w:num>
  <w:num w:numId="17">
    <w:abstractNumId w:val="5"/>
  </w:num>
  <w:num w:numId="18">
    <w:abstractNumId w:val="15"/>
  </w:num>
  <w:num w:numId="19">
    <w:abstractNumId w:val="13"/>
  </w:num>
  <w:num w:numId="20">
    <w:abstractNumId w:val="24"/>
    <w:lvlOverride w:ilvl="0">
      <w:startOverride w:val="1"/>
    </w:lvlOverride>
  </w:num>
  <w:num w:numId="21">
    <w:abstractNumId w:val="18"/>
  </w:num>
  <w:num w:numId="22">
    <w:abstractNumId w:val="30"/>
  </w:num>
  <w:num w:numId="23">
    <w:abstractNumId w:val="2"/>
  </w:num>
  <w:num w:numId="24">
    <w:abstractNumId w:val="28"/>
  </w:num>
  <w:num w:numId="25">
    <w:abstractNumId w:val="26"/>
  </w:num>
  <w:num w:numId="26">
    <w:abstractNumId w:val="4"/>
  </w:num>
  <w:num w:numId="27">
    <w:abstractNumId w:val="10"/>
  </w:num>
  <w:num w:numId="28">
    <w:abstractNumId w:val="31"/>
  </w:num>
  <w:num w:numId="29">
    <w:abstractNumId w:val="22"/>
  </w:num>
  <w:num w:numId="30">
    <w:abstractNumId w:val="11"/>
  </w:num>
  <w:num w:numId="31">
    <w:abstractNumId w:val="29"/>
  </w:num>
  <w:num w:numId="32">
    <w:abstractNumId w:val="1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fr-FR"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3042E"/>
    <w:rsid w:val="00031E54"/>
    <w:rsid w:val="000434DD"/>
    <w:rsid w:val="00051744"/>
    <w:rsid w:val="00052A8C"/>
    <w:rsid w:val="00054CC0"/>
    <w:rsid w:val="00061809"/>
    <w:rsid w:val="00067294"/>
    <w:rsid w:val="00071B4F"/>
    <w:rsid w:val="00071B89"/>
    <w:rsid w:val="0008779D"/>
    <w:rsid w:val="000A4E3B"/>
    <w:rsid w:val="000B1355"/>
    <w:rsid w:val="000B39C8"/>
    <w:rsid w:val="000B5F21"/>
    <w:rsid w:val="000D3643"/>
    <w:rsid w:val="000E357E"/>
    <w:rsid w:val="000E46A4"/>
    <w:rsid w:val="000E5AD4"/>
    <w:rsid w:val="000F79D0"/>
    <w:rsid w:val="00100F90"/>
    <w:rsid w:val="001036A6"/>
    <w:rsid w:val="00105FE6"/>
    <w:rsid w:val="00106C9F"/>
    <w:rsid w:val="00107840"/>
    <w:rsid w:val="00107E37"/>
    <w:rsid w:val="00114645"/>
    <w:rsid w:val="001212C3"/>
    <w:rsid w:val="00125075"/>
    <w:rsid w:val="00126E76"/>
    <w:rsid w:val="001279DA"/>
    <w:rsid w:val="001362D4"/>
    <w:rsid w:val="0014479F"/>
    <w:rsid w:val="00146BF4"/>
    <w:rsid w:val="0015403B"/>
    <w:rsid w:val="0015631A"/>
    <w:rsid w:val="00170875"/>
    <w:rsid w:val="00171F87"/>
    <w:rsid w:val="00175C2B"/>
    <w:rsid w:val="001807C8"/>
    <w:rsid w:val="0018757B"/>
    <w:rsid w:val="00196C08"/>
    <w:rsid w:val="001A425E"/>
    <w:rsid w:val="001A5310"/>
    <w:rsid w:val="001B6BB8"/>
    <w:rsid w:val="001B7595"/>
    <w:rsid w:val="001C7902"/>
    <w:rsid w:val="001D3C77"/>
    <w:rsid w:val="001E37A4"/>
    <w:rsid w:val="001E5A3D"/>
    <w:rsid w:val="001E6C9F"/>
    <w:rsid w:val="001F1066"/>
    <w:rsid w:val="001F1530"/>
    <w:rsid w:val="00204E73"/>
    <w:rsid w:val="00205475"/>
    <w:rsid w:val="00206FEC"/>
    <w:rsid w:val="002077CF"/>
    <w:rsid w:val="0021293D"/>
    <w:rsid w:val="00224206"/>
    <w:rsid w:val="00225208"/>
    <w:rsid w:val="00231D59"/>
    <w:rsid w:val="00235FA8"/>
    <w:rsid w:val="002453D4"/>
    <w:rsid w:val="00245D17"/>
    <w:rsid w:val="0024676F"/>
    <w:rsid w:val="00247135"/>
    <w:rsid w:val="00255B2B"/>
    <w:rsid w:val="00263872"/>
    <w:rsid w:val="00263A40"/>
    <w:rsid w:val="00267E79"/>
    <w:rsid w:val="00277770"/>
    <w:rsid w:val="0028187F"/>
    <w:rsid w:val="00285908"/>
    <w:rsid w:val="00290972"/>
    <w:rsid w:val="00294E2E"/>
    <w:rsid w:val="0029662A"/>
    <w:rsid w:val="002A5119"/>
    <w:rsid w:val="002B2915"/>
    <w:rsid w:val="002B5451"/>
    <w:rsid w:val="002B7E91"/>
    <w:rsid w:val="002C1AE3"/>
    <w:rsid w:val="002C1B67"/>
    <w:rsid w:val="002C3570"/>
    <w:rsid w:val="002C4302"/>
    <w:rsid w:val="002C6FD9"/>
    <w:rsid w:val="002C75D7"/>
    <w:rsid w:val="002D4E1A"/>
    <w:rsid w:val="002E3128"/>
    <w:rsid w:val="002F0052"/>
    <w:rsid w:val="002F5398"/>
    <w:rsid w:val="003015A4"/>
    <w:rsid w:val="003042E6"/>
    <w:rsid w:val="00313574"/>
    <w:rsid w:val="00322D9C"/>
    <w:rsid w:val="00324068"/>
    <w:rsid w:val="00330198"/>
    <w:rsid w:val="00330D12"/>
    <w:rsid w:val="003354F8"/>
    <w:rsid w:val="0034238B"/>
    <w:rsid w:val="003515AF"/>
    <w:rsid w:val="0035401D"/>
    <w:rsid w:val="003624EC"/>
    <w:rsid w:val="0036320E"/>
    <w:rsid w:val="0036369F"/>
    <w:rsid w:val="00367015"/>
    <w:rsid w:val="00371872"/>
    <w:rsid w:val="00375D03"/>
    <w:rsid w:val="00384D45"/>
    <w:rsid w:val="00387124"/>
    <w:rsid w:val="00390EF4"/>
    <w:rsid w:val="003917BD"/>
    <w:rsid w:val="0039241F"/>
    <w:rsid w:val="00393357"/>
    <w:rsid w:val="0039367E"/>
    <w:rsid w:val="003A3D37"/>
    <w:rsid w:val="003A7314"/>
    <w:rsid w:val="003B48E1"/>
    <w:rsid w:val="003C4AE1"/>
    <w:rsid w:val="003C5CC1"/>
    <w:rsid w:val="003E0F96"/>
    <w:rsid w:val="003E3CCA"/>
    <w:rsid w:val="003E4550"/>
    <w:rsid w:val="003F7EE5"/>
    <w:rsid w:val="00401BE0"/>
    <w:rsid w:val="00410939"/>
    <w:rsid w:val="00412F93"/>
    <w:rsid w:val="00414A29"/>
    <w:rsid w:val="00422310"/>
    <w:rsid w:val="004266BA"/>
    <w:rsid w:val="004302DA"/>
    <w:rsid w:val="00433255"/>
    <w:rsid w:val="00434092"/>
    <w:rsid w:val="004344EE"/>
    <w:rsid w:val="00441124"/>
    <w:rsid w:val="0044236F"/>
    <w:rsid w:val="00442764"/>
    <w:rsid w:val="00466E92"/>
    <w:rsid w:val="004761E6"/>
    <w:rsid w:val="00476BE3"/>
    <w:rsid w:val="00477082"/>
    <w:rsid w:val="00477CB0"/>
    <w:rsid w:val="0048047C"/>
    <w:rsid w:val="0048292F"/>
    <w:rsid w:val="00493B52"/>
    <w:rsid w:val="00494D45"/>
    <w:rsid w:val="004A1CC7"/>
    <w:rsid w:val="004A3895"/>
    <w:rsid w:val="004A3DE9"/>
    <w:rsid w:val="004A484D"/>
    <w:rsid w:val="004A534F"/>
    <w:rsid w:val="004B0ADD"/>
    <w:rsid w:val="004B2E3F"/>
    <w:rsid w:val="004C3AB2"/>
    <w:rsid w:val="004D03C6"/>
    <w:rsid w:val="004E3612"/>
    <w:rsid w:val="004E428A"/>
    <w:rsid w:val="004E7A20"/>
    <w:rsid w:val="004F2646"/>
    <w:rsid w:val="004F5EDC"/>
    <w:rsid w:val="00502963"/>
    <w:rsid w:val="005069FA"/>
    <w:rsid w:val="00506A70"/>
    <w:rsid w:val="00507355"/>
    <w:rsid w:val="005164C7"/>
    <w:rsid w:val="005174CB"/>
    <w:rsid w:val="00517840"/>
    <w:rsid w:val="00523E67"/>
    <w:rsid w:val="00525FCF"/>
    <w:rsid w:val="0053146A"/>
    <w:rsid w:val="00532CD5"/>
    <w:rsid w:val="0053402B"/>
    <w:rsid w:val="005351FE"/>
    <w:rsid w:val="00536F25"/>
    <w:rsid w:val="00544C31"/>
    <w:rsid w:val="00575AED"/>
    <w:rsid w:val="00575C50"/>
    <w:rsid w:val="005830F3"/>
    <w:rsid w:val="0059422F"/>
    <w:rsid w:val="00595CD7"/>
    <w:rsid w:val="005A6770"/>
    <w:rsid w:val="005B51AE"/>
    <w:rsid w:val="005B7707"/>
    <w:rsid w:val="005C1A53"/>
    <w:rsid w:val="005C25AC"/>
    <w:rsid w:val="005C30D7"/>
    <w:rsid w:val="005C648F"/>
    <w:rsid w:val="005D1D40"/>
    <w:rsid w:val="005D3439"/>
    <w:rsid w:val="005D353C"/>
    <w:rsid w:val="005D419D"/>
    <w:rsid w:val="005E0652"/>
    <w:rsid w:val="005E57FF"/>
    <w:rsid w:val="005F1B22"/>
    <w:rsid w:val="005F1FD8"/>
    <w:rsid w:val="005F64C3"/>
    <w:rsid w:val="00604306"/>
    <w:rsid w:val="00605D08"/>
    <w:rsid w:val="0060660D"/>
    <w:rsid w:val="006073EE"/>
    <w:rsid w:val="00617F77"/>
    <w:rsid w:val="00621D3A"/>
    <w:rsid w:val="00622FEA"/>
    <w:rsid w:val="00624C22"/>
    <w:rsid w:val="00626233"/>
    <w:rsid w:val="00626A9A"/>
    <w:rsid w:val="00626BB7"/>
    <w:rsid w:val="00632C0E"/>
    <w:rsid w:val="006359DE"/>
    <w:rsid w:val="00635BAE"/>
    <w:rsid w:val="006366F0"/>
    <w:rsid w:val="00642DEF"/>
    <w:rsid w:val="0064574E"/>
    <w:rsid w:val="006470AB"/>
    <w:rsid w:val="00660133"/>
    <w:rsid w:val="0066271D"/>
    <w:rsid w:val="0066479A"/>
    <w:rsid w:val="0066575B"/>
    <w:rsid w:val="00666690"/>
    <w:rsid w:val="006768E5"/>
    <w:rsid w:val="00676942"/>
    <w:rsid w:val="00681F73"/>
    <w:rsid w:val="0068378D"/>
    <w:rsid w:val="0069044F"/>
    <w:rsid w:val="006A0CD3"/>
    <w:rsid w:val="006A586A"/>
    <w:rsid w:val="006A70B4"/>
    <w:rsid w:val="006B2616"/>
    <w:rsid w:val="006B2C66"/>
    <w:rsid w:val="006B49E7"/>
    <w:rsid w:val="006B64F2"/>
    <w:rsid w:val="006C6EBC"/>
    <w:rsid w:val="006E5683"/>
    <w:rsid w:val="006E5E23"/>
    <w:rsid w:val="006F2EDD"/>
    <w:rsid w:val="006F7AB9"/>
    <w:rsid w:val="007008FB"/>
    <w:rsid w:val="00711EA6"/>
    <w:rsid w:val="00716DB1"/>
    <w:rsid w:val="0072249F"/>
    <w:rsid w:val="007270CB"/>
    <w:rsid w:val="00727DD7"/>
    <w:rsid w:val="00732677"/>
    <w:rsid w:val="00733759"/>
    <w:rsid w:val="0074070A"/>
    <w:rsid w:val="00741C3B"/>
    <w:rsid w:val="00744FEB"/>
    <w:rsid w:val="00750A47"/>
    <w:rsid w:val="007521CA"/>
    <w:rsid w:val="0075355E"/>
    <w:rsid w:val="00756167"/>
    <w:rsid w:val="0076741E"/>
    <w:rsid w:val="007816F3"/>
    <w:rsid w:val="00781DA9"/>
    <w:rsid w:val="00787F6C"/>
    <w:rsid w:val="00795630"/>
    <w:rsid w:val="007974BB"/>
    <w:rsid w:val="007A7459"/>
    <w:rsid w:val="007B6EDE"/>
    <w:rsid w:val="007C1DBF"/>
    <w:rsid w:val="007C6484"/>
    <w:rsid w:val="007D4DBF"/>
    <w:rsid w:val="007D77EF"/>
    <w:rsid w:val="007E0166"/>
    <w:rsid w:val="007E114A"/>
    <w:rsid w:val="007E66D7"/>
    <w:rsid w:val="007E7B84"/>
    <w:rsid w:val="00800408"/>
    <w:rsid w:val="00802570"/>
    <w:rsid w:val="0080373D"/>
    <w:rsid w:val="00803993"/>
    <w:rsid w:val="0080478C"/>
    <w:rsid w:val="008047BA"/>
    <w:rsid w:val="00806900"/>
    <w:rsid w:val="008222A5"/>
    <w:rsid w:val="00830504"/>
    <w:rsid w:val="00840C95"/>
    <w:rsid w:val="00840F6F"/>
    <w:rsid w:val="008429C7"/>
    <w:rsid w:val="00842F54"/>
    <w:rsid w:val="00843AB2"/>
    <w:rsid w:val="008522C9"/>
    <w:rsid w:val="00852AE9"/>
    <w:rsid w:val="00861C65"/>
    <w:rsid w:val="00864CA6"/>
    <w:rsid w:val="0086613F"/>
    <w:rsid w:val="00866B33"/>
    <w:rsid w:val="008738F8"/>
    <w:rsid w:val="00875127"/>
    <w:rsid w:val="00880CDC"/>
    <w:rsid w:val="00884D17"/>
    <w:rsid w:val="008873F2"/>
    <w:rsid w:val="00891D8F"/>
    <w:rsid w:val="00891EF0"/>
    <w:rsid w:val="008A1A1A"/>
    <w:rsid w:val="008B4E2E"/>
    <w:rsid w:val="008B5AD0"/>
    <w:rsid w:val="008C23D2"/>
    <w:rsid w:val="008C658D"/>
    <w:rsid w:val="008D5C18"/>
    <w:rsid w:val="008D622C"/>
    <w:rsid w:val="008D62AD"/>
    <w:rsid w:val="008D7208"/>
    <w:rsid w:val="008D7CD7"/>
    <w:rsid w:val="008E00F9"/>
    <w:rsid w:val="008E0E43"/>
    <w:rsid w:val="008E49C2"/>
    <w:rsid w:val="008F00D3"/>
    <w:rsid w:val="00900D23"/>
    <w:rsid w:val="009126C5"/>
    <w:rsid w:val="00913E17"/>
    <w:rsid w:val="009216FA"/>
    <w:rsid w:val="0092335D"/>
    <w:rsid w:val="00923AAA"/>
    <w:rsid w:val="009336D3"/>
    <w:rsid w:val="009339C7"/>
    <w:rsid w:val="009402B2"/>
    <w:rsid w:val="00942A8F"/>
    <w:rsid w:val="00944C72"/>
    <w:rsid w:val="00947ABC"/>
    <w:rsid w:val="00947C81"/>
    <w:rsid w:val="00953DE1"/>
    <w:rsid w:val="00960B0E"/>
    <w:rsid w:val="009717EC"/>
    <w:rsid w:val="009843F2"/>
    <w:rsid w:val="00984AC8"/>
    <w:rsid w:val="00986F54"/>
    <w:rsid w:val="00995FF9"/>
    <w:rsid w:val="009A166F"/>
    <w:rsid w:val="009A4E00"/>
    <w:rsid w:val="009B2B47"/>
    <w:rsid w:val="009B3858"/>
    <w:rsid w:val="009B4351"/>
    <w:rsid w:val="009C0EB1"/>
    <w:rsid w:val="009C3959"/>
    <w:rsid w:val="009C4289"/>
    <w:rsid w:val="009D5C94"/>
    <w:rsid w:val="009E6704"/>
    <w:rsid w:val="009F6F91"/>
    <w:rsid w:val="009F71A9"/>
    <w:rsid w:val="00A0252F"/>
    <w:rsid w:val="00A0394F"/>
    <w:rsid w:val="00A136B1"/>
    <w:rsid w:val="00A1501E"/>
    <w:rsid w:val="00A168C5"/>
    <w:rsid w:val="00A22DD2"/>
    <w:rsid w:val="00A233F2"/>
    <w:rsid w:val="00A24AB0"/>
    <w:rsid w:val="00A27A51"/>
    <w:rsid w:val="00A37648"/>
    <w:rsid w:val="00A40035"/>
    <w:rsid w:val="00A45012"/>
    <w:rsid w:val="00A45CFD"/>
    <w:rsid w:val="00A52FEF"/>
    <w:rsid w:val="00A60515"/>
    <w:rsid w:val="00A6055F"/>
    <w:rsid w:val="00A61508"/>
    <w:rsid w:val="00A63258"/>
    <w:rsid w:val="00A719CD"/>
    <w:rsid w:val="00A76200"/>
    <w:rsid w:val="00A80C0C"/>
    <w:rsid w:val="00A817A1"/>
    <w:rsid w:val="00A94941"/>
    <w:rsid w:val="00A955B0"/>
    <w:rsid w:val="00AA599C"/>
    <w:rsid w:val="00AB5491"/>
    <w:rsid w:val="00AC0DCB"/>
    <w:rsid w:val="00AC1E16"/>
    <w:rsid w:val="00AD051B"/>
    <w:rsid w:val="00AD5ACE"/>
    <w:rsid w:val="00AD600A"/>
    <w:rsid w:val="00AD6D6E"/>
    <w:rsid w:val="00AE6899"/>
    <w:rsid w:val="00AF1D52"/>
    <w:rsid w:val="00AF66C6"/>
    <w:rsid w:val="00B02C2A"/>
    <w:rsid w:val="00B065B3"/>
    <w:rsid w:val="00B2070E"/>
    <w:rsid w:val="00B22704"/>
    <w:rsid w:val="00B31021"/>
    <w:rsid w:val="00B35BAA"/>
    <w:rsid w:val="00B42658"/>
    <w:rsid w:val="00B45105"/>
    <w:rsid w:val="00B66558"/>
    <w:rsid w:val="00B71E65"/>
    <w:rsid w:val="00B9039A"/>
    <w:rsid w:val="00B93911"/>
    <w:rsid w:val="00BA1FE3"/>
    <w:rsid w:val="00BA3810"/>
    <w:rsid w:val="00BA671B"/>
    <w:rsid w:val="00BB28D9"/>
    <w:rsid w:val="00BB6D3E"/>
    <w:rsid w:val="00BC14AF"/>
    <w:rsid w:val="00BC1B0C"/>
    <w:rsid w:val="00BD0003"/>
    <w:rsid w:val="00BD19FC"/>
    <w:rsid w:val="00BD2E1F"/>
    <w:rsid w:val="00BE4AD4"/>
    <w:rsid w:val="00BE57F7"/>
    <w:rsid w:val="00BF669A"/>
    <w:rsid w:val="00BF7B0F"/>
    <w:rsid w:val="00C01BA2"/>
    <w:rsid w:val="00C06D43"/>
    <w:rsid w:val="00C20102"/>
    <w:rsid w:val="00C3330F"/>
    <w:rsid w:val="00C41763"/>
    <w:rsid w:val="00C46AB3"/>
    <w:rsid w:val="00C50A94"/>
    <w:rsid w:val="00C5378C"/>
    <w:rsid w:val="00C6488B"/>
    <w:rsid w:val="00C770DC"/>
    <w:rsid w:val="00C85CB4"/>
    <w:rsid w:val="00C92FC2"/>
    <w:rsid w:val="00C94C56"/>
    <w:rsid w:val="00C94ECC"/>
    <w:rsid w:val="00C96161"/>
    <w:rsid w:val="00CC4216"/>
    <w:rsid w:val="00CD1803"/>
    <w:rsid w:val="00CE2B48"/>
    <w:rsid w:val="00CE4051"/>
    <w:rsid w:val="00CE74D8"/>
    <w:rsid w:val="00CF0B60"/>
    <w:rsid w:val="00CF4560"/>
    <w:rsid w:val="00CF4FDF"/>
    <w:rsid w:val="00CF7F7E"/>
    <w:rsid w:val="00D0072A"/>
    <w:rsid w:val="00D03506"/>
    <w:rsid w:val="00D30938"/>
    <w:rsid w:val="00D33C13"/>
    <w:rsid w:val="00D6296A"/>
    <w:rsid w:val="00D70AB8"/>
    <w:rsid w:val="00D70D1A"/>
    <w:rsid w:val="00D70E86"/>
    <w:rsid w:val="00D72927"/>
    <w:rsid w:val="00D90D94"/>
    <w:rsid w:val="00D927B5"/>
    <w:rsid w:val="00D93348"/>
    <w:rsid w:val="00D93B78"/>
    <w:rsid w:val="00D957B6"/>
    <w:rsid w:val="00DA697D"/>
    <w:rsid w:val="00DD0C26"/>
    <w:rsid w:val="00DD3118"/>
    <w:rsid w:val="00DE2E5B"/>
    <w:rsid w:val="00DE4654"/>
    <w:rsid w:val="00DF6B9E"/>
    <w:rsid w:val="00E00357"/>
    <w:rsid w:val="00E03DDC"/>
    <w:rsid w:val="00E06061"/>
    <w:rsid w:val="00E1046F"/>
    <w:rsid w:val="00E106D5"/>
    <w:rsid w:val="00E117FA"/>
    <w:rsid w:val="00E11F3C"/>
    <w:rsid w:val="00E13131"/>
    <w:rsid w:val="00E2459B"/>
    <w:rsid w:val="00E32A2C"/>
    <w:rsid w:val="00E36A8A"/>
    <w:rsid w:val="00E40A54"/>
    <w:rsid w:val="00E41853"/>
    <w:rsid w:val="00E4299D"/>
    <w:rsid w:val="00E5698E"/>
    <w:rsid w:val="00E6128F"/>
    <w:rsid w:val="00E62DEB"/>
    <w:rsid w:val="00E657C4"/>
    <w:rsid w:val="00E66ABD"/>
    <w:rsid w:val="00E73BF1"/>
    <w:rsid w:val="00E77EF1"/>
    <w:rsid w:val="00E823A2"/>
    <w:rsid w:val="00E832BF"/>
    <w:rsid w:val="00E85525"/>
    <w:rsid w:val="00E8569B"/>
    <w:rsid w:val="00E9019F"/>
    <w:rsid w:val="00E96403"/>
    <w:rsid w:val="00E96B1A"/>
    <w:rsid w:val="00E96F77"/>
    <w:rsid w:val="00EA1EE0"/>
    <w:rsid w:val="00EA2401"/>
    <w:rsid w:val="00EA280B"/>
    <w:rsid w:val="00EC11BD"/>
    <w:rsid w:val="00ED219A"/>
    <w:rsid w:val="00ED5354"/>
    <w:rsid w:val="00EE23E7"/>
    <w:rsid w:val="00EE7567"/>
    <w:rsid w:val="00EF6A45"/>
    <w:rsid w:val="00EF71E7"/>
    <w:rsid w:val="00F01685"/>
    <w:rsid w:val="00F07123"/>
    <w:rsid w:val="00F10E6F"/>
    <w:rsid w:val="00F111C6"/>
    <w:rsid w:val="00F11639"/>
    <w:rsid w:val="00F1533A"/>
    <w:rsid w:val="00F24FA5"/>
    <w:rsid w:val="00F31C81"/>
    <w:rsid w:val="00F32F21"/>
    <w:rsid w:val="00F333A4"/>
    <w:rsid w:val="00F37828"/>
    <w:rsid w:val="00F511CA"/>
    <w:rsid w:val="00F51CA9"/>
    <w:rsid w:val="00F749E3"/>
    <w:rsid w:val="00F74F6B"/>
    <w:rsid w:val="00F80AE6"/>
    <w:rsid w:val="00F847A0"/>
    <w:rsid w:val="00F86EA4"/>
    <w:rsid w:val="00F94E8E"/>
    <w:rsid w:val="00F97080"/>
    <w:rsid w:val="00FA4770"/>
    <w:rsid w:val="00FB03F9"/>
    <w:rsid w:val="00FB5913"/>
    <w:rsid w:val="00FC76C2"/>
    <w:rsid w:val="00FD0257"/>
    <w:rsid w:val="00FD0359"/>
    <w:rsid w:val="00FD06FD"/>
    <w:rsid w:val="00FD7D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741C3B"/>
    <w:pPr>
      <w:keepNext/>
      <w:keepLines/>
      <w:tabs>
        <w:tab w:val="num" w:pos="567"/>
      </w:tabs>
      <w:spacing w:before="240" w:after="120"/>
      <w:ind w:left="567" w:hanging="567"/>
      <w:outlineLvl w:val="3"/>
    </w:pPr>
    <w:rPr>
      <w:sz w:val="24"/>
      <w:szCs w:val="24"/>
      <w:u w:val="single"/>
    </w:rPr>
  </w:style>
  <w:style w:type="paragraph" w:styleId="Titre5">
    <w:name w:val="heading 5"/>
    <w:next w:val="Corpsdetexte"/>
    <w:qFormat/>
    <w:rsid w:val="00741C3B"/>
    <w:pPr>
      <w:keepNext/>
      <w:keepLines/>
      <w:tabs>
        <w:tab w:val="num" w:pos="567"/>
      </w:tabs>
      <w:spacing w:before="240" w:after="120"/>
      <w:ind w:left="567" w:hanging="567"/>
      <w:outlineLvl w:val="4"/>
    </w:pPr>
    <w:rPr>
      <w:sz w:val="24"/>
      <w:szCs w:val="24"/>
    </w:rPr>
  </w:style>
  <w:style w:type="paragraph" w:styleId="Titre6">
    <w:name w:val="heading 6"/>
    <w:next w:val="Corpsdetexte"/>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Titre7">
    <w:name w:val="heading 7"/>
    <w:basedOn w:val="Normal"/>
    <w:next w:val="Corpsdetexte"/>
    <w:qFormat/>
    <w:rsid w:val="00741C3B"/>
    <w:pPr>
      <w:keepNext/>
      <w:outlineLvl w:val="6"/>
    </w:pPr>
    <w:rPr>
      <w:i/>
      <w:iCs/>
      <w:sz w:val="24"/>
      <w:szCs w:val="24"/>
    </w:rPr>
  </w:style>
  <w:style w:type="paragraph" w:styleId="Titre8">
    <w:name w:val="heading 8"/>
    <w:basedOn w:val="Normal"/>
    <w:next w:val="Normal"/>
    <w:qFormat/>
    <w:rsid w:val="00741C3B"/>
    <w:pPr>
      <w:numPr>
        <w:ilvl w:val="7"/>
        <w:numId w:val="25"/>
      </w:numPr>
      <w:spacing w:before="240" w:after="60"/>
      <w:outlineLvl w:val="7"/>
    </w:pPr>
    <w:rPr>
      <w:i/>
      <w:iCs/>
      <w:sz w:val="24"/>
      <w:szCs w:val="24"/>
    </w:rPr>
  </w:style>
  <w:style w:type="paragraph" w:styleId="Titre9">
    <w:name w:val="heading 9"/>
    <w:basedOn w:val="Normal"/>
    <w:next w:val="Normal"/>
    <w:qFormat/>
    <w:rsid w:val="00741C3B"/>
    <w:pPr>
      <w:numPr>
        <w:ilvl w:val="8"/>
        <w:numId w:val="25"/>
      </w:numPr>
      <w:spacing w:before="240" w:after="60"/>
      <w:outlineLvl w:val="8"/>
    </w:pPr>
    <w:rPr>
      <w:i/>
      <w:iCs/>
      <w:sz w:val="24"/>
      <w:szCs w:val="24"/>
    </w:rPr>
  </w:style>
  <w:style w:type="character" w:default="1" w:styleId="Policepardfaut">
    <w:name w:val="Default Paragraph Font"/>
    <w:aliases w:val=" Car Car Car Car Car"/>
    <w:link w:val="CarCar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Retraitnormal">
    <w:name w:val="Normal Indent"/>
    <w:basedOn w:val="Normal"/>
    <w:pPr>
      <w:ind w:left="708"/>
    </w:pPr>
  </w:style>
  <w:style w:type="paragraph" w:styleId="Corpsdetexte">
    <w:name w:val="Body Text"/>
    <w:basedOn w:val="Normal"/>
    <w:rsid w:val="00EE7567"/>
    <w:pPr>
      <w:spacing w:before="120" w:after="120"/>
      <w:ind w:firstLine="709"/>
      <w:jc w:val="both"/>
    </w:pPr>
    <w:rPr>
      <w:sz w:val="24"/>
    </w:r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character" w:customStyle="1" w:styleId="ETCar">
    <w:name w:val="ET Car"/>
    <w:basedOn w:val="Policepardfaut"/>
    <w:link w:val="ET"/>
    <w:rsid w:val="001036A6"/>
    <w:rPr>
      <w:b/>
      <w:bCs/>
      <w:caps/>
      <w:sz w:val="24"/>
      <w:szCs w:val="24"/>
      <w:lang w:val="fr-FR" w:eastAsia="fr-FR" w:bidi="ar-SA"/>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0">
    <w:name w:val="P0"/>
    <w:basedOn w:val="ET"/>
    <w:link w:val="P0Car"/>
    <w:pPr>
      <w:ind w:left="1701"/>
      <w:jc w:val="both"/>
    </w:pPr>
    <w:rPr>
      <w:b w:val="0"/>
      <w:bCs w:val="0"/>
      <w:caps w:val="0"/>
    </w:rPr>
  </w:style>
  <w:style w:type="character" w:customStyle="1" w:styleId="P0Car">
    <w:name w:val="P0 Car"/>
    <w:basedOn w:val="ETCar"/>
    <w:link w:val="P00"/>
    <w:rsid w:val="001036A6"/>
    <w:rPr>
      <w:b/>
      <w:bCs/>
      <w:caps/>
      <w:sz w:val="24"/>
      <w:szCs w:val="24"/>
      <w:lang w:val="fr-FR" w:eastAsia="fr-FR" w:bidi="ar-SA"/>
    </w:rPr>
  </w:style>
  <w:style w:type="paragraph" w:customStyle="1" w:styleId="EL">
    <w:name w:val="EL"/>
    <w:basedOn w:val="P00"/>
    <w:pPr>
      <w:spacing w:after="240"/>
      <w:ind w:firstLine="1418"/>
    </w:pPr>
  </w:style>
  <w:style w:type="paragraph" w:customStyle="1" w:styleId="IN">
    <w:name w:val="IN"/>
    <w:basedOn w:val="P00"/>
    <w:link w:val="INCar"/>
    <w:pPr>
      <w:ind w:left="0"/>
      <w:jc w:val="left"/>
    </w:pPr>
    <w:rPr>
      <w:i/>
      <w:iCs/>
      <w:sz w:val="16"/>
      <w:szCs w:val="16"/>
    </w:rPr>
  </w:style>
  <w:style w:type="character" w:customStyle="1" w:styleId="INCar">
    <w:name w:val="IN Car"/>
    <w:basedOn w:val="P0Car"/>
    <w:link w:val="IN"/>
    <w:rsid w:val="001036A6"/>
    <w:rPr>
      <w:b/>
      <w:bCs/>
      <w:i/>
      <w:iCs/>
      <w:caps/>
      <w:sz w:val="16"/>
      <w:szCs w:val="16"/>
      <w:lang w:val="fr-FR" w:eastAsia="fr-FR" w:bidi="ar-SA"/>
    </w:rPr>
  </w:style>
  <w:style w:type="paragraph" w:customStyle="1" w:styleId="RE">
    <w:name w:val="RE"/>
    <w:basedOn w:val="P0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character" w:customStyle="1" w:styleId="PSCar">
    <w:name w:val="PS Car"/>
    <w:basedOn w:val="INCar"/>
    <w:link w:val="PS"/>
    <w:rsid w:val="001036A6"/>
    <w:rPr>
      <w:b/>
      <w:bCs/>
      <w:i/>
      <w:iCs/>
      <w:caps/>
      <w:sz w:val="24"/>
      <w:szCs w:val="24"/>
      <w:lang w:val="fr-FR" w:eastAsia="fr-FR" w:bidi="ar-SA"/>
    </w:rPr>
  </w:style>
  <w:style w:type="paragraph" w:customStyle="1" w:styleId="AR">
    <w:name w:val="AR"/>
    <w:basedOn w:val="IN"/>
    <w:pPr>
      <w:spacing w:before="720" w:after="720"/>
      <w:ind w:left="5103"/>
    </w:pPr>
    <w:rPr>
      <w:i w:val="0"/>
      <w:iCs w:val="0"/>
      <w:caps/>
      <w:sz w:val="24"/>
      <w:szCs w:val="24"/>
      <w:u w:val="single"/>
    </w:rPr>
  </w:style>
  <w:style w:type="paragraph" w:styleId="Textedebulles">
    <w:name w:val="Balloon Text"/>
    <w:basedOn w:val="Normal"/>
    <w:semiHidden/>
    <w:rsid w:val="00171F87"/>
    <w:rPr>
      <w:rFonts w:ascii="Tahoma" w:hAnsi="Tahoma" w:cs="Tahoma"/>
      <w:sz w:val="16"/>
      <w:szCs w:val="16"/>
    </w:rPr>
  </w:style>
  <w:style w:type="paragraph" w:customStyle="1" w:styleId="Tableau">
    <w:name w:val="Tableau"/>
    <w:rsid w:val="00EE7567"/>
    <w:pPr>
      <w:keepNext/>
      <w:spacing w:line="360" w:lineRule="atLeast"/>
      <w:jc w:val="center"/>
    </w:pPr>
    <w:rPr>
      <w:rFonts w:ascii="CG Times" w:hAnsi="CG Times"/>
      <w:sz w:val="24"/>
    </w:rPr>
  </w:style>
  <w:style w:type="table" w:styleId="Grilledutableau">
    <w:name w:val="Table Grid"/>
    <w:basedOn w:val="TableauNormal"/>
    <w:rsid w:val="00EE7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rsid w:val="00EE7567"/>
    <w:pPr>
      <w:keepNext/>
      <w:keepLines/>
      <w:widowControl w:val="0"/>
      <w:spacing w:before="360"/>
      <w:jc w:val="center"/>
    </w:pPr>
    <w:rPr>
      <w:b/>
      <w:caps/>
      <w:sz w:val="24"/>
      <w:szCs w:val="24"/>
    </w:rPr>
  </w:style>
  <w:style w:type="paragraph" w:customStyle="1" w:styleId="corpsdetexte0">
    <w:name w:val="corps de texte"/>
    <w:basedOn w:val="Normal"/>
    <w:link w:val="corpsdetexteCar"/>
    <w:rsid w:val="00EE7567"/>
    <w:pPr>
      <w:spacing w:before="240"/>
      <w:jc w:val="both"/>
    </w:pPr>
    <w:rPr>
      <w:sz w:val="24"/>
      <w:szCs w:val="24"/>
    </w:rPr>
  </w:style>
  <w:style w:type="character" w:customStyle="1" w:styleId="corpsdetexteCar">
    <w:name w:val="corps de texte Car"/>
    <w:basedOn w:val="Policepardfaut"/>
    <w:link w:val="corpsdetexte0"/>
    <w:rsid w:val="00384D45"/>
    <w:rPr>
      <w:sz w:val="24"/>
      <w:szCs w:val="24"/>
      <w:lang w:val="fr-FR" w:eastAsia="fr-FR" w:bidi="ar-SA"/>
    </w:rPr>
  </w:style>
  <w:style w:type="paragraph" w:styleId="Pieddepage">
    <w:name w:val="footer"/>
    <w:basedOn w:val="Normal"/>
    <w:rsid w:val="00EE7567"/>
    <w:pPr>
      <w:tabs>
        <w:tab w:val="center" w:pos="4536"/>
        <w:tab w:val="right" w:pos="9072"/>
      </w:tabs>
    </w:pPr>
  </w:style>
  <w:style w:type="character" w:styleId="Numrodepage">
    <w:name w:val="page number"/>
    <w:basedOn w:val="Policepardfaut"/>
    <w:rsid w:val="001036A6"/>
  </w:style>
  <w:style w:type="paragraph" w:customStyle="1" w:styleId="ps0">
    <w:name w:val="ps"/>
    <w:basedOn w:val="Normal"/>
    <w:rsid w:val="00371872"/>
    <w:pPr>
      <w:spacing w:before="100" w:beforeAutospacing="1" w:after="100" w:afterAutospacing="1"/>
    </w:pPr>
    <w:rPr>
      <w:sz w:val="24"/>
      <w:szCs w:val="24"/>
    </w:rPr>
  </w:style>
  <w:style w:type="paragraph" w:customStyle="1" w:styleId="ParagrapheStandard">
    <w:name w:val="Paragraphe Standard"/>
    <w:rsid w:val="00384D45"/>
    <w:pPr>
      <w:keepLines/>
      <w:spacing w:before="120" w:after="120" w:line="240" w:lineRule="exact"/>
      <w:ind w:left="567" w:firstLine="1134"/>
      <w:jc w:val="both"/>
    </w:pPr>
    <w:rPr>
      <w:rFonts w:ascii="Times" w:hAnsi="Times"/>
      <w:sz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rsid w:val="007C6484"/>
    <w:rPr>
      <w:sz w:val="24"/>
      <w:lang w:val="fr-FR" w:eastAsia="fr-FR" w:bidi="ar-SA"/>
    </w:rPr>
  </w:style>
  <w:style w:type="paragraph" w:customStyle="1" w:styleId="ParagrapheAlina">
    <w:name w:val="Paragraphe Alinéa"/>
    <w:rsid w:val="00D70D1A"/>
    <w:pPr>
      <w:spacing w:before="240" w:line="264" w:lineRule="exact"/>
      <w:ind w:left="1418" w:firstLine="1418"/>
      <w:jc w:val="both"/>
    </w:pPr>
    <w:rPr>
      <w:rFonts w:ascii="Tms Rmn" w:hAnsi="Tms Rmn"/>
      <w:sz w:val="24"/>
    </w:rPr>
  </w:style>
  <w:style w:type="paragraph" w:customStyle="1" w:styleId="paragrapheCEntr">
    <w:name w:val="paragraphe CEntré"/>
    <w:rsid w:val="00D70D1A"/>
    <w:pPr>
      <w:keepNext/>
      <w:keepLines/>
      <w:spacing w:before="480" w:after="240" w:line="264" w:lineRule="exact"/>
      <w:ind w:left="1418"/>
      <w:jc w:val="center"/>
    </w:pPr>
    <w:rPr>
      <w:rFonts w:ascii="Tms Rmn" w:hAnsi="Tms Rmn"/>
      <w:sz w:val="24"/>
    </w:rPr>
  </w:style>
  <w:style w:type="paragraph" w:styleId="NormalWeb">
    <w:name w:val="Normal (Web)"/>
    <w:basedOn w:val="Normal"/>
    <w:rsid w:val="005C1A53"/>
    <w:pPr>
      <w:spacing w:before="100" w:beforeAutospacing="1" w:after="100" w:afterAutospacing="1"/>
    </w:pPr>
    <w:rPr>
      <w:sz w:val="24"/>
      <w:szCs w:val="24"/>
    </w:rPr>
  </w:style>
  <w:style w:type="paragraph" w:customStyle="1" w:styleId="Aenlever">
    <w:name w:val="A enlever"/>
    <w:basedOn w:val="Corpsdetexte"/>
    <w:rsid w:val="00741C3B"/>
    <w:pPr>
      <w:keepLines/>
      <w:pBdr>
        <w:left w:val="single" w:sz="4" w:space="8" w:color="auto"/>
      </w:pBdr>
      <w:spacing w:before="240" w:after="240"/>
      <w:ind w:firstLine="1134"/>
    </w:pPr>
    <w:rPr>
      <w:szCs w:val="24"/>
    </w:rPr>
  </w:style>
  <w:style w:type="paragraph" w:customStyle="1" w:styleId="Apostille">
    <w:name w:val="Apostille"/>
    <w:next w:val="Corpsdetexte"/>
    <w:rsid w:val="00741C3B"/>
    <w:pPr>
      <w:spacing w:before="120" w:after="400"/>
      <w:jc w:val="right"/>
    </w:pPr>
    <w:rPr>
      <w:b/>
      <w:bCs/>
      <w:noProof/>
      <w:color w:val="000080"/>
      <w:sz w:val="28"/>
      <w:szCs w:val="28"/>
    </w:rPr>
  </w:style>
  <w:style w:type="paragraph" w:customStyle="1" w:styleId="Chambre">
    <w:name w:val="Chambre"/>
    <w:basedOn w:val="Normal"/>
    <w:rsid w:val="00741C3B"/>
    <w:pPr>
      <w:keepNext/>
      <w:spacing w:before="60"/>
      <w:jc w:val="center"/>
      <w:outlineLvl w:val="5"/>
    </w:pPr>
    <w:rPr>
      <w:b/>
      <w:bCs/>
      <w:smallCaps/>
      <w:sz w:val="24"/>
      <w:szCs w:val="24"/>
    </w:rPr>
  </w:style>
  <w:style w:type="paragraph" w:styleId="Citation">
    <w:name w:val="Quote"/>
    <w:basedOn w:val="Corpsdetexte"/>
    <w:qFormat/>
    <w:rsid w:val="00741C3B"/>
    <w:pPr>
      <w:keepLines/>
      <w:spacing w:before="240" w:after="0"/>
      <w:ind w:left="1134" w:right="1134" w:firstLine="1134"/>
    </w:pPr>
    <w:rPr>
      <w:szCs w:val="24"/>
    </w:rPr>
  </w:style>
  <w:style w:type="paragraph" w:customStyle="1" w:styleId="Encadr">
    <w:name w:val="Encadré"/>
    <w:basedOn w:val="Normal"/>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rsid w:val="00741C3B"/>
    <w:pPr>
      <w:keepNext/>
      <w:tabs>
        <w:tab w:val="num" w:pos="927"/>
        <w:tab w:val="left" w:pos="993"/>
      </w:tabs>
      <w:ind w:left="907" w:hanging="340"/>
    </w:pPr>
    <w:rPr>
      <w:sz w:val="24"/>
      <w:szCs w:val="24"/>
    </w:rPr>
  </w:style>
  <w:style w:type="paragraph" w:customStyle="1" w:styleId="Enumration2">
    <w:name w:val="Enumération 2"/>
    <w:basedOn w:val="Corpsdetexte"/>
    <w:rsid w:val="00741C3B"/>
    <w:pPr>
      <w:keepLines/>
      <w:tabs>
        <w:tab w:val="left" w:pos="1701"/>
      </w:tabs>
      <w:spacing w:before="0"/>
      <w:ind w:left="1701" w:hanging="567"/>
    </w:pPr>
    <w:rPr>
      <w:szCs w:val="24"/>
    </w:rPr>
  </w:style>
  <w:style w:type="paragraph" w:customStyle="1" w:styleId="Enumrationliste">
    <w:name w:val="Enumération liste"/>
    <w:basedOn w:val="Corpsdetexte"/>
    <w:rsid w:val="00741C3B"/>
    <w:pPr>
      <w:keepLines/>
      <w:tabs>
        <w:tab w:val="num" w:pos="1134"/>
      </w:tabs>
      <w:ind w:left="1134" w:hanging="567"/>
    </w:pPr>
    <w:rPr>
      <w:szCs w:val="24"/>
    </w:rPr>
  </w:style>
  <w:style w:type="paragraph" w:customStyle="1" w:styleId="Introconclu">
    <w:name w:val="Intro_conclu"/>
    <w:basedOn w:val="Normal"/>
    <w:next w:val="Corpsdetexte"/>
    <w:rsid w:val="00741C3B"/>
    <w:pPr>
      <w:keepNext/>
      <w:keepLines/>
      <w:spacing w:before="360" w:after="240"/>
    </w:pPr>
    <w:rPr>
      <w:b/>
      <w:bCs/>
      <w:caps/>
      <w:sz w:val="28"/>
      <w:szCs w:val="28"/>
    </w:rPr>
  </w:style>
  <w:style w:type="paragraph" w:customStyle="1" w:styleId="Tableaunumroettitre">
    <w:name w:val="Tableau numéro et titre"/>
    <w:basedOn w:val="Corpsdetexte"/>
    <w:next w:val="Corpsdetexte"/>
    <w:rsid w:val="00741C3B"/>
    <w:pPr>
      <w:keepNext/>
      <w:keepLines/>
      <w:numPr>
        <w:numId w:val="21"/>
      </w:numPr>
      <w:spacing w:before="240"/>
      <w:ind w:left="0" w:firstLine="0"/>
      <w:jc w:val="center"/>
    </w:pPr>
    <w:rPr>
      <w:b/>
      <w:bCs/>
      <w:szCs w:val="24"/>
    </w:rPr>
  </w:style>
  <w:style w:type="paragraph" w:customStyle="1" w:styleId="Observationnumro">
    <w:name w:val="Observation numéro"/>
    <w:basedOn w:val="Tableaunumroettitre"/>
    <w:rsid w:val="00741C3B"/>
    <w:pPr>
      <w:spacing w:before="360" w:after="0"/>
      <w:jc w:val="both"/>
    </w:pPr>
    <w:rPr>
      <w:color w:val="000080"/>
    </w:rPr>
  </w:style>
  <w:style w:type="paragraph" w:customStyle="1" w:styleId="Observations1table">
    <w:name w:val="Observations1 table"/>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rsid w:val="00741C3B"/>
    <w:pPr>
      <w:spacing w:before="160" w:after="160"/>
      <w:jc w:val="center"/>
    </w:pPr>
    <w:rPr>
      <w:sz w:val="24"/>
      <w:szCs w:val="24"/>
    </w:rPr>
  </w:style>
  <w:style w:type="paragraph" w:customStyle="1" w:styleId="Rapporttitre">
    <w:name w:val="Rapport titre"/>
    <w:basedOn w:val="Normal"/>
    <w:next w:val="Corpsdetexte"/>
    <w:rsid w:val="00741C3B"/>
    <w:pPr>
      <w:spacing w:before="240" w:after="240"/>
      <w:jc w:val="center"/>
    </w:pPr>
    <w:rPr>
      <w:b/>
      <w:bCs/>
      <w:smallCaps/>
      <w:sz w:val="36"/>
      <w:szCs w:val="36"/>
    </w:rPr>
  </w:style>
  <w:style w:type="paragraph" w:customStyle="1" w:styleId="Tableaunotedebas">
    <w:name w:val="Tableau note de bas"/>
    <w:basedOn w:val="Normal"/>
    <w:rsid w:val="00741C3B"/>
    <w:pPr>
      <w:ind w:left="284" w:hanging="284"/>
    </w:pPr>
  </w:style>
  <w:style w:type="paragraph" w:customStyle="1" w:styleId="Tableautextedroite">
    <w:name w:val="Tableau texte à droite"/>
    <w:basedOn w:val="Normal"/>
    <w:rsid w:val="00741C3B"/>
    <w:pPr>
      <w:keepNext/>
      <w:keepLines/>
      <w:spacing w:before="60" w:after="20"/>
      <w:ind w:left="57" w:right="57"/>
      <w:jc w:val="right"/>
    </w:pPr>
    <w:rPr>
      <w:color w:val="000000"/>
    </w:rPr>
  </w:style>
  <w:style w:type="paragraph" w:customStyle="1" w:styleId="Tableautextegauche">
    <w:name w:val="Tableau texte à gauche"/>
    <w:rsid w:val="00741C3B"/>
    <w:pPr>
      <w:keepNext/>
      <w:keepLines/>
      <w:spacing w:before="60" w:after="20"/>
    </w:pPr>
    <w:rPr>
      <w:snapToGrid w:val="0"/>
    </w:rPr>
  </w:style>
  <w:style w:type="paragraph" w:customStyle="1" w:styleId="Tableautextecentr">
    <w:name w:val="Tableau texte centré"/>
    <w:basedOn w:val="Normal"/>
    <w:rsid w:val="00741C3B"/>
    <w:pPr>
      <w:keepNext/>
      <w:keepLines/>
      <w:jc w:val="center"/>
    </w:pPr>
    <w:rPr>
      <w:color w:val="000000"/>
    </w:rPr>
  </w:style>
  <w:style w:type="paragraph" w:customStyle="1" w:styleId="Tableautitrecolonnes">
    <w:name w:val="Tableau titre colonnes"/>
    <w:basedOn w:val="Normal"/>
    <w:next w:val="Normal"/>
    <w:rsid w:val="00741C3B"/>
    <w:pPr>
      <w:keepNext/>
      <w:keepLines/>
      <w:spacing w:before="120" w:after="120"/>
      <w:jc w:val="center"/>
    </w:pPr>
    <w:rPr>
      <w:b/>
      <w:bCs/>
      <w:color w:val="000000"/>
    </w:rPr>
  </w:style>
  <w:style w:type="paragraph" w:customStyle="1" w:styleId="Tiret">
    <w:name w:val="Tiret"/>
    <w:basedOn w:val="Normal"/>
    <w:autoRedefine/>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rsid w:val="00741C3B"/>
    <w:pPr>
      <w:keepLines/>
      <w:tabs>
        <w:tab w:val="left" w:pos="1134"/>
      </w:tabs>
      <w:spacing w:before="120" w:after="120"/>
      <w:ind w:left="1134" w:right="1134" w:hanging="425"/>
      <w:jc w:val="both"/>
    </w:pPr>
    <w:rPr>
      <w:sz w:val="24"/>
      <w:szCs w:val="24"/>
    </w:rPr>
  </w:style>
  <w:style w:type="paragraph" w:customStyle="1" w:styleId="CarCarCar">
    <w:name w:val=" Car Car Car"/>
    <w:basedOn w:val="Normal"/>
    <w:link w:val="Policepardfaut"/>
    <w:rsid w:val="00EF6A45"/>
    <w:pPr>
      <w:spacing w:after="160" w:line="240" w:lineRule="exact"/>
    </w:pPr>
    <w:rPr>
      <w:rFonts w:ascii="Tahoma" w:hAnsi="Tahoma"/>
      <w:lang w:val="en-US" w:eastAsia="en-US"/>
    </w:rPr>
  </w:style>
  <w:style w:type="paragraph" w:customStyle="1" w:styleId="CarCar1">
    <w:name w:val=" Car Car1"/>
    <w:basedOn w:val="Normal"/>
    <w:rsid w:val="00105FE6"/>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0"/>
    <w:rsid w:val="00105FE6"/>
    <w:pPr>
      <w:ind w:firstLine="1259"/>
      <w:jc w:val="both"/>
    </w:pPr>
    <w:rPr>
      <w:color w:val="000000"/>
      <w:szCs w:val="20"/>
    </w:rPr>
  </w:style>
  <w:style w:type="character" w:styleId="Lienhypertexte">
    <w:name w:val="Hyperlink"/>
    <w:basedOn w:val="Policepardfaut"/>
    <w:rsid w:val="00E2459B"/>
    <w:rPr>
      <w:color w:val="0000FF"/>
      <w:u w:val="single"/>
    </w:rPr>
  </w:style>
  <w:style w:type="paragraph" w:styleId="Retraitcorpsdetexte">
    <w:name w:val="Body Text Indent"/>
    <w:basedOn w:val="Normal"/>
    <w:rsid w:val="002C1B67"/>
    <w:pPr>
      <w:spacing w:after="120"/>
      <w:ind w:left="283"/>
    </w:pPr>
  </w:style>
  <w:style w:type="paragraph" w:customStyle="1" w:styleId="p0">
    <w:name w:val="p0"/>
    <w:basedOn w:val="Normal"/>
    <w:rsid w:val="002C1B67"/>
    <w:pPr>
      <w:spacing w:before="100" w:after="10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125271">
      <w:bodyDiv w:val="1"/>
      <w:marLeft w:val="0"/>
      <w:marRight w:val="0"/>
      <w:marTop w:val="0"/>
      <w:marBottom w:val="0"/>
      <w:divBdr>
        <w:top w:val="none" w:sz="0" w:space="0" w:color="auto"/>
        <w:left w:val="none" w:sz="0" w:space="0" w:color="auto"/>
        <w:bottom w:val="none" w:sz="0" w:space="0" w:color="auto"/>
        <w:right w:val="none" w:sz="0" w:space="0" w:color="auto"/>
      </w:divBdr>
    </w:div>
    <w:div w:id="872117238">
      <w:bodyDiv w:val="1"/>
      <w:marLeft w:val="0"/>
      <w:marRight w:val="0"/>
      <w:marTop w:val="0"/>
      <w:marBottom w:val="0"/>
      <w:divBdr>
        <w:top w:val="none" w:sz="0" w:space="0" w:color="auto"/>
        <w:left w:val="none" w:sz="0" w:space="0" w:color="auto"/>
        <w:bottom w:val="none" w:sz="0" w:space="0" w:color="auto"/>
        <w:right w:val="none" w:sz="0" w:space="0" w:color="auto"/>
      </w:divBdr>
    </w:div>
    <w:div w:id="1730685886">
      <w:bodyDiv w:val="1"/>
      <w:marLeft w:val="0"/>
      <w:marRight w:val="0"/>
      <w:marTop w:val="0"/>
      <w:marBottom w:val="0"/>
      <w:divBdr>
        <w:top w:val="none" w:sz="0" w:space="0" w:color="auto"/>
        <w:left w:val="none" w:sz="0" w:space="0" w:color="auto"/>
        <w:bottom w:val="none" w:sz="0" w:space="0" w:color="auto"/>
        <w:right w:val="none" w:sz="0" w:space="0" w:color="auto"/>
      </w:divBdr>
    </w:div>
    <w:div w:id="18957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6</Pages>
  <Words>1737</Words>
  <Characters>9558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11273</CharactersWithSpaces>
  <SharedDoc>false</SharedDoc>
  <HLinks>
    <vt:vector size="12" baseType="variant">
      <vt:variant>
        <vt:i4>524376</vt:i4>
      </vt:variant>
      <vt:variant>
        <vt:i4>5</vt:i4>
      </vt:variant>
      <vt:variant>
        <vt:i4>0</vt:i4>
      </vt:variant>
      <vt:variant>
        <vt:i4>5</vt:i4>
      </vt:variant>
      <vt:variant>
        <vt:lpwstr>javascript:ViewDoc('CC70311')</vt:lpwstr>
      </vt:variant>
      <vt:variant>
        <vt:lpwstr/>
      </vt:variant>
      <vt:variant>
        <vt:i4>524377</vt:i4>
      </vt:variant>
      <vt:variant>
        <vt:i4>2</vt:i4>
      </vt:variant>
      <vt:variant>
        <vt:i4>0</vt:i4>
      </vt:variant>
      <vt:variant>
        <vt:i4>5</vt:i4>
      </vt:variant>
      <vt:variant>
        <vt:lpwstr>javascript:ViewDoc('CC70310')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3</cp:revision>
  <cp:lastPrinted>2010-06-28T07:45:00Z</cp:lastPrinted>
  <dcterms:created xsi:type="dcterms:W3CDTF">2013-10-16T09:09:00Z</dcterms:created>
  <dcterms:modified xsi:type="dcterms:W3CDTF">2013-10-16T09:11:00Z</dcterms:modified>
</cp:coreProperties>
</file>