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40" w:rsidRDefault="00147A40">
      <w:pPr>
        <w:pStyle w:val="ET"/>
      </w:pPr>
      <w:r>
        <w:t>COUR DES COMPTES</w:t>
      </w:r>
    </w:p>
    <w:p w:rsidR="00147A40" w:rsidRDefault="00147A40">
      <w:pPr>
        <w:pStyle w:val="ET"/>
      </w:pPr>
      <w:r>
        <w:tab/>
        <w:t xml:space="preserve">    ------ </w:t>
      </w:r>
    </w:p>
    <w:p w:rsidR="00147A40" w:rsidRDefault="00147A40">
      <w:pPr>
        <w:pStyle w:val="ET"/>
      </w:pPr>
      <w:r>
        <w:t>premiere CHAMBRE</w:t>
      </w:r>
    </w:p>
    <w:p w:rsidR="00147A40" w:rsidRDefault="00147A40" w:rsidP="005366A9">
      <w:pPr>
        <w:pStyle w:val="ET"/>
      </w:pPr>
      <w:r>
        <w:tab/>
        <w:t xml:space="preserve">    ------ </w:t>
      </w:r>
    </w:p>
    <w:p w:rsidR="00147A40" w:rsidRDefault="00147A40">
      <w:pPr>
        <w:pStyle w:val="ET"/>
      </w:pPr>
      <w:r>
        <w:t>premiere section</w:t>
      </w:r>
    </w:p>
    <w:p w:rsidR="00147A40" w:rsidRDefault="00147A40">
      <w:pPr>
        <w:pStyle w:val="ET"/>
      </w:pPr>
      <w:r>
        <w:tab/>
        <w:t xml:space="preserve">    ------ </w:t>
      </w:r>
    </w:p>
    <w:p w:rsidR="00147A40" w:rsidRPr="00947C81" w:rsidRDefault="00147A40" w:rsidP="002D6406">
      <w:pPr>
        <w:pStyle w:val="Header"/>
        <w:ind w:left="567"/>
        <w:rPr>
          <w:b/>
          <w:bCs/>
          <w:i/>
          <w:iCs/>
        </w:rPr>
      </w:pPr>
      <w:r w:rsidRPr="00947C81">
        <w:rPr>
          <w:b/>
          <w:bCs/>
          <w:i/>
          <w:iCs/>
        </w:rPr>
        <w:t xml:space="preserve">Arrêt n° </w:t>
      </w:r>
      <w:r>
        <w:rPr>
          <w:b/>
          <w:bCs/>
          <w:i/>
          <w:iCs/>
        </w:rPr>
        <w:t>58641</w:t>
      </w:r>
      <w:r>
        <w:fldChar w:fldCharType="begin"/>
      </w:r>
      <w:r>
        <w:fldChar w:fldCharType="end"/>
      </w:r>
    </w:p>
    <w:p w:rsidR="00147A40" w:rsidRDefault="00147A40" w:rsidP="005366A9">
      <w:pPr>
        <w:pStyle w:val="OR"/>
      </w:pPr>
      <w:r>
        <w:t>PAYEUR GENERAL DU TRESOR</w:t>
      </w:r>
    </w:p>
    <w:p w:rsidR="00147A40" w:rsidRDefault="00147A40" w:rsidP="005366A9">
      <w:pPr>
        <w:pStyle w:val="OR"/>
      </w:pPr>
    </w:p>
    <w:p w:rsidR="00147A40" w:rsidRDefault="00147A40" w:rsidP="005366A9">
      <w:pPr>
        <w:pStyle w:val="OR"/>
      </w:pPr>
      <w:r>
        <w:t>Exercices 2002, 2003 du 27 janvier et 2004</w:t>
      </w:r>
    </w:p>
    <w:p w:rsidR="00147A40" w:rsidRDefault="00147A40" w:rsidP="005366A9">
      <w:pPr>
        <w:pStyle w:val="OR"/>
      </w:pPr>
    </w:p>
    <w:p w:rsidR="00147A40" w:rsidRDefault="00147A40" w:rsidP="005366A9">
      <w:pPr>
        <w:pStyle w:val="OR"/>
      </w:pPr>
      <w:r>
        <w:t>Rapport n° 2009-976-0</w:t>
      </w:r>
    </w:p>
    <w:p w:rsidR="00147A40" w:rsidRDefault="00147A40" w:rsidP="005366A9">
      <w:pPr>
        <w:pStyle w:val="OR"/>
      </w:pPr>
    </w:p>
    <w:p w:rsidR="00147A40" w:rsidRDefault="00147A40" w:rsidP="005366A9">
      <w:pPr>
        <w:pStyle w:val="OR"/>
      </w:pPr>
      <w:r>
        <w:t>Audience publique du 24 mars 2010</w:t>
      </w:r>
    </w:p>
    <w:p w:rsidR="00147A40" w:rsidRDefault="00147A40" w:rsidP="005366A9">
      <w:pPr>
        <w:pStyle w:val="OR"/>
      </w:pPr>
    </w:p>
    <w:p w:rsidR="00147A40" w:rsidRDefault="00147A40" w:rsidP="005366A9">
      <w:pPr>
        <w:pStyle w:val="OR"/>
      </w:pPr>
      <w:r>
        <w:t>Lecture publique du 28 septembre 2010</w:t>
      </w:r>
    </w:p>
    <w:p w:rsidR="00147A40" w:rsidRDefault="00147A40" w:rsidP="00332DC8">
      <w:pPr>
        <w:pStyle w:val="OR"/>
      </w:pPr>
    </w:p>
    <w:p w:rsidR="00147A40" w:rsidRDefault="00147A40" w:rsidP="00332DC8">
      <w:pPr>
        <w:pStyle w:val="OR"/>
      </w:pPr>
    </w:p>
    <w:p w:rsidR="00147A40" w:rsidRDefault="00147A40" w:rsidP="00332DC8">
      <w:pPr>
        <w:pStyle w:val="P0"/>
        <w:spacing w:after="240"/>
        <w:jc w:val="center"/>
      </w:pPr>
      <w:r>
        <w:t>REPUBLIQUE FRANÇAISE</w:t>
      </w:r>
    </w:p>
    <w:p w:rsidR="00147A40" w:rsidRDefault="00147A40" w:rsidP="00332DC8">
      <w:pPr>
        <w:pStyle w:val="P0"/>
        <w:spacing w:after="240"/>
        <w:jc w:val="center"/>
      </w:pPr>
      <w:r>
        <w:t>AU NOM DU PEUPLE FRANÇAIS</w:t>
      </w:r>
    </w:p>
    <w:p w:rsidR="00147A40" w:rsidRDefault="00147A40" w:rsidP="00332DC8">
      <w:pPr>
        <w:pStyle w:val="P0"/>
        <w:spacing w:after="480"/>
        <w:jc w:val="center"/>
      </w:pPr>
      <w:r>
        <w:t>LA COUR DES COMPTES a rendu l’arrêt suivant :</w:t>
      </w:r>
    </w:p>
    <w:p w:rsidR="00147A40" w:rsidRDefault="00147A40" w:rsidP="00332DC8">
      <w:pPr>
        <w:pStyle w:val="PS"/>
        <w:spacing w:after="360"/>
      </w:pPr>
      <w:r>
        <w:t>LA COUR,</w:t>
      </w:r>
    </w:p>
    <w:p w:rsidR="00147A40" w:rsidRDefault="00147A40" w:rsidP="00332DC8">
      <w:pPr>
        <w:pStyle w:val="PS"/>
        <w:spacing w:after="360"/>
      </w:pPr>
      <w:r>
        <w:t>Vu le code des juridictions financières ;</w:t>
      </w:r>
    </w:p>
    <w:p w:rsidR="00147A40" w:rsidRDefault="00147A40" w:rsidP="00332DC8">
      <w:pPr>
        <w:pStyle w:val="PS"/>
        <w:spacing w:after="360"/>
      </w:pPr>
      <w:r>
        <w:t>Vu l’article 60 modifié de la loi de finances n° 63-156 du 23 février 1963 ;</w:t>
      </w:r>
    </w:p>
    <w:p w:rsidR="00147A40" w:rsidRDefault="00147A40" w:rsidP="00332DC8">
      <w:pPr>
        <w:pStyle w:val="PS"/>
        <w:spacing w:after="360"/>
      </w:pPr>
      <w:r>
        <w:t>Vu les lois et règlements applicables à la comptabilité des comptables de l’Etat, notamment l'ordonnance n° 59-2 du 2 janvier 1959 portant loi organique relative aux lois de finances, le décret n° 62-1587 du 29 décembre 1962 portant règlement général sur la comptabilité publique et l'instruction n° 87-128 PR du 29 octobre 1987 sur la comptabilité générale de l'Etat ;</w:t>
      </w:r>
    </w:p>
    <w:p w:rsidR="00147A40" w:rsidRDefault="00147A40" w:rsidP="00332DC8">
      <w:pPr>
        <w:pStyle w:val="PS"/>
        <w:spacing w:after="360"/>
      </w:pPr>
      <w:r>
        <w:t>Vu les lois de finances des exercices 2002 à 2004 ;</w:t>
      </w:r>
    </w:p>
    <w:p w:rsidR="00147A40" w:rsidRDefault="00147A40" w:rsidP="00332DC8">
      <w:pPr>
        <w:pStyle w:val="PS"/>
        <w:spacing w:after="360"/>
      </w:pPr>
      <w:r>
        <w:t>Vu les décrets n° 2006-1702 du 23 décembre 2006 portant suppression de la paierie générale du Trésor et de l’Agence comptable centrale du Trésor et transfert de leurs attributions et dispositions diverses et n° 2006-1703 portant dispositions diverses relatives à la cessation des activités de la paierie générale du Trésor et de l’Agence comptable centrale du Trésor ;</w:t>
      </w:r>
    </w:p>
    <w:p w:rsidR="00147A40" w:rsidRDefault="00147A40" w:rsidP="00332DC8">
      <w:pPr>
        <w:pStyle w:val="PS"/>
        <w:spacing w:after="360"/>
      </w:pPr>
      <w:r>
        <w:t>Vu l’article 34-2° alinéa de la loi n° 2008-1098 du 28 octobre 2008 relative à la Cour des comptes et aux chambres régionales des comptes ;</w:t>
      </w:r>
    </w:p>
    <w:p w:rsidR="00147A40" w:rsidRDefault="00147A40" w:rsidP="00332DC8">
      <w:pPr>
        <w:pStyle w:val="PS"/>
        <w:spacing w:after="0"/>
      </w:pPr>
      <w:r>
        <w:t>Vu l’arrêté du Premier président du 2 janvier 2007 modifié portant répartition des attributions entre les chambres de la Cour ;</w:t>
      </w:r>
    </w:p>
    <w:p w:rsidR="00147A40" w:rsidRDefault="00147A40" w:rsidP="00332DC8">
      <w:pPr>
        <w:pStyle w:val="IN"/>
      </w:pPr>
    </w:p>
    <w:p w:rsidR="00147A40" w:rsidRDefault="00147A40" w:rsidP="00D12409">
      <w:pPr>
        <w:pStyle w:val="PS"/>
        <w:spacing w:after="360"/>
        <w:sectPr w:rsidR="00147A40" w:rsidSect="00A373C4">
          <w:headerReference w:type="default" r:id="rId7"/>
          <w:footerReference w:type="even" r:id="rId8"/>
          <w:footerReference w:type="default" r:id="rId9"/>
          <w:pgSz w:w="11907" w:h="16840" w:code="9"/>
          <w:pgMar w:top="1134" w:right="1134" w:bottom="1134" w:left="567" w:header="720" w:footer="720" w:gutter="0"/>
          <w:cols w:space="720"/>
          <w:titlePg/>
        </w:sectPr>
      </w:pPr>
    </w:p>
    <w:p w:rsidR="00147A40" w:rsidRDefault="00147A40" w:rsidP="00D12409">
      <w:pPr>
        <w:pStyle w:val="PS"/>
        <w:spacing w:after="360"/>
      </w:pPr>
      <w:r w:rsidRPr="001F30DB">
        <w:t xml:space="preserve">Vu l'arrêté </w:t>
      </w:r>
      <w:r>
        <w:t xml:space="preserve">n°10-030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147A40" w:rsidRDefault="00147A40" w:rsidP="00D12409">
      <w:pPr>
        <w:pStyle w:val="PS"/>
        <w:spacing w:after="360"/>
      </w:pPr>
      <w:r>
        <w:t>Vu</w:t>
      </w:r>
      <w:r w:rsidRPr="001F30DB">
        <w:t xml:space="preserve"> l’arrêté modifié n° 06-346 du 10 octobre 2006 du Premier président de la Cour des compt</w:t>
      </w:r>
      <w:r>
        <w:t xml:space="preserve">es </w:t>
      </w:r>
      <w:r w:rsidRPr="001F30DB">
        <w:t xml:space="preserve">portant création et fixant la composition des sections au sein de la </w:t>
      </w:r>
      <w:r>
        <w:t>p</w:t>
      </w:r>
      <w:r w:rsidRPr="001F30DB">
        <w:t>remière chambre ;</w:t>
      </w:r>
    </w:p>
    <w:p w:rsidR="00147A40" w:rsidRDefault="00147A40" w:rsidP="00D12409">
      <w:pPr>
        <w:pStyle w:val="PS"/>
        <w:spacing w:after="360"/>
      </w:pPr>
      <w:r>
        <w:t>Vu l’arrêt n° 53348 portant dispositions provisoires en date du 21 octobre 2008, notifié le 16 décembre 2008, par lequel la Cour a statué sur les comptes rendus pour les exercices 2002, 2003 du 27 janvier et 2004, par M.. X et Mme Y, ensemble les accusés de réception de cette lettre, datés respectivement des 18 et 17 décembre 2008 ;</w:t>
      </w:r>
    </w:p>
    <w:p w:rsidR="00147A40" w:rsidRDefault="00147A40" w:rsidP="00D12409">
      <w:pPr>
        <w:pStyle w:val="PS"/>
        <w:spacing w:after="360"/>
      </w:pPr>
      <w:r>
        <w:t>Vu les justifications produites en exécution dudit arrêt par le receveur général des finances par lettres du 4 mars 2009 ;</w:t>
      </w:r>
    </w:p>
    <w:p w:rsidR="00147A40" w:rsidRDefault="00147A40" w:rsidP="00D12409">
      <w:pPr>
        <w:pStyle w:val="PS"/>
        <w:spacing w:after="360"/>
      </w:pPr>
      <w:r>
        <w:t>Vu la procuration signée par M. X le 27 janvier 2003 à Mme Y, transmissible à ses successeurs, pour répondre aux injonctions qui pourraient être prononcées sur les comptes de la paierie générale du Trésor antérieurement signés par ses soins ;</w:t>
      </w:r>
    </w:p>
    <w:p w:rsidR="00147A40" w:rsidRDefault="00147A40" w:rsidP="00D12409">
      <w:pPr>
        <w:pStyle w:val="PS"/>
        <w:spacing w:after="360"/>
      </w:pPr>
      <w:r>
        <w:t>Vu la lettre de Mme Y du 25 février 2010 par laquelle elle endosse la réponse à l’arrêt du receveur général des finances du 4 mars 2009 ;</w:t>
      </w:r>
    </w:p>
    <w:p w:rsidR="00147A40" w:rsidRDefault="00147A40" w:rsidP="00D12409">
      <w:pPr>
        <w:pStyle w:val="PS"/>
        <w:spacing w:after="360"/>
      </w:pPr>
      <w:r>
        <w:t>Sur le rapport de M. X.-H. Martin, conseiller maître ;</w:t>
      </w:r>
    </w:p>
    <w:p w:rsidR="00147A40" w:rsidRDefault="00147A40" w:rsidP="00D12409">
      <w:pPr>
        <w:pStyle w:val="PS"/>
        <w:spacing w:after="360"/>
      </w:pPr>
      <w:r>
        <w:t>Vu les conclusions n° 52 du Procureur général près la Cour des comptes du 19 janvier 2010 ;</w:t>
      </w:r>
    </w:p>
    <w:p w:rsidR="00147A40" w:rsidRDefault="00147A40" w:rsidP="00D12409">
      <w:pPr>
        <w:pStyle w:val="PS"/>
        <w:spacing w:after="360"/>
      </w:pPr>
      <w:r>
        <w:t>Vu les lettres des 8 et 18 février 2010 informant M. X et Mme Y de la date de la présente audience, ensemble accusés réception de ces lettres ;</w:t>
      </w:r>
    </w:p>
    <w:p w:rsidR="00147A40" w:rsidRDefault="00147A40" w:rsidP="00D12409">
      <w:pPr>
        <w:pStyle w:val="PS"/>
        <w:spacing w:after="360"/>
      </w:pPr>
      <w:r>
        <w:t>Vu la lettre de M. X du 18 février 2010 en réponse à la lettre du 8 février 2010 ;</w:t>
      </w:r>
    </w:p>
    <w:p w:rsidR="00147A40" w:rsidRDefault="00147A40" w:rsidP="00D12409">
      <w:pPr>
        <w:pStyle w:val="PS"/>
        <w:spacing w:after="360"/>
      </w:pPr>
      <w:r>
        <w:t>Entendu en audience publique, M. X.-H. Martin, conseiller maître, en son rapport oral, M. Perrin, avocat général, en ses conclusions orales ;</w:t>
      </w:r>
    </w:p>
    <w:p w:rsidR="00147A40" w:rsidRDefault="00147A40" w:rsidP="00D12409">
      <w:pPr>
        <w:pStyle w:val="PS"/>
        <w:spacing w:after="360"/>
      </w:pPr>
      <w:r>
        <w:t>Entendue en audience publique Mme Y ;</w:t>
      </w:r>
    </w:p>
    <w:p w:rsidR="00147A40" w:rsidRDefault="00147A40" w:rsidP="00D12409">
      <w:pPr>
        <w:pStyle w:val="PS"/>
        <w:spacing w:after="360"/>
      </w:pPr>
      <w:r>
        <w:t>Entendu à huis clos, le ministère public et le rapporteur s’étant retirés, Mme S. Moati, conseillère maître, en ses observations ;</w:t>
      </w:r>
    </w:p>
    <w:p w:rsidR="00147A40" w:rsidRDefault="00147A40" w:rsidP="00D12409">
      <w:pPr>
        <w:pStyle w:val="PS"/>
        <w:spacing w:after="360"/>
        <w:ind w:firstLine="0"/>
        <w:jc w:val="center"/>
      </w:pPr>
    </w:p>
    <w:p w:rsidR="00147A40" w:rsidRDefault="00147A40" w:rsidP="00D12409">
      <w:pPr>
        <w:pStyle w:val="PS"/>
        <w:spacing w:after="360"/>
        <w:ind w:firstLine="0"/>
        <w:jc w:val="center"/>
      </w:pPr>
      <w:r>
        <w:t>STATUANT DEFINITIVEMENT,</w:t>
      </w:r>
    </w:p>
    <w:p w:rsidR="00147A40" w:rsidRDefault="00147A40" w:rsidP="00D12409">
      <w:pPr>
        <w:pStyle w:val="PS"/>
        <w:spacing w:after="360"/>
        <w:ind w:firstLine="0"/>
        <w:jc w:val="center"/>
      </w:pPr>
      <w:r>
        <w:t>ORDONNE :</w:t>
      </w:r>
    </w:p>
    <w:p w:rsidR="00147A40" w:rsidRPr="00496069" w:rsidRDefault="00147A40" w:rsidP="00D12409">
      <w:pPr>
        <w:pStyle w:val="PS"/>
        <w:spacing w:after="360"/>
        <w:rPr>
          <w:b/>
        </w:rPr>
      </w:pPr>
      <w:r w:rsidRPr="00496069">
        <w:rPr>
          <w:b/>
        </w:rPr>
        <w:t>Au titre de l’exercice 2002</w:t>
      </w:r>
    </w:p>
    <w:p w:rsidR="00147A40" w:rsidRPr="00496069" w:rsidRDefault="00147A40" w:rsidP="00D12409">
      <w:pPr>
        <w:pStyle w:val="PS"/>
        <w:spacing w:after="360"/>
        <w:rPr>
          <w:b/>
        </w:rPr>
      </w:pPr>
      <w:r w:rsidRPr="00496069">
        <w:rPr>
          <w:b/>
        </w:rPr>
        <w:t xml:space="preserve">A l’égard de </w:t>
      </w:r>
      <w:r>
        <w:rPr>
          <w:b/>
        </w:rPr>
        <w:t>M. X</w:t>
      </w:r>
    </w:p>
    <w:p w:rsidR="00147A40" w:rsidRDefault="00147A40" w:rsidP="00D12409">
      <w:pPr>
        <w:pStyle w:val="PS"/>
        <w:rPr>
          <w:u w:val="single"/>
        </w:rPr>
      </w:pPr>
      <w:bookmarkStart w:id="0" w:name="_Toc204568771"/>
      <w:r>
        <w:rPr>
          <w:u w:val="single"/>
        </w:rPr>
        <w:t>1 - Ministère de la justice – primes de rendement et indemnités forfaitaires pour travaux supplémentaires (IFTS) aux personnels de catégories A et B du ministère de la justice</w:t>
      </w:r>
      <w:bookmarkEnd w:id="0"/>
    </w:p>
    <w:p w:rsidR="00147A40" w:rsidRDefault="00147A40" w:rsidP="00D12409">
      <w:pPr>
        <w:pStyle w:val="PS"/>
      </w:pPr>
      <w:r>
        <w:t>Attendu que des primes de rendement et des indemnités forfaitaires pour travaux supplémentaires (IFTS) ont été payées à des personnels de direction de l’administration centrale du ministère de la justice ;</w:t>
      </w:r>
    </w:p>
    <w:p w:rsidR="00147A40" w:rsidRDefault="00147A40" w:rsidP="00D12409">
      <w:pPr>
        <w:pStyle w:val="PS"/>
        <w:spacing w:after="360"/>
      </w:pPr>
      <w:r>
        <w:t>Attendu qu’aux termes de l’alinéa 1</w:t>
      </w:r>
      <w:r>
        <w:rPr>
          <w:vertAlign w:val="superscript"/>
        </w:rPr>
        <w:t>er</w:t>
      </w:r>
      <w:r>
        <w:t xml:space="preserve"> de l’article 20 de la loi n° 83-364 du 13 juillet 1983 portant droits et obligations des fonctionnaires, ceux-ci ont droit, après service fait, à une rémunération comprenant le traitement, l’indemnité de résidence, le supplément familial de traitement, ainsi que les indemnités instituées par un texte législatif ou réglementaire ; </w:t>
      </w:r>
    </w:p>
    <w:p w:rsidR="00147A40" w:rsidRDefault="00147A40" w:rsidP="00D12409">
      <w:pPr>
        <w:pStyle w:val="PS"/>
        <w:spacing w:after="360"/>
      </w:pPr>
      <w:r>
        <w:t>Attendu que le décret n° 85-730 du 17 juillet 1985 dispose, en son article 1</w:t>
      </w:r>
      <w:r>
        <w:rPr>
          <w:vertAlign w:val="superscript"/>
        </w:rPr>
        <w:t>er</w:t>
      </w:r>
      <w:r>
        <w:t>, que les fonctionnaires relevant de la loi n° 84-16 du 11 janvier 1984 portant dispositions statutaires relatives à la fonction publique de l’Etat ne peuvent bénéficier d’aucune indemnité autre que celles fixées par une loi ou un décret ;</w:t>
      </w:r>
    </w:p>
    <w:p w:rsidR="00147A40" w:rsidRDefault="00147A40" w:rsidP="00D12409">
      <w:pPr>
        <w:pStyle w:val="PS"/>
        <w:spacing w:after="360"/>
      </w:pPr>
      <w:r>
        <w:t>Attendu que le décret n° 45-1753 du 6 août 1945 relatif aux primes de rendement pouvant être attribuées aux fonctionnaires des finances a prévu dans son article 2 que le montant de ces primes ne pouvait excéder en aucun cas 18 % du traitement le plus élevé du grade des intéressés ;</w:t>
      </w:r>
    </w:p>
    <w:p w:rsidR="00147A40" w:rsidRDefault="00147A40" w:rsidP="00D12409">
      <w:pPr>
        <w:pStyle w:val="PS"/>
        <w:spacing w:after="360"/>
      </w:pPr>
      <w:r>
        <w:t>Attendu que le décret n° 50-196 du 6 février 1950 relatif à certaines indemnités dans les administrations centrales a prévu que les dispositions du décret n° 45-1753 du 6 août 1945 puissent être étendues à d’autres catégories de fonctionnaires des administrations centrales par arrêté revêtu de la signature du ministre des finances, du ministre chargé de la fonction publique et du ministre intéressé ;</w:t>
      </w:r>
    </w:p>
    <w:p w:rsidR="00147A40" w:rsidRDefault="00147A40" w:rsidP="00D12409">
      <w:pPr>
        <w:pStyle w:val="PS"/>
        <w:spacing w:after="360"/>
      </w:pPr>
      <w:r>
        <w:t xml:space="preserve">Attendu que le décret n° 2002-62 du 14 janvier 2002 relatif à l'indemnité forfaitaire pour travaux supplémentaires (IFTS) des administrations centrales fixe le montant maximum des attributions individuelles au triple du montant moyen annuel attaché au grade ou à l’emploi de l’agent ; </w:t>
      </w:r>
    </w:p>
    <w:p w:rsidR="00147A40" w:rsidRDefault="00147A40" w:rsidP="00D12409">
      <w:pPr>
        <w:pStyle w:val="PS"/>
        <w:spacing w:after="360"/>
      </w:pPr>
      <w:r>
        <w:t>Attendu qu’en application des textes précités, les montants maximaux de primes de rendement et d’IFTS qui pouvaient être réglés en 2002 étaient du 1</w:t>
      </w:r>
      <w:r>
        <w:rPr>
          <w:vertAlign w:val="superscript"/>
        </w:rPr>
        <w:t>er</w:t>
      </w:r>
      <w:r>
        <w:t xml:space="preserve"> janvier 2002 au 31 décembre 2002 de 33 973,89 € pour un directeur d’administration centrale hors échelle E, de 31 015,44 € pour un directeur d’administration centrale hors échelle D, de 30 013,87 € pour un directeur d’administration centrale hors échelle C, de 27 073,99 € pour un chef de service, de 26 526,29 € pour un directeur adjoint, sous-directeur et directeur de projet, de 20 551,37 € pour un administrateur civil hors classe, de 15 773,90 € pour un administrateur civil, de 13 160,28 € pour un attaché principal de 2</w:t>
      </w:r>
      <w:r>
        <w:rPr>
          <w:vertAlign w:val="superscript"/>
        </w:rPr>
        <w:t>ème</w:t>
      </w:r>
      <w:r>
        <w:t> classe, de 12 171,40 € pour un attaché d’administration centrale, de 10 345 € pour un secrétaire administratif de classe exceptionnelle, de 9 968,98 € pour un secrétaire administratif de classe supérieure, et de 9 416,38 € pour un secrétaire administratif de classe normale ;</w:t>
      </w:r>
    </w:p>
    <w:p w:rsidR="00147A40" w:rsidRDefault="00147A40" w:rsidP="00D12409">
      <w:pPr>
        <w:pStyle w:val="PS"/>
        <w:spacing w:after="360"/>
      </w:pPr>
      <w:r>
        <w:t>Attendu que, selon le tableau figurant en annexe à la présente charge, les décisions d’attribution des primes de rendement et d’IFTS excèdent ces plafonds réglementaires de 55 178,75 € pour les directeurs d’administration centrale, de 17 731,56 € pour les chefs de service, de 13 993,18 € pour les sous-directeurs, de 24 908,76 € pour les administrateurs civils hors classe, de 29 213,69 € pour les administrateurs civils, de 7 380,81 € pour les attachés principaux de 2</w:t>
      </w:r>
      <w:r>
        <w:rPr>
          <w:vertAlign w:val="superscript"/>
        </w:rPr>
        <w:t>ème</w:t>
      </w:r>
      <w:r>
        <w:t xml:space="preserve"> classe, de 2 261,05 € pour les attachés d’administration centrale, de 1 349,25 € pour le secrétaire administratif de classe exceptionnelle, de 1 572,27 € pour le secrétaire administratif de classe supérieure, et de 329,02 € pour les secrétaires administratifs de classe normale ;</w:t>
      </w:r>
    </w:p>
    <w:p w:rsidR="00147A40" w:rsidRDefault="00147A40" w:rsidP="00D12409">
      <w:pPr>
        <w:pStyle w:val="PS"/>
        <w:spacing w:after="360"/>
      </w:pPr>
      <w:r>
        <w:t>Attendu que le receveur général des finances de Paris a fait valoir, dans sa réponse du 27 décembre 2007, d’une part qu’une lettre du ministre délégué au budget et à la réforme budgétaire du 15 octobre 2002, aurait confirmé l’autorisation du déplafonnement des régimes indemnitaires, préalablement accordée par lettre de la secrétaire d’Etat au budget du 18 juillet 2000 ; d’autre part, qu’un courriel entre les services de l’administration centrale du ministère de la justice et les services de la direction du budget aurait reconduit en 2002 le dispositif dérogatoire « autorisé » par la lettre du 18 juillet 2000 ; que les lettres des ministres ne sauraient fonder l’attribution de primes et d’indemnités qui doivent être fixées par une loi ou un décret ;</w:t>
      </w:r>
    </w:p>
    <w:p w:rsidR="00147A40" w:rsidRDefault="00147A40" w:rsidP="00D12409">
      <w:pPr>
        <w:pStyle w:val="PS"/>
        <w:spacing w:after="360"/>
      </w:pPr>
      <w:r>
        <w:t>Considérant que les articles 12 et 13 du décret du 29 décembre 1962 portant règlement général sur la comptabilité publique, font obligation aux comptables de contrôler la validité de la créance, qui porte notamment sur l’exactitude des calculs de liquidation des dépenses, avant de payer ces dernières ; qu’en application de l’article 37 du même décret, les comptables doivent suspendre les paiements et en informer l’ordonnateur si, à l’occasion de l’exercice du contrôle de l’exactitude des calculs de liquidation, ils constatent des erreurs ;</w:t>
      </w:r>
    </w:p>
    <w:p w:rsidR="00147A40" w:rsidRDefault="00147A40" w:rsidP="00D12409">
      <w:pPr>
        <w:pStyle w:val="PS"/>
      </w:pPr>
      <w:r>
        <w:t>Considérant que le contrôle de l’exactitude des calculs de liquidation des primes de rendement et des indemnités forfaitaires pour travaux supplémentaires (IFTS) des personnels de direction de l’administration centrale du ministère de la justice impliquait de s’assurer que ces calculs étaient conformes aux bases de liquidation  ; que, parmi ces dernières figurent des textes contradictoires : d’une part, les décrets précités du 6 août 1945, 6 février 1950 et 14 janvier 2002 ; d’autre part , les lettres ministérielles du 18 juillet 2000 et 15 octobre 2002 et le courriel du 24 septembre 2002 précités, qui autorisent un déplafonnement des régimes indemnitaires des personnels de l’administration centrale ; qu’en présence de textes contradictoires, le comptable aurait dû, en tout état de cause, suspendre les paiements et en informer l’ordonnateur ;</w:t>
      </w:r>
    </w:p>
    <w:p w:rsidR="00147A40" w:rsidRDefault="00147A40" w:rsidP="00D12409">
      <w:pPr>
        <w:pStyle w:val="PS"/>
      </w:pPr>
      <w:r>
        <w:t>Attendu que, par l’arrêt susvisé n° 53348, la Cour a enjoint à M. X d’apporter la preuve du versement de la somme de 153 918,34 € ou, à défaut, toute justification à décharge ;</w:t>
      </w:r>
    </w:p>
    <w:p w:rsidR="00147A40" w:rsidRDefault="00147A40" w:rsidP="00D12409">
      <w:pPr>
        <w:pStyle w:val="PS"/>
      </w:pPr>
      <w:r>
        <w:t xml:space="preserve">Attendu qu’en réponse audit arrêt, le receveur général des finances, par lettre du 4 mars 2009, a déclaré pour M. X, </w:t>
      </w:r>
      <w:r w:rsidRPr="00807B22">
        <w:t>qu’aucun supplément de justification à décharge ne peut être apporté et que M. X n’avait pas effectué le versement de 153 918,34 € demandé</w:t>
      </w:r>
      <w:r>
        <w:t xml:space="preserve"> ; </w:t>
      </w:r>
    </w:p>
    <w:p w:rsidR="00147A40" w:rsidRDefault="00147A40" w:rsidP="00D12409">
      <w:pPr>
        <w:pStyle w:val="PS"/>
        <w:rPr>
          <w:rFonts w:ascii="CG Times (WN)" w:hAnsi="CG Times (WN)"/>
        </w:rPr>
      </w:pPr>
      <w:r>
        <w:t>Considérant que le comptable n’a pas satisfait à l’injonction prononcée par l’arrêt susvisé ;</w:t>
      </w:r>
    </w:p>
    <w:p w:rsidR="00147A40" w:rsidRDefault="00147A40" w:rsidP="00D12409">
      <w:pPr>
        <w:pStyle w:val="PS"/>
      </w:pPr>
      <w:r>
        <w:t>Considérant que, selon les dispositions de l’article 60 modifié de la loi de finances du 23 février 1963 susvisée : « </w:t>
      </w:r>
      <w:r w:rsidRPr="00A10CE2">
        <w:rPr>
          <w:i/>
        </w:rPr>
        <w:t>I</w:t>
      </w:r>
      <w:r>
        <w:rPr>
          <w:i/>
        </w:rPr>
        <w:t xml:space="preserve"> </w:t>
      </w:r>
      <w:r w:rsidRPr="00A10CE2">
        <w:rPr>
          <w:i/>
        </w:rPr>
        <w:t>-</w:t>
      </w:r>
      <w:r>
        <w:t xml:space="preserve"> </w:t>
      </w:r>
      <w:r>
        <w:rPr>
          <w:i/>
          <w:shd w:val="clear" w:color="auto" w:fill="FFFFFF"/>
        </w:rPr>
        <w:t>L</w:t>
      </w:r>
      <w:r>
        <w:rPr>
          <w:i/>
        </w:rPr>
        <w:t xml:space="preserve">es comptables publics sont personnellement et pécuniairement responsables (…) du paiement des dépenses (…). La responsabilité personnelle et pécuniaire prévue ci-dessus se trouve engagée dès lors (…) qu’une dépense a été irrégulièrement payée (…).IV - La responsabilité pécuniaire d’un comptable public ne peut être mise en jeu que par le ministre dont il relève, le ministre chargé du budget ou le juge des comptes </w:t>
      </w:r>
      <w:r>
        <w:t>» ;</w:t>
      </w:r>
    </w:p>
    <w:p w:rsidR="00147A40" w:rsidRDefault="00147A40" w:rsidP="00D12409">
      <w:pPr>
        <w:pStyle w:val="PS"/>
      </w:pPr>
      <w:r>
        <w:t xml:space="preserve">Attendu qu’en application du même article, paragraphe VIII, les intérêts au taux légal courent </w:t>
      </w:r>
      <w:r w:rsidRPr="003E0D4D">
        <w:rPr>
          <w:i/>
        </w:rPr>
        <w:t>« à compter du premier acte de la mise en jeu de la responsabilité personnelle et pécuniaire des comptables publics »</w:t>
      </w:r>
      <w:r>
        <w:t> ;</w:t>
      </w:r>
    </w:p>
    <w:p w:rsidR="00147A40" w:rsidRDefault="00147A40" w:rsidP="00D12409">
      <w:pPr>
        <w:pStyle w:val="PS"/>
      </w:pPr>
      <w:r>
        <w:t>Par ces motifs,</w:t>
      </w:r>
    </w:p>
    <w:p w:rsidR="00147A40" w:rsidRDefault="00147A40" w:rsidP="00D12409">
      <w:pPr>
        <w:pStyle w:val="PS"/>
      </w:pPr>
      <w:r>
        <w:t>- l’injonction n° 1 est levée ;</w:t>
      </w:r>
    </w:p>
    <w:p w:rsidR="00147A40" w:rsidRDefault="00147A40" w:rsidP="00D12409">
      <w:pPr>
        <w:pStyle w:val="PS"/>
      </w:pPr>
      <w:r>
        <w:t>- M. X est constitué débiteur envers l’Etat, au titre de l’année 2002, de la somme de cent cinquante trois mille neuf cent dix-huit euros trente quatre centimes (153 918,34 €) augmentée des intérêts de droit à compter du 18 décembre 2008, date à laquelle il a accusé réception de l’arrêt n° 53348, qui constitue le premier acte de la mise en jeu de sa responsabilité personnelle et pécuniaire.</w:t>
      </w:r>
    </w:p>
    <w:p w:rsidR="00147A40" w:rsidRDefault="00147A40" w:rsidP="00D12409">
      <w:pPr>
        <w:pStyle w:val="PS"/>
      </w:pPr>
      <w:r>
        <w:br w:type="page"/>
      </w:r>
      <w:bookmarkStart w:id="1" w:name="RANGE!A1:E75"/>
      <w:bookmarkEnd w:id="1"/>
      <w:r>
        <w:t>Annexe à la charge constatée à l’égard de M. X sur 2002</w:t>
      </w:r>
    </w:p>
    <w:tbl>
      <w:tblPr>
        <w:tblW w:w="10699" w:type="dxa"/>
        <w:tblInd w:w="250" w:type="dxa"/>
        <w:tblCellMar>
          <w:left w:w="70" w:type="dxa"/>
          <w:right w:w="70" w:type="dxa"/>
        </w:tblCellMar>
        <w:tblLook w:val="0000"/>
      </w:tblPr>
      <w:tblGrid>
        <w:gridCol w:w="3508"/>
        <w:gridCol w:w="2300"/>
        <w:gridCol w:w="1540"/>
        <w:gridCol w:w="2100"/>
        <w:gridCol w:w="1251"/>
      </w:tblGrid>
      <w:tr w:rsidR="00147A40" w:rsidRPr="00A91375">
        <w:trPr>
          <w:trHeight w:val="264"/>
        </w:trPr>
        <w:tc>
          <w:tcPr>
            <w:tcW w:w="10699" w:type="dxa"/>
            <w:gridSpan w:val="5"/>
            <w:tcBorders>
              <w:top w:val="single" w:sz="4" w:space="0" w:color="auto"/>
              <w:left w:val="single" w:sz="4" w:space="0" w:color="auto"/>
              <w:bottom w:val="single" w:sz="4" w:space="0" w:color="auto"/>
              <w:right w:val="single" w:sz="4" w:space="0" w:color="000000"/>
            </w:tcBorders>
            <w:shd w:val="clear" w:color="auto" w:fill="C0C0C0"/>
            <w:noWrap/>
            <w:vAlign w:val="bottom"/>
          </w:tcPr>
          <w:p w:rsidR="00147A40" w:rsidRPr="00A91375" w:rsidRDefault="00147A40" w:rsidP="00A373C4">
            <w:pPr>
              <w:jc w:val="center"/>
              <w:rPr>
                <w:rFonts w:ascii="Arial" w:hAnsi="Arial" w:cs="Arial"/>
                <w:i/>
                <w:iCs/>
                <w:sz w:val="18"/>
                <w:szCs w:val="18"/>
              </w:rPr>
            </w:pPr>
            <w:r>
              <w:br w:type="page"/>
            </w:r>
            <w:r>
              <w:rPr>
                <w:rFonts w:ascii="Arial" w:hAnsi="Arial" w:cs="Arial"/>
                <w:i/>
                <w:iCs/>
                <w:sz w:val="18"/>
                <w:szCs w:val="18"/>
              </w:rPr>
              <w:t>INDEMNITES FORFAITAIRES POUR TRAVAUX SUPPLEMENTAIRES</w:t>
            </w:r>
            <w:r w:rsidRPr="00A91375">
              <w:rPr>
                <w:rFonts w:ascii="Arial" w:hAnsi="Arial" w:cs="Arial"/>
                <w:i/>
                <w:iCs/>
                <w:sz w:val="18"/>
                <w:szCs w:val="18"/>
              </w:rPr>
              <w:t xml:space="preserve"> ET PRIME</w:t>
            </w:r>
            <w:r>
              <w:rPr>
                <w:rFonts w:ascii="Arial" w:hAnsi="Arial" w:cs="Arial"/>
                <w:i/>
                <w:iCs/>
                <w:sz w:val="18"/>
                <w:szCs w:val="18"/>
              </w:rPr>
              <w:t>S</w:t>
            </w:r>
            <w:r w:rsidRPr="00A91375">
              <w:rPr>
                <w:rFonts w:ascii="Arial" w:hAnsi="Arial" w:cs="Arial"/>
                <w:i/>
                <w:iCs/>
                <w:sz w:val="18"/>
                <w:szCs w:val="18"/>
              </w:rPr>
              <w:t xml:space="preserve"> DE RENDEMENT AU PRORATA TEMPORIS 2002</w:t>
            </w:r>
          </w:p>
        </w:tc>
      </w:tr>
      <w:tr w:rsidR="00147A40" w:rsidRPr="00A91375">
        <w:trPr>
          <w:trHeight w:val="264"/>
        </w:trPr>
        <w:tc>
          <w:tcPr>
            <w:tcW w:w="10699" w:type="dxa"/>
            <w:gridSpan w:val="5"/>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Directeurs d'administration centrale</w:t>
            </w:r>
          </w:p>
        </w:tc>
      </w:tr>
      <w:tr w:rsidR="00147A40" w:rsidRPr="00FA0998">
        <w:trPr>
          <w:trHeight w:val="468"/>
        </w:trPr>
        <w:tc>
          <w:tcPr>
            <w:tcW w:w="3508"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Nom</w:t>
            </w:r>
          </w:p>
        </w:tc>
        <w:tc>
          <w:tcPr>
            <w:tcW w:w="2300"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Pr>
                <w:rFonts w:ascii="Arial" w:hAnsi="Arial" w:cs="Arial"/>
                <w:sz w:val="18"/>
                <w:szCs w:val="18"/>
              </w:rPr>
              <w:t>Indices</w:t>
            </w:r>
          </w:p>
        </w:tc>
        <w:tc>
          <w:tcPr>
            <w:tcW w:w="154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Total des primes perçues</w:t>
            </w:r>
          </w:p>
        </w:tc>
        <w:tc>
          <w:tcPr>
            <w:tcW w:w="21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Plafond réglementaire au prorata temporis</w:t>
            </w:r>
          </w:p>
        </w:tc>
        <w:tc>
          <w:tcPr>
            <w:tcW w:w="1251"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Dépassement </w:t>
            </w:r>
            <w:r>
              <w:rPr>
                <w:rFonts w:ascii="Arial" w:hAnsi="Arial" w:cs="Arial"/>
                <w:sz w:val="18"/>
                <w:szCs w:val="18"/>
              </w:rPr>
              <w:t>irrégulier</w:t>
            </w:r>
          </w:p>
        </w:tc>
      </w:tr>
      <w:tr w:rsidR="00147A40" w:rsidRPr="00FA0998">
        <w:trPr>
          <w:trHeight w:val="540"/>
        </w:trPr>
        <w:tc>
          <w:tcPr>
            <w:tcW w:w="3508" w:type="dxa"/>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Z</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C1 (1114) 10/02 à 12/02 90 jours</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12 232,34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7 503,47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4 728,87  </w:t>
            </w:r>
          </w:p>
        </w:tc>
      </w:tr>
      <w:tr w:rsidR="00147A40" w:rsidRPr="00FA0998">
        <w:trPr>
          <w:trHeight w:val="468"/>
        </w:trPr>
        <w:tc>
          <w:tcPr>
            <w:tcW w:w="3508"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A</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Pr>
                <w:rFonts w:ascii="Arial" w:hAnsi="Arial" w:cs="Arial"/>
                <w:sz w:val="18"/>
                <w:szCs w:val="18"/>
              </w:rPr>
              <w:t>D 01/2002 au 07/08/2002 217</w:t>
            </w:r>
            <w:r w:rsidRPr="00A91375">
              <w:rPr>
                <w:rFonts w:ascii="Arial" w:hAnsi="Arial" w:cs="Arial"/>
                <w:sz w:val="18"/>
                <w:szCs w:val="18"/>
              </w:rPr>
              <w:t xml:space="preserve"> jours</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26 809,27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18 695,42</w:t>
            </w:r>
            <w:r w:rsidRPr="00A91375">
              <w:rPr>
                <w:rFonts w:ascii="Arial" w:hAnsi="Arial" w:cs="Arial"/>
                <w:sz w:val="18"/>
                <w:szCs w:val="18"/>
              </w:rPr>
              <w:t xml:space="preserve">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8 113,85</w:t>
            </w:r>
            <w:r w:rsidRPr="00A91375">
              <w:rPr>
                <w:rFonts w:ascii="Arial" w:hAnsi="Arial" w:cs="Arial"/>
                <w:sz w:val="18"/>
                <w:szCs w:val="18"/>
              </w:rPr>
              <w:t xml:space="preserve">  </w:t>
            </w:r>
          </w:p>
        </w:tc>
      </w:tr>
      <w:tr w:rsidR="00147A40" w:rsidRPr="00FA0998">
        <w:trPr>
          <w:trHeight w:val="468"/>
        </w:trPr>
        <w:tc>
          <w:tcPr>
            <w:tcW w:w="3508"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B</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D2 09/2002 à 12/2002</w:t>
            </w:r>
            <w:r>
              <w:rPr>
                <w:rFonts w:ascii="Arial" w:hAnsi="Arial" w:cs="Arial"/>
                <w:sz w:val="18"/>
                <w:szCs w:val="18"/>
              </w:rPr>
              <w:br/>
            </w:r>
            <w:r w:rsidRPr="00A91375">
              <w:rPr>
                <w:rFonts w:ascii="Arial" w:hAnsi="Arial" w:cs="Arial"/>
                <w:sz w:val="18"/>
                <w:szCs w:val="18"/>
              </w:rPr>
              <w:t>120 jours</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15 663,49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10 338,48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5 325,01  </w:t>
            </w:r>
          </w:p>
        </w:tc>
      </w:tr>
      <w:tr w:rsidR="00147A40" w:rsidRPr="00FA0998">
        <w:trPr>
          <w:trHeight w:val="468"/>
        </w:trPr>
        <w:tc>
          <w:tcPr>
            <w:tcW w:w="3508"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C</w:t>
            </w:r>
          </w:p>
        </w:tc>
        <w:tc>
          <w:tcPr>
            <w:tcW w:w="2300" w:type="dxa"/>
            <w:tcBorders>
              <w:top w:val="single" w:sz="4" w:space="0" w:color="auto"/>
              <w:left w:val="nil"/>
              <w:bottom w:val="single" w:sz="4" w:space="0" w:color="auto"/>
              <w:right w:val="single" w:sz="4" w:space="0" w:color="auto"/>
            </w:tcBorders>
            <w:vAlign w:val="center"/>
          </w:tcPr>
          <w:p w:rsidR="00147A40" w:rsidRDefault="00147A40" w:rsidP="00A373C4">
            <w:pPr>
              <w:jc w:val="center"/>
              <w:rPr>
                <w:rFonts w:ascii="Arial" w:hAnsi="Arial" w:cs="Arial"/>
                <w:sz w:val="18"/>
                <w:szCs w:val="18"/>
              </w:rPr>
            </w:pPr>
            <w:r>
              <w:rPr>
                <w:rFonts w:ascii="Arial" w:hAnsi="Arial" w:cs="Arial"/>
                <w:sz w:val="18"/>
                <w:szCs w:val="18"/>
              </w:rPr>
              <w:t xml:space="preserve">D3 09/2002 à 12/2002  </w:t>
            </w:r>
          </w:p>
          <w:p w:rsidR="00147A40" w:rsidRPr="00A91375" w:rsidRDefault="00147A40" w:rsidP="00A373C4">
            <w:pPr>
              <w:jc w:val="center"/>
              <w:rPr>
                <w:rFonts w:ascii="Arial" w:hAnsi="Arial" w:cs="Arial"/>
                <w:sz w:val="18"/>
                <w:szCs w:val="18"/>
              </w:rPr>
            </w:pPr>
            <w:r>
              <w:rPr>
                <w:rFonts w:ascii="Arial" w:hAnsi="Arial" w:cs="Arial"/>
                <w:sz w:val="18"/>
                <w:szCs w:val="18"/>
              </w:rPr>
              <w:t>143</w:t>
            </w:r>
            <w:r w:rsidRPr="00A91375">
              <w:rPr>
                <w:rFonts w:ascii="Arial" w:hAnsi="Arial" w:cs="Arial"/>
                <w:sz w:val="18"/>
                <w:szCs w:val="18"/>
              </w:rPr>
              <w:t xml:space="preserve"> jours</w:t>
            </w:r>
          </w:p>
        </w:tc>
        <w:tc>
          <w:tcPr>
            <w:tcW w:w="154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1</w:t>
            </w:r>
            <w:r>
              <w:rPr>
                <w:rFonts w:ascii="Arial" w:hAnsi="Arial" w:cs="Arial"/>
                <w:sz w:val="18"/>
                <w:szCs w:val="18"/>
              </w:rPr>
              <w:t>3 021,16</w:t>
            </w:r>
            <w:r w:rsidRPr="00A91375">
              <w:rPr>
                <w:rFonts w:ascii="Arial" w:hAnsi="Arial" w:cs="Arial"/>
                <w:sz w:val="18"/>
                <w:szCs w:val="18"/>
              </w:rPr>
              <w:t xml:space="preserve">  </w:t>
            </w:r>
          </w:p>
        </w:tc>
        <w:tc>
          <w:tcPr>
            <w:tcW w:w="21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12 320,02</w:t>
            </w:r>
            <w:r w:rsidRPr="00A91375">
              <w:rPr>
                <w:rFonts w:ascii="Arial" w:hAnsi="Arial" w:cs="Arial"/>
                <w:sz w:val="18"/>
                <w:szCs w:val="18"/>
              </w:rPr>
              <w:t xml:space="preserve">  </w:t>
            </w:r>
          </w:p>
        </w:tc>
        <w:tc>
          <w:tcPr>
            <w:tcW w:w="1251"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701,14</w:t>
            </w:r>
          </w:p>
        </w:tc>
      </w:tr>
      <w:tr w:rsidR="00147A40" w:rsidRPr="00FA0998">
        <w:trPr>
          <w:trHeight w:val="456"/>
        </w:trPr>
        <w:tc>
          <w:tcPr>
            <w:tcW w:w="3508" w:type="dxa"/>
            <w:tcBorders>
              <w:top w:val="single" w:sz="4" w:space="0" w:color="auto"/>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D</w:t>
            </w:r>
          </w:p>
        </w:tc>
        <w:tc>
          <w:tcPr>
            <w:tcW w:w="2300" w:type="dxa"/>
            <w:tcBorders>
              <w:top w:val="single" w:sz="4" w:space="0" w:color="auto"/>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 D 54 jours E 186 jours</w:t>
            </w:r>
          </w:p>
        </w:tc>
        <w:tc>
          <w:tcPr>
            <w:tcW w:w="154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27 510,02  </w:t>
            </w:r>
          </w:p>
        </w:tc>
        <w:tc>
          <w:tcPr>
            <w:tcW w:w="21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22 205,49  </w:t>
            </w:r>
          </w:p>
        </w:tc>
        <w:tc>
          <w:tcPr>
            <w:tcW w:w="1251"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5 304,53  </w:t>
            </w:r>
          </w:p>
        </w:tc>
      </w:tr>
      <w:tr w:rsidR="00147A40" w:rsidRPr="00FA0998">
        <w:trPr>
          <w:trHeight w:val="456"/>
        </w:trPr>
        <w:tc>
          <w:tcPr>
            <w:tcW w:w="3508" w:type="dxa"/>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Pr>
                <w:rFonts w:ascii="Arial" w:hAnsi="Arial" w:cs="Arial"/>
                <w:sz w:val="18"/>
                <w:szCs w:val="18"/>
              </w:rPr>
              <w:t>M. E</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Pr>
                <w:rFonts w:ascii="Arial" w:hAnsi="Arial" w:cs="Arial"/>
                <w:sz w:val="18"/>
                <w:szCs w:val="18"/>
              </w:rPr>
              <w:t>D 211 jours</w:t>
            </w:r>
          </w:p>
        </w:tc>
        <w:tc>
          <w:tcPr>
            <w:tcW w:w="1540" w:type="dxa"/>
            <w:tcBorders>
              <w:top w:val="nil"/>
              <w:left w:val="nil"/>
              <w:bottom w:val="single" w:sz="4" w:space="0" w:color="auto"/>
              <w:right w:val="single" w:sz="4" w:space="0" w:color="auto"/>
            </w:tcBorders>
            <w:noWrap/>
            <w:vAlign w:val="center"/>
          </w:tcPr>
          <w:p w:rsidR="00147A40" w:rsidRPr="0039267A" w:rsidRDefault="00147A40" w:rsidP="00A373C4">
            <w:pPr>
              <w:jc w:val="right"/>
            </w:pPr>
            <w:r>
              <w:rPr>
                <w:rFonts w:ascii="Arial" w:hAnsi="Arial" w:cs="Arial"/>
                <w:sz w:val="18"/>
                <w:szCs w:val="18"/>
              </w:rPr>
              <w:t>27 402,10</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18 178,49</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9 223,61</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i/>
                <w:iCs/>
                <w:sz w:val="18"/>
                <w:szCs w:val="18"/>
              </w:rPr>
            </w:pPr>
            <w:r w:rsidRPr="00A91375">
              <w:rPr>
                <w:rFonts w:ascii="Arial" w:hAnsi="Arial" w:cs="Arial"/>
                <w:i/>
                <w:iCs/>
                <w:sz w:val="18"/>
                <w:szCs w:val="18"/>
              </w:rPr>
              <w:t>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Pr>
                <w:rFonts w:ascii="Arial" w:hAnsi="Arial" w:cs="Arial"/>
                <w:b/>
                <w:bCs/>
                <w:i/>
                <w:iCs/>
                <w:sz w:val="18"/>
                <w:szCs w:val="18"/>
              </w:rPr>
              <w:t>33 397,01</w:t>
            </w:r>
            <w:r w:rsidRPr="00A91375">
              <w:rPr>
                <w:rFonts w:ascii="Arial" w:hAnsi="Arial" w:cs="Arial"/>
                <w:b/>
                <w:bCs/>
                <w:i/>
                <w:iCs/>
                <w:sz w:val="18"/>
                <w:szCs w:val="18"/>
              </w:rPr>
              <w:t xml:space="preserve">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shd w:val="clear" w:color="auto" w:fill="C0C0C0"/>
            <w:noWrap/>
            <w:vAlign w:val="bottom"/>
          </w:tcPr>
          <w:p w:rsidR="00147A40" w:rsidRPr="00A91375" w:rsidRDefault="00147A40" w:rsidP="00A373C4">
            <w:pPr>
              <w:jc w:val="center"/>
              <w:rPr>
                <w:rFonts w:ascii="Arial" w:hAnsi="Arial" w:cs="Arial"/>
                <w:i/>
                <w:iCs/>
                <w:sz w:val="18"/>
                <w:szCs w:val="18"/>
              </w:rPr>
            </w:pPr>
            <w:r>
              <w:rPr>
                <w:rFonts w:ascii="Arial" w:hAnsi="Arial" w:cs="Arial"/>
                <w:i/>
                <w:iCs/>
                <w:sz w:val="18"/>
                <w:szCs w:val="18"/>
              </w:rPr>
              <w:t>DEPASSEMENTS INDEMNITES FORFAITAIRES POUR TRAVAUX SUPPLEMENTAIRES</w:t>
            </w:r>
            <w:r w:rsidRPr="00A91375">
              <w:rPr>
                <w:rFonts w:ascii="Arial" w:hAnsi="Arial" w:cs="Arial"/>
                <w:i/>
                <w:iCs/>
                <w:sz w:val="18"/>
                <w:szCs w:val="18"/>
              </w:rPr>
              <w:t xml:space="preserve"> ET PRIME</w:t>
            </w:r>
            <w:r>
              <w:rPr>
                <w:rFonts w:ascii="Arial" w:hAnsi="Arial" w:cs="Arial"/>
                <w:i/>
                <w:iCs/>
                <w:sz w:val="18"/>
                <w:szCs w:val="18"/>
              </w:rPr>
              <w:t>S</w:t>
            </w:r>
            <w:r w:rsidRPr="00A91375">
              <w:rPr>
                <w:rFonts w:ascii="Arial" w:hAnsi="Arial" w:cs="Arial"/>
                <w:i/>
                <w:iCs/>
                <w:sz w:val="18"/>
                <w:szCs w:val="18"/>
              </w:rPr>
              <w:t xml:space="preserve"> DE RENDEMENT 2002</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Directeurs d'administration centrale</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F </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D2  D3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37 586,26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31 015,44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6 570,82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G </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 11</w:t>
            </w:r>
            <w:r>
              <w:rPr>
                <w:rFonts w:ascii="Arial" w:hAnsi="Arial" w:cs="Arial"/>
                <w:sz w:val="18"/>
                <w:szCs w:val="18"/>
              </w:rPr>
              <w:t xml:space="preserve"> </w:t>
            </w:r>
            <w:r w:rsidRPr="00A91375">
              <w:rPr>
                <w:rFonts w:ascii="Arial" w:hAnsi="Arial" w:cs="Arial"/>
                <w:sz w:val="18"/>
                <w:szCs w:val="18"/>
              </w:rPr>
              <w:t>jrs   E 349</w:t>
            </w:r>
            <w:r>
              <w:rPr>
                <w:rFonts w:ascii="Arial" w:hAnsi="Arial" w:cs="Arial"/>
                <w:sz w:val="18"/>
                <w:szCs w:val="18"/>
              </w:rPr>
              <w:t xml:space="preserve"> </w:t>
            </w:r>
            <w:r w:rsidRPr="00A91375">
              <w:rPr>
                <w:rFonts w:ascii="Arial" w:hAnsi="Arial" w:cs="Arial"/>
                <w:sz w:val="18"/>
                <w:szCs w:val="18"/>
              </w:rPr>
              <w:t>jrs</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38 509,17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33 883,49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4 625,68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H </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D2   D3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36 627,35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31 015,44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5 611,91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I </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E2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38 947,22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33 973,89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4 973,33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Pr>
                <w:rFonts w:ascii="Arial" w:hAnsi="Arial" w:cs="Arial"/>
                <w:b/>
                <w:bCs/>
                <w:i/>
                <w:iCs/>
                <w:sz w:val="18"/>
                <w:szCs w:val="18"/>
              </w:rPr>
              <w:t>21 781,74</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Sous-total directeurs</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Pr>
                <w:rFonts w:ascii="Arial" w:hAnsi="Arial" w:cs="Arial"/>
                <w:b/>
                <w:bCs/>
                <w:i/>
                <w:iCs/>
                <w:sz w:val="18"/>
                <w:szCs w:val="18"/>
              </w:rPr>
              <w:t>55 178,75</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Chefs de service</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J</w:t>
            </w:r>
          </w:p>
        </w:tc>
        <w:tc>
          <w:tcPr>
            <w:tcW w:w="2300" w:type="dxa"/>
            <w:tcBorders>
              <w:top w:val="single" w:sz="4" w:space="0" w:color="auto"/>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1114</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31 569,06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4 495,07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K</w:t>
            </w:r>
          </w:p>
        </w:tc>
        <w:tc>
          <w:tcPr>
            <w:tcW w:w="2300" w:type="dxa"/>
            <w:tcBorders>
              <w:top w:val="single" w:sz="4" w:space="0" w:color="auto"/>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1057</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31 210,10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4 136,11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L</w:t>
            </w:r>
          </w:p>
        </w:tc>
        <w:tc>
          <w:tcPr>
            <w:tcW w:w="2300" w:type="dxa"/>
            <w:tcBorders>
              <w:top w:val="single" w:sz="4" w:space="0" w:color="auto"/>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1114</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31 712,06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251"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4 638,07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M</w:t>
            </w:r>
          </w:p>
        </w:tc>
        <w:tc>
          <w:tcPr>
            <w:tcW w:w="2300" w:type="dxa"/>
            <w:tcBorders>
              <w:top w:val="single" w:sz="4" w:space="0" w:color="auto"/>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1114</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31 536,30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4 462,31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single" w:sz="4" w:space="0" w:color="auto"/>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17 731,56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Sous-directeurs</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N</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0A01</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26 797,04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270,75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O</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28 296,49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1 770,20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P</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28 062,13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1 535,84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Q</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27 687,97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1 161,68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R</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28 218,37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1 692,08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S</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0B01</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27 283,71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757,42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T</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0B01</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27 554,39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1 028,10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U</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0B01</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27 435,32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909,03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V</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28 296,49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1 770,20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W</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27 149,48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623,19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XX</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28 218,37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1 692,08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XY</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0B01</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27 308,90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782,61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13 993,18  </w:t>
            </w:r>
          </w:p>
        </w:tc>
      </w:tr>
    </w:tbl>
    <w:p w:rsidR="00147A40" w:rsidRDefault="00147A40" w:rsidP="00D12409">
      <w:r>
        <w:br w:type="page"/>
      </w:r>
    </w:p>
    <w:tbl>
      <w:tblPr>
        <w:tblW w:w="10699" w:type="dxa"/>
        <w:tblInd w:w="250" w:type="dxa"/>
        <w:tblCellMar>
          <w:left w:w="70" w:type="dxa"/>
          <w:right w:w="70" w:type="dxa"/>
        </w:tblCellMar>
        <w:tblLook w:val="0000"/>
      </w:tblPr>
      <w:tblGrid>
        <w:gridCol w:w="3508"/>
        <w:gridCol w:w="2300"/>
        <w:gridCol w:w="1540"/>
        <w:gridCol w:w="2100"/>
        <w:gridCol w:w="1251"/>
      </w:tblGrid>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Administrateurs civils hors classe</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XZ</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24 526,57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20 551,37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3 975,20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XA</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25 367,61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20 551,37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4 816,24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Mme </w:t>
            </w:r>
            <w:r>
              <w:rPr>
                <w:rFonts w:ascii="Arial" w:hAnsi="Arial" w:cs="Arial"/>
                <w:sz w:val="18"/>
                <w:szCs w:val="18"/>
              </w:rPr>
              <w:t>XB</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28 879,43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20 551,37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8 328,06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XC</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24 301,54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20 551,37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3 750,17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XD</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24 590,46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20 551,37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4 039,09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i/>
                <w:iCs/>
                <w:sz w:val="18"/>
                <w:szCs w:val="18"/>
              </w:rPr>
            </w:pPr>
            <w:r w:rsidRPr="00A91375">
              <w:rPr>
                <w:rFonts w:ascii="Arial" w:hAnsi="Arial" w:cs="Arial"/>
                <w:i/>
                <w:iCs/>
                <w:sz w:val="18"/>
                <w:szCs w:val="18"/>
              </w:rPr>
              <w:t> </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24 908,76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Administrateurs civils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XE</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782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22 100,05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15 773,90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6 326,15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XF</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657</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19 322,14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15 773,90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3 548,24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XG</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733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22 388,73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15 773,90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6 614,83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XH</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782</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21 880,75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15 773,90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6 106,85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XI</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695</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22 391,52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15 773,90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6 617,62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i/>
                <w:iCs/>
                <w:sz w:val="18"/>
                <w:szCs w:val="18"/>
              </w:rPr>
            </w:pPr>
            <w:r w:rsidRPr="00A91375">
              <w:rPr>
                <w:rFonts w:ascii="Arial" w:hAnsi="Arial" w:cs="Arial"/>
                <w:i/>
                <w:iCs/>
                <w:sz w:val="18"/>
                <w:szCs w:val="18"/>
              </w:rPr>
              <w:t> </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29 213,69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APAC 2</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XJ</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672</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14 170,59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1 010,31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XK</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625</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13 708,13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547,85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XL</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625</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14 202,58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1 042,30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XM</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584</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15 055,84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1 895,56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XN</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672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13 564,98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404,70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XO</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584</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13 289,71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129,43  </w:t>
            </w:r>
          </w:p>
        </w:tc>
      </w:tr>
      <w:tr w:rsidR="00147A40" w:rsidRPr="00FA0998">
        <w:trPr>
          <w:trHeight w:val="264"/>
        </w:trPr>
        <w:tc>
          <w:tcPr>
            <w:tcW w:w="3508" w:type="dxa"/>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XP</w:t>
            </w:r>
          </w:p>
        </w:tc>
        <w:tc>
          <w:tcPr>
            <w:tcW w:w="23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550</w:t>
            </w:r>
          </w:p>
        </w:tc>
        <w:tc>
          <w:tcPr>
            <w:tcW w:w="154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13 527,30  </w:t>
            </w:r>
          </w:p>
        </w:tc>
        <w:tc>
          <w:tcPr>
            <w:tcW w:w="2100"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single" w:sz="4" w:space="0" w:color="auto"/>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367,02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XQ</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672</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15 143,92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13 160,28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1 983,64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i/>
                <w:iCs/>
                <w:sz w:val="18"/>
                <w:szCs w:val="18"/>
              </w:rPr>
            </w:pPr>
            <w:r w:rsidRPr="00A91375">
              <w:rPr>
                <w:rFonts w:ascii="Arial" w:hAnsi="Arial" w:cs="Arial"/>
                <w:i/>
                <w:iCs/>
                <w:sz w:val="18"/>
                <w:szCs w:val="18"/>
              </w:rPr>
              <w:t>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7 380,81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AAC</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XR</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495</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12 257,40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12 171,40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86,00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XS</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583</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12 283,12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12 171,40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111,72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XT</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407</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12 608,27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12 171,40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436,87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XU</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625</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13 231,86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12 171,40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1 060,46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Mme XV</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495</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12 737,40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12 171,40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566,00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Sous</w:t>
            </w:r>
            <w:r>
              <w:rPr>
                <w:rFonts w:ascii="Arial" w:hAnsi="Arial" w:cs="Arial"/>
                <w:b/>
                <w:bCs/>
                <w:i/>
                <w:iCs/>
                <w:sz w:val="18"/>
                <w:szCs w:val="18"/>
              </w:rPr>
              <w:t>-</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i/>
                <w:iCs/>
                <w:sz w:val="18"/>
                <w:szCs w:val="18"/>
              </w:rPr>
            </w:pPr>
            <w:r w:rsidRPr="00A91375">
              <w:rPr>
                <w:rFonts w:ascii="Arial" w:hAnsi="Arial" w:cs="Arial"/>
                <w:i/>
                <w:iCs/>
                <w:sz w:val="18"/>
                <w:szCs w:val="18"/>
              </w:rPr>
              <w:t> </w:t>
            </w:r>
          </w:p>
        </w:tc>
        <w:tc>
          <w:tcPr>
            <w:tcW w:w="154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2100" w:type="dxa"/>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i/>
                <w:iCs/>
                <w:sz w:val="18"/>
                <w:szCs w:val="18"/>
              </w:rPr>
            </w:pPr>
            <w:r w:rsidRPr="00A91375">
              <w:rPr>
                <w:rFonts w:ascii="Arial" w:hAnsi="Arial" w:cs="Arial"/>
                <w:i/>
                <w:iCs/>
                <w:sz w:val="18"/>
                <w:szCs w:val="18"/>
              </w:rPr>
              <w:t> </w:t>
            </w:r>
          </w:p>
        </w:tc>
        <w:tc>
          <w:tcPr>
            <w:tcW w:w="1251" w:type="dxa"/>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2 261,05  </w:t>
            </w:r>
          </w:p>
        </w:tc>
      </w:tr>
      <w:tr w:rsidR="00147A40" w:rsidRPr="00FA0998">
        <w:trPr>
          <w:trHeight w:val="264"/>
        </w:trPr>
        <w:tc>
          <w:tcPr>
            <w:tcW w:w="10699" w:type="dxa"/>
            <w:gridSpan w:val="5"/>
            <w:tcBorders>
              <w:top w:val="single" w:sz="4" w:space="0" w:color="auto"/>
              <w:left w:val="single" w:sz="4" w:space="0" w:color="auto"/>
              <w:bottom w:val="single" w:sz="4" w:space="0" w:color="auto"/>
              <w:right w:val="single" w:sz="4" w:space="0" w:color="000000"/>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SA</w:t>
            </w:r>
          </w:p>
        </w:tc>
      </w:tr>
      <w:tr w:rsidR="00147A40" w:rsidRPr="00FA0998">
        <w:trPr>
          <w:trHeight w:val="456"/>
        </w:trPr>
        <w:tc>
          <w:tcPr>
            <w:tcW w:w="3508"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XW</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SA de classe exceptionnelle 466</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11 694,25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10 345,00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1 349,25  </w:t>
            </w:r>
          </w:p>
        </w:tc>
      </w:tr>
      <w:tr w:rsidR="00147A40" w:rsidRPr="00FA0998">
        <w:trPr>
          <w:trHeight w:val="456"/>
        </w:trPr>
        <w:tc>
          <w:tcPr>
            <w:tcW w:w="3508"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XYX</w:t>
            </w:r>
          </w:p>
        </w:tc>
        <w:tc>
          <w:tcPr>
            <w:tcW w:w="2300"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SA de classe supérieure 419</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11 541,25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9 968,98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1 572,27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M. XYY</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SA 377</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9 533,89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9 416,38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117,51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sz w:val="18"/>
                <w:szCs w:val="18"/>
              </w:rPr>
            </w:pPr>
            <w:r w:rsidRPr="00A91375">
              <w:rPr>
                <w:rFonts w:ascii="Arial" w:hAnsi="Arial" w:cs="Arial"/>
                <w:sz w:val="18"/>
                <w:szCs w:val="18"/>
              </w:rPr>
              <w:t xml:space="preserve">Mme </w:t>
            </w:r>
            <w:r>
              <w:rPr>
                <w:rFonts w:ascii="Arial" w:hAnsi="Arial" w:cs="Arial"/>
                <w:sz w:val="18"/>
                <w:szCs w:val="18"/>
              </w:rPr>
              <w:t>XYZ</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 SA 394</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9 627,89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9 416,38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211,51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b/>
                <w:bCs/>
                <w:i/>
                <w:iCs/>
                <w:sz w:val="18"/>
                <w:szCs w:val="18"/>
              </w:rPr>
            </w:pPr>
            <w:r w:rsidRPr="00A91375">
              <w:rPr>
                <w:rFonts w:ascii="Arial" w:hAnsi="Arial" w:cs="Arial"/>
                <w:b/>
                <w:bCs/>
                <w:i/>
                <w:iCs/>
                <w:sz w:val="18"/>
                <w:szCs w:val="18"/>
              </w:rPr>
              <w:t xml:space="preserve">3 250,54  </w:t>
            </w:r>
          </w:p>
        </w:tc>
      </w:tr>
      <w:tr w:rsidR="00147A40" w:rsidRPr="00FA0998">
        <w:trPr>
          <w:trHeight w:val="264"/>
        </w:trPr>
        <w:tc>
          <w:tcPr>
            <w:tcW w:w="3508"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sz w:val="18"/>
                <w:szCs w:val="18"/>
              </w:rPr>
            </w:pPr>
            <w:r w:rsidRPr="00A91375">
              <w:rPr>
                <w:rFonts w:ascii="Arial" w:hAnsi="Arial" w:cs="Arial"/>
                <w:b/>
                <w:bCs/>
                <w:sz w:val="18"/>
                <w:szCs w:val="18"/>
              </w:rPr>
              <w:t>TOTAL</w:t>
            </w:r>
          </w:p>
        </w:tc>
        <w:tc>
          <w:tcPr>
            <w:tcW w:w="2300" w:type="dxa"/>
            <w:tcBorders>
              <w:top w:val="nil"/>
              <w:left w:val="nil"/>
              <w:bottom w:val="single" w:sz="4" w:space="0" w:color="auto"/>
              <w:right w:val="single" w:sz="4" w:space="0" w:color="auto"/>
            </w:tcBorders>
            <w:noWrap/>
            <w:vAlign w:val="bottom"/>
          </w:tcPr>
          <w:p w:rsidR="00147A40" w:rsidRPr="00A91375" w:rsidRDefault="00147A40" w:rsidP="00A373C4">
            <w:pPr>
              <w:jc w:val="center"/>
              <w:rPr>
                <w:rFonts w:ascii="Arial" w:hAnsi="Arial" w:cs="Arial"/>
                <w:b/>
                <w:bCs/>
                <w:sz w:val="18"/>
                <w:szCs w:val="18"/>
              </w:rPr>
            </w:pPr>
            <w:r w:rsidRPr="00A91375">
              <w:rPr>
                <w:rFonts w:ascii="Arial" w:hAnsi="Arial" w:cs="Arial"/>
                <w:b/>
                <w:bCs/>
                <w:sz w:val="18"/>
                <w:szCs w:val="18"/>
              </w:rPr>
              <w:t> </w:t>
            </w:r>
          </w:p>
        </w:tc>
        <w:tc>
          <w:tcPr>
            <w:tcW w:w="154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21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251"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b/>
                <w:bCs/>
                <w:sz w:val="18"/>
                <w:szCs w:val="18"/>
              </w:rPr>
            </w:pPr>
            <w:r>
              <w:rPr>
                <w:rFonts w:ascii="Arial" w:hAnsi="Arial" w:cs="Arial"/>
                <w:b/>
                <w:bCs/>
                <w:sz w:val="18"/>
                <w:szCs w:val="18"/>
              </w:rPr>
              <w:t>153 918,34</w:t>
            </w:r>
            <w:r w:rsidRPr="00A91375">
              <w:rPr>
                <w:rFonts w:ascii="Arial" w:hAnsi="Arial" w:cs="Arial"/>
                <w:b/>
                <w:bCs/>
                <w:sz w:val="18"/>
                <w:szCs w:val="18"/>
              </w:rPr>
              <w:t xml:space="preserve">  </w:t>
            </w:r>
          </w:p>
        </w:tc>
      </w:tr>
    </w:tbl>
    <w:p w:rsidR="00147A40" w:rsidRPr="00496069" w:rsidRDefault="00147A40" w:rsidP="00D12409">
      <w:pPr>
        <w:pStyle w:val="PS"/>
        <w:spacing w:after="360"/>
        <w:rPr>
          <w:b/>
        </w:rPr>
      </w:pPr>
      <w:r>
        <w:rPr>
          <w:b/>
          <w:u w:val="single"/>
        </w:rPr>
        <w:br w:type="page"/>
      </w:r>
      <w:r w:rsidRPr="00496069">
        <w:rPr>
          <w:b/>
        </w:rPr>
        <w:t>Au titre de l’exercice 2003, du 27 janvier</w:t>
      </w:r>
    </w:p>
    <w:p w:rsidR="00147A40" w:rsidRPr="00496069" w:rsidRDefault="00147A40" w:rsidP="00D12409">
      <w:pPr>
        <w:pStyle w:val="PS"/>
        <w:spacing w:after="360"/>
        <w:rPr>
          <w:b/>
        </w:rPr>
      </w:pPr>
      <w:bookmarkStart w:id="2" w:name="_Toc204568772"/>
      <w:r w:rsidRPr="00496069">
        <w:rPr>
          <w:b/>
        </w:rPr>
        <w:t xml:space="preserve">A l’égard de </w:t>
      </w:r>
      <w:r>
        <w:rPr>
          <w:b/>
        </w:rPr>
        <w:t>Mme Y</w:t>
      </w:r>
    </w:p>
    <w:p w:rsidR="00147A40" w:rsidRDefault="00147A40" w:rsidP="00D12409">
      <w:pPr>
        <w:pStyle w:val="PS"/>
        <w:spacing w:after="360"/>
        <w:rPr>
          <w:u w:val="single"/>
        </w:rPr>
      </w:pPr>
      <w:r>
        <w:rPr>
          <w:u w:val="single"/>
        </w:rPr>
        <w:t>2 - Ministère de la justice – primes de rendement et indemnités forfaitaires pour travaux supplémentaires (IFTS) aux personnels de catégories A et B du ministère de la justice</w:t>
      </w:r>
      <w:bookmarkEnd w:id="2"/>
    </w:p>
    <w:p w:rsidR="00147A40" w:rsidRDefault="00147A40" w:rsidP="00D12409">
      <w:pPr>
        <w:pStyle w:val="PS"/>
        <w:spacing w:after="360"/>
      </w:pPr>
      <w:r>
        <w:t>Attendu que des primes de rendement et des indemnités forfaitaires pour travaux supplémentaires (IFTS) ont été payées à des personnels de direction de l’administration centrale du ministère de la justice ;</w:t>
      </w:r>
    </w:p>
    <w:p w:rsidR="00147A40" w:rsidRDefault="00147A40" w:rsidP="00D12409">
      <w:pPr>
        <w:pStyle w:val="PS"/>
        <w:spacing w:after="360"/>
      </w:pPr>
      <w:r>
        <w:t>Attendu qu’aux termes de l’alinéa 1</w:t>
      </w:r>
      <w:r>
        <w:rPr>
          <w:vertAlign w:val="superscript"/>
        </w:rPr>
        <w:t>er</w:t>
      </w:r>
      <w:r>
        <w:t xml:space="preserve"> de l’article 20 de la loi n° 83-364 du 13 juillet 1983 portant droits et obligations des fonctionnaires, ceux-ci ont droit, après service fait, à une rémunération comprenant le traitement, l’indemnité de résidence, le supplément familial de traitement, ainsi que les indemnités instituées par un texte législatif ou réglementaire ; </w:t>
      </w:r>
    </w:p>
    <w:p w:rsidR="00147A40" w:rsidRDefault="00147A40" w:rsidP="00D12409">
      <w:pPr>
        <w:pStyle w:val="PS"/>
        <w:spacing w:after="360"/>
      </w:pPr>
      <w:r>
        <w:t>Attendu que le décret n° 85-730 du 17 juillet 1985 dispose, en son article 1</w:t>
      </w:r>
      <w:r>
        <w:rPr>
          <w:vertAlign w:val="superscript"/>
        </w:rPr>
        <w:t>er</w:t>
      </w:r>
      <w:r>
        <w:t>, que les fonctionnaires relevant de la loi n° 84-16 du 11 janvier 1984 portant dispositions statutaires relatives à la fonction publique de l’Etat ne peuvent bénéficier d’aucune indemnité autre que celles fixées par une loi ou un décret ;</w:t>
      </w:r>
    </w:p>
    <w:p w:rsidR="00147A40" w:rsidRDefault="00147A40" w:rsidP="00D12409">
      <w:pPr>
        <w:pStyle w:val="PS"/>
        <w:spacing w:after="360"/>
      </w:pPr>
      <w:r>
        <w:t>Attendu que le décret n° 45-1753 du 6 août 1945 relatif aux primes de rendement pouvant être attribuées aux fonctionnaires des finances a prévu dans son article 2 que le montant de ces primes ne pouvait excéder en aucun cas 18 % du traitement le plus élevé du grade des intéressés ;</w:t>
      </w:r>
    </w:p>
    <w:p w:rsidR="00147A40" w:rsidRDefault="00147A40" w:rsidP="00D12409">
      <w:pPr>
        <w:pStyle w:val="PS"/>
        <w:spacing w:after="360"/>
      </w:pPr>
      <w:r>
        <w:t>Attendu que le décret n° 50-196 du 6 février 1950 relatif à certaines indemnités dans les administrations centrales a prévu que les dispositions du décret n° 45-1753 du 6 août 1945 puissent être étendues à d’autres catégories de fonctionnaires des administrations centrales par arrêté revêtu de la signature du ministre des finances, du ministre chargé de la fonction publique et du ministre intéressé ;</w:t>
      </w:r>
    </w:p>
    <w:p w:rsidR="00147A40" w:rsidRDefault="00147A40" w:rsidP="00D12409">
      <w:pPr>
        <w:pStyle w:val="PS"/>
        <w:spacing w:after="360"/>
      </w:pPr>
      <w:r>
        <w:t xml:space="preserve">Attendu que le décret n° 2002-62 du 14 janvier 2002 relatif à l'indemnité forfaitaire pour travaux supplémentaires (IFTS) des administrations centrales fixe le montant maximum des attributions individuelles au triple du montant moyen annuel attaché au grade ou à l’emploi de l’agent ; </w:t>
      </w:r>
    </w:p>
    <w:p w:rsidR="00147A40" w:rsidRDefault="00147A40" w:rsidP="00D12409">
      <w:pPr>
        <w:pStyle w:val="PS"/>
        <w:spacing w:after="360"/>
      </w:pPr>
      <w:r>
        <w:t>Attendu qu’en application des textes précités, les montants maximaux de primes de rendement et d’IFTS qui pouvaient être réglés en 2003 étaient du 1</w:t>
      </w:r>
      <w:r>
        <w:rPr>
          <w:vertAlign w:val="superscript"/>
        </w:rPr>
        <w:t>er</w:t>
      </w:r>
      <w:r>
        <w:t xml:space="preserve"> janvier 2003 au 31 décembre 2003 de 33 973,77 € pour un directeur d’administration centrale hors échelle E, de 31 015,33 € pour un directeur d’administration centrale hors échelle D, de 30 013,76 € pour un directeur d’administration centrale hors échelle C, de 27 073,99 € pour un chef de service, de 26 526,29 € pour un directeur adjoint, sous directeur et directeur de projet, de 22 651,27 € pour un administrateur civil hors classe, de 17 873,83 € pour un administrateur civil, de 15 276,81 € pour un attaché principal de 2</w:t>
      </w:r>
      <w:r>
        <w:rPr>
          <w:vertAlign w:val="superscript"/>
        </w:rPr>
        <w:t>ème</w:t>
      </w:r>
      <w:r>
        <w:t xml:space="preserve"> classe, de 14 190,29 € pour un attaché d’administration centrale, de 10 369,47 € pour un secrétaire administratif de classe exceptionnelle, de 9 984,19 € pour un secrétaire administratif de classe supérieure, et de 9 416,38 € pour un secrétaire administratif de classe normale ; </w:t>
      </w:r>
    </w:p>
    <w:p w:rsidR="00147A40" w:rsidRDefault="00147A40" w:rsidP="00D12409">
      <w:pPr>
        <w:pStyle w:val="PS"/>
        <w:spacing w:after="360"/>
      </w:pPr>
      <w:r>
        <w:t>Attendu que, selon le tableau figurant en annexe à la présente charge, les décisions d’attribution des primes de rendement et d’IFTS excèdent ces plafonds réglementaires de 81 956,56 € pour les directeurs d’administration centrale, de 43 879,59 € pour les chefs de service, de 39 958,75 € pour les sous-directeurs et les directeurs de projet, de 27 428,53 € pour les administrateurs civils hors classe, de 70 009,46 € pour les administrateurs civils, de 4 610,79 € pour les attachés principaux de 2</w:t>
      </w:r>
      <w:r>
        <w:rPr>
          <w:vertAlign w:val="superscript"/>
        </w:rPr>
        <w:t>ème</w:t>
      </w:r>
      <w:r>
        <w:t xml:space="preserve"> classe, de 918,27 € pour l’attaché d’administration centrale, de 1 363,62 € pour le secrétaire administratif de classe exceptionnelle, de 1 656,29 € pour le secrétaire administratif de classe supérieure, et de 463,97 € pour les secrétaires administratifs de classe normale ;</w:t>
      </w:r>
    </w:p>
    <w:p w:rsidR="00147A40" w:rsidRDefault="00147A40" w:rsidP="00D12409">
      <w:pPr>
        <w:pStyle w:val="PS"/>
        <w:spacing w:after="360"/>
      </w:pPr>
      <w:r>
        <w:t>Attendu que le receveur général des finances de Paris a fait valoir, dans sa réponse du 27 décembre 2007 endossée par Mme Y, qu’une lettre du ministre délégué au budget et à la réforme budgétaire du 19 septembre 2003 aurait autorisé la reconduction en 2003 des déplafonnements des régimes indemnitaires, accordés par une lettre du ministre délégué au budget et à la réforme budgétaire du 15 octobre 2002 ; que les lettres des ministres ne sauraient fonder l’attribution de primes et indemnités qui doivent être fixées par une loi ou un décret ;</w:t>
      </w:r>
    </w:p>
    <w:p w:rsidR="00147A40" w:rsidRDefault="00147A40" w:rsidP="00D12409">
      <w:pPr>
        <w:pStyle w:val="PS"/>
        <w:spacing w:after="360"/>
      </w:pPr>
      <w:r>
        <w:t>Considérant que les articles 12 et 13 du décret du 29 décembre 1962 portant règlement général sur la comptabilité publique, font obligation aux comptables de contrôler la validité de la créance, qui porte notamment sur l’exactitude des calculs de liquidation des dépenses, avant de payer ces dernières ; qu’en application de l’article 37 du même décret, les comptables doivent suspendre les paiements et en informer l’ordonnateur si, à l’occasion de l’exercice du contrôle de l’exactitude des calculs de liquidation, ils constatent des erreurs ;</w:t>
      </w:r>
    </w:p>
    <w:p w:rsidR="00147A40" w:rsidRDefault="00147A40" w:rsidP="00D12409">
      <w:pPr>
        <w:pStyle w:val="PS"/>
        <w:spacing w:after="360"/>
        <w:rPr>
          <w:rFonts w:ascii="CG Times (WN)" w:hAnsi="CG Times (WN)"/>
        </w:rPr>
      </w:pPr>
      <w:r>
        <w:t>Considérant que le contrôle de l’exactitude des calculs de liquidation des primes de rendement et des indemnités forfaitaires pour travaux supplémentaires (IFTS) des personnels de direction de l’administration centrale du ministère de la justice, impliquait de s’assurer que ces calculs étaient conformes aux bases de liquidation  ; que, parmi ces dernières figurent des textes contradictoires : d’une part, les décrets précités du 6 août 1945, 6 février 1950 et 14 janvier 2002 ; d’autre part la lettre ministérielle du 19 septembre 2003 précitée, qui reconduit le déplafonnement des régimes indemnitaires des personnels de l’administration centrale ; qu’en présence de textes contradictoires, le comptable aurait dû, en tout état de cause, suspendre les paiements et en informer l’ordonnateur ;</w:t>
      </w:r>
    </w:p>
    <w:p w:rsidR="00147A40" w:rsidRDefault="00147A40" w:rsidP="00D12409">
      <w:pPr>
        <w:pStyle w:val="PS"/>
      </w:pPr>
      <w:r>
        <w:t>Attendu que, par l’arrêt susvisé n° 53348, la Cour a enjoint à Mme Y d’apporter la preuve du versement de la somme de 272 245,83 € ou, à défaut, toute justification à décharge ;</w:t>
      </w:r>
    </w:p>
    <w:p w:rsidR="00147A40" w:rsidRDefault="00147A40" w:rsidP="00D12409">
      <w:pPr>
        <w:pStyle w:val="PS"/>
        <w:spacing w:after="360"/>
      </w:pPr>
    </w:p>
    <w:p w:rsidR="00147A40" w:rsidRDefault="00147A40" w:rsidP="00D12409">
      <w:pPr>
        <w:pStyle w:val="PS"/>
        <w:spacing w:after="360"/>
      </w:pPr>
      <w:r>
        <w:t>Attendu qu’en réponse audit arrêt</w:t>
      </w:r>
      <w:r w:rsidRPr="006B54F0">
        <w:t xml:space="preserve"> </w:t>
      </w:r>
      <w:r>
        <w:t xml:space="preserve">par lettre du 4 mars 2009, le receveur général des finances a déclaré </w:t>
      </w:r>
      <w:r w:rsidRPr="00807B22">
        <w:t xml:space="preserve">qu’aucun supplément de justification à décharge ne peut être apporté et que Mme </w:t>
      </w:r>
      <w:r>
        <w:t>Y</w:t>
      </w:r>
      <w:r w:rsidRPr="00807B22">
        <w:t xml:space="preserve"> n’avait pas effectué le versement de 272 245,83 € demandé</w:t>
      </w:r>
      <w:r>
        <w:t> ; que par lettre du 25 février 2010, Mme Y a validé cette réponse ;</w:t>
      </w:r>
    </w:p>
    <w:p w:rsidR="00147A40" w:rsidRDefault="00147A40" w:rsidP="00D12409">
      <w:pPr>
        <w:pStyle w:val="PS"/>
      </w:pPr>
      <w:r>
        <w:t xml:space="preserve">Considérant que, lors de l’audience publique, Mme Y a précisé avoir procédé au paiement sur la base d’instructions ministérielles ; que ses explications ne constituent pas de justifications à décharge ; </w:t>
      </w:r>
    </w:p>
    <w:p w:rsidR="00147A40" w:rsidRDefault="00147A40" w:rsidP="00D12409">
      <w:pPr>
        <w:pStyle w:val="PS"/>
      </w:pPr>
      <w:r>
        <w:t>Considérant que Mme Y n’a pas apporté la preuve du versement demandé ;</w:t>
      </w:r>
    </w:p>
    <w:p w:rsidR="00147A40" w:rsidRDefault="00147A40" w:rsidP="00D12409">
      <w:pPr>
        <w:pStyle w:val="PS"/>
        <w:rPr>
          <w:rFonts w:ascii="CG Times (WN)" w:hAnsi="CG Times (WN)"/>
        </w:rPr>
      </w:pPr>
      <w:r>
        <w:t>Considérant que la comptable n’a pas satisfait à l’injonction prononcée par l’arrêt susvisé ;</w:t>
      </w:r>
    </w:p>
    <w:p w:rsidR="00147A40" w:rsidRDefault="00147A40" w:rsidP="00D12409">
      <w:pPr>
        <w:pStyle w:val="PS"/>
      </w:pPr>
      <w:r>
        <w:t>Considérant que, selon les dispositions de l’article 60 modifié de la loi de finances du 23 février 1963 susvisée : « </w:t>
      </w:r>
      <w:r w:rsidRPr="00A10CE2">
        <w:rPr>
          <w:i/>
        </w:rPr>
        <w:t>I</w:t>
      </w:r>
      <w:r>
        <w:rPr>
          <w:i/>
        </w:rPr>
        <w:t xml:space="preserve"> </w:t>
      </w:r>
      <w:r w:rsidRPr="00A10CE2">
        <w:rPr>
          <w:i/>
        </w:rPr>
        <w:t>-</w:t>
      </w:r>
      <w:r>
        <w:t xml:space="preserve"> </w:t>
      </w:r>
      <w:r>
        <w:rPr>
          <w:i/>
          <w:shd w:val="clear" w:color="auto" w:fill="FFFFFF"/>
        </w:rPr>
        <w:t>L</w:t>
      </w:r>
      <w:r>
        <w:rPr>
          <w:i/>
        </w:rPr>
        <w:t xml:space="preserve">es comptables publics sont personnellement et pécuniairement responsables (…) du paiement des dépenses (…). La responsabilité personnelle et pécuniaire prévue ci-dessus se trouve engagée dès lors (…) qu’une dépense a été irrégulièrement payée (…).IV - La responsabilité pécuniaire d’un comptable public ne peut être mise en jeu que par le ministre dont il relève, le ministre chargé du budget ou le juge des comptes </w:t>
      </w:r>
      <w:r>
        <w:t>» ;</w:t>
      </w:r>
    </w:p>
    <w:p w:rsidR="00147A40" w:rsidRDefault="00147A40" w:rsidP="00D12409">
      <w:pPr>
        <w:pStyle w:val="PS"/>
      </w:pPr>
      <w:r>
        <w:t xml:space="preserve">Attendu qu’en application du même article, paragraphe VIII, les intérêts au taux légal courent </w:t>
      </w:r>
      <w:r w:rsidRPr="003E0D4D">
        <w:rPr>
          <w:i/>
        </w:rPr>
        <w:t>« à compter du premier acte de la mise en jeu de la responsabilité personnelle et pécuniaire des comptables publics »</w:t>
      </w:r>
      <w:r>
        <w:t> ;</w:t>
      </w:r>
    </w:p>
    <w:p w:rsidR="00147A40" w:rsidRDefault="00147A40" w:rsidP="00D12409">
      <w:pPr>
        <w:pStyle w:val="PS"/>
      </w:pPr>
      <w:r>
        <w:t>Par ces motifs,</w:t>
      </w:r>
    </w:p>
    <w:p w:rsidR="00147A40" w:rsidRDefault="00147A40" w:rsidP="00D12409">
      <w:pPr>
        <w:pStyle w:val="PS"/>
      </w:pPr>
      <w:r>
        <w:t>- l’injonction n° 2 est levée ;</w:t>
      </w:r>
    </w:p>
    <w:p w:rsidR="00147A40" w:rsidRDefault="00147A40" w:rsidP="00D12409">
      <w:pPr>
        <w:pStyle w:val="PS"/>
      </w:pPr>
      <w:r>
        <w:t>- Mme Y est constituée débitrice envers l’Etat, au titre de sa gestion pendant l’année 2003 du 27 janvier, de la somme de deux cent soixante douze mille deux cent quarante cinq euros quatre-vingt trois centimes (272 245,83 €) augmentée des intérêts de droit à compter du 17 décembre 2008, date à laquelle elle a accusé réception de l’arrêt n° 53348, qui constitue le premier acte de la mise en jeu de sa responsabilité personnelle et pécuniaire.</w:t>
      </w:r>
    </w:p>
    <w:p w:rsidR="00147A40" w:rsidRDefault="00147A40" w:rsidP="00D12409">
      <w:pPr>
        <w:pStyle w:val="PS"/>
        <w:spacing w:after="360"/>
      </w:pPr>
    </w:p>
    <w:p w:rsidR="00147A40" w:rsidRPr="00D122CF" w:rsidRDefault="00147A40" w:rsidP="00D12409">
      <w:pPr>
        <w:pStyle w:val="PS"/>
        <w:spacing w:after="360"/>
      </w:pPr>
      <w:r>
        <w:br w:type="page"/>
        <w:t>Annexe à la charge constatée à l’égard de Mme Y sur 2003</w:t>
      </w:r>
    </w:p>
    <w:tbl>
      <w:tblPr>
        <w:tblW w:w="9789" w:type="dxa"/>
        <w:tblInd w:w="430" w:type="dxa"/>
        <w:tblCellMar>
          <w:left w:w="70" w:type="dxa"/>
          <w:right w:w="70" w:type="dxa"/>
        </w:tblCellMar>
        <w:tblLook w:val="0000"/>
      </w:tblPr>
      <w:tblGrid>
        <w:gridCol w:w="3751"/>
        <w:gridCol w:w="1777"/>
        <w:gridCol w:w="141"/>
        <w:gridCol w:w="1159"/>
        <w:gridCol w:w="141"/>
        <w:gridCol w:w="1279"/>
        <w:gridCol w:w="141"/>
        <w:gridCol w:w="1400"/>
      </w:tblGrid>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000000"/>
            </w:tcBorders>
            <w:shd w:val="clear" w:color="auto" w:fill="C0C0C0"/>
            <w:noWrap/>
            <w:vAlign w:val="bottom"/>
          </w:tcPr>
          <w:p w:rsidR="00147A40" w:rsidRPr="00B55D96" w:rsidRDefault="00147A40" w:rsidP="00A373C4">
            <w:pPr>
              <w:pStyle w:val="BodyText"/>
              <w:spacing w:before="80" w:after="80"/>
              <w:ind w:left="-141" w:hanging="6"/>
              <w:jc w:val="center"/>
            </w:pPr>
            <w:r>
              <w:br w:type="page"/>
            </w:r>
            <w:r>
              <w:rPr>
                <w:rFonts w:ascii="Arial" w:hAnsi="Arial" w:cs="Arial"/>
                <w:i/>
                <w:iCs/>
                <w:sz w:val="18"/>
                <w:szCs w:val="18"/>
              </w:rPr>
              <w:t>INDEMNITES FORFAITAIRES POUR TRAVAUX SUPPLEMENTAIRES</w:t>
            </w:r>
            <w:r w:rsidRPr="00A91375">
              <w:rPr>
                <w:rFonts w:ascii="Arial" w:hAnsi="Arial" w:cs="Arial"/>
                <w:i/>
                <w:iCs/>
                <w:sz w:val="18"/>
                <w:szCs w:val="18"/>
              </w:rPr>
              <w:t xml:space="preserve"> ET PRIME</w:t>
            </w:r>
            <w:r>
              <w:rPr>
                <w:rFonts w:ascii="Arial" w:hAnsi="Arial" w:cs="Arial"/>
                <w:i/>
                <w:iCs/>
                <w:sz w:val="18"/>
                <w:szCs w:val="18"/>
              </w:rPr>
              <w:t>S DE RENDEMENT</w:t>
            </w:r>
            <w:r>
              <w:rPr>
                <w:rFonts w:ascii="Arial" w:hAnsi="Arial" w:cs="Arial"/>
                <w:i/>
                <w:iCs/>
                <w:sz w:val="18"/>
                <w:szCs w:val="18"/>
              </w:rPr>
              <w:br/>
            </w:r>
            <w:r w:rsidRPr="00A91375">
              <w:rPr>
                <w:rFonts w:ascii="Arial" w:hAnsi="Arial" w:cs="Arial"/>
                <w:i/>
                <w:iCs/>
                <w:sz w:val="18"/>
                <w:szCs w:val="18"/>
              </w:rPr>
              <w:t>AU PRORATA TEMPORIS 2003</w:t>
            </w:r>
          </w:p>
        </w:tc>
      </w:tr>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auto"/>
            </w:tcBorders>
            <w:noWrap/>
            <w:vAlign w:val="bottom"/>
          </w:tcPr>
          <w:p w:rsidR="00147A40" w:rsidRPr="00A91375" w:rsidRDefault="00147A40" w:rsidP="00A373C4">
            <w:pPr>
              <w:jc w:val="center"/>
              <w:rPr>
                <w:rFonts w:ascii="Arial" w:hAnsi="Arial" w:cs="Arial"/>
                <w:sz w:val="18"/>
                <w:szCs w:val="18"/>
              </w:rPr>
            </w:pPr>
            <w:r w:rsidRPr="00A91375">
              <w:rPr>
                <w:rFonts w:ascii="Arial" w:hAnsi="Arial" w:cs="Arial"/>
                <w:sz w:val="18"/>
                <w:szCs w:val="18"/>
              </w:rPr>
              <w:t>Directeurs d'administration centrale</w:t>
            </w:r>
          </w:p>
        </w:tc>
      </w:tr>
      <w:tr w:rsidR="00147A40" w:rsidRPr="00A91375">
        <w:trPr>
          <w:trHeight w:val="68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Nom</w:t>
            </w:r>
          </w:p>
        </w:tc>
        <w:tc>
          <w:tcPr>
            <w:tcW w:w="1777"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Pr>
                <w:rFonts w:ascii="Arial" w:hAnsi="Arial" w:cs="Arial"/>
                <w:sz w:val="18"/>
                <w:szCs w:val="18"/>
              </w:rPr>
              <w:t>Indice</w:t>
            </w:r>
          </w:p>
        </w:tc>
        <w:tc>
          <w:tcPr>
            <w:tcW w:w="1300"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Total des primes perçues</w:t>
            </w:r>
          </w:p>
        </w:tc>
        <w:tc>
          <w:tcPr>
            <w:tcW w:w="1420"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Plafond réglementaire au prorata temporis</w:t>
            </w:r>
            <w:r>
              <w:rPr>
                <w:rFonts w:ascii="Arial" w:hAnsi="Arial" w:cs="Arial"/>
                <w:sz w:val="18"/>
                <w:szCs w:val="18"/>
              </w:rPr>
              <w:t xml:space="preserve"> </w:t>
            </w:r>
            <w:r>
              <w:rPr>
                <w:rStyle w:val="FootnoteReference"/>
                <w:rFonts w:ascii="Arial" w:hAnsi="Arial" w:cs="Arial"/>
                <w:szCs w:val="18"/>
              </w:rPr>
              <w:footnoteReference w:id="1"/>
            </w:r>
          </w:p>
        </w:tc>
        <w:tc>
          <w:tcPr>
            <w:tcW w:w="1541"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Dépassement </w:t>
            </w:r>
            <w:r>
              <w:rPr>
                <w:rFonts w:ascii="Arial" w:hAnsi="Arial" w:cs="Arial"/>
                <w:sz w:val="18"/>
                <w:szCs w:val="18"/>
              </w:rPr>
              <w:t>irrégulier</w:t>
            </w:r>
          </w:p>
        </w:tc>
      </w:tr>
      <w:tr w:rsidR="00147A40" w:rsidRPr="00A91375">
        <w:trPr>
          <w:trHeight w:val="852"/>
        </w:trPr>
        <w:tc>
          <w:tcPr>
            <w:tcW w:w="3751" w:type="dxa"/>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XYB</w:t>
            </w:r>
          </w:p>
        </w:tc>
        <w:tc>
          <w:tcPr>
            <w:tcW w:w="1777"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D2 15/02/03 à 12/03</w:t>
            </w:r>
            <w:r>
              <w:rPr>
                <w:rFonts w:ascii="Arial" w:hAnsi="Arial" w:cs="Arial"/>
                <w:sz w:val="18"/>
                <w:szCs w:val="18"/>
              </w:rPr>
              <w:br/>
            </w:r>
            <w:r w:rsidRPr="00A91375">
              <w:rPr>
                <w:rFonts w:ascii="Arial" w:hAnsi="Arial" w:cs="Arial"/>
                <w:sz w:val="18"/>
                <w:szCs w:val="18"/>
              </w:rPr>
              <w:t>315 jours</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34 306,75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27 138,41  </w:t>
            </w:r>
          </w:p>
        </w:tc>
        <w:tc>
          <w:tcPr>
            <w:tcW w:w="1541"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7 168,34  </w:t>
            </w:r>
          </w:p>
        </w:tc>
      </w:tr>
      <w:tr w:rsidR="00147A40" w:rsidRPr="00A91375">
        <w:trPr>
          <w:trHeight w:val="456"/>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F</w:t>
            </w:r>
          </w:p>
        </w:tc>
        <w:tc>
          <w:tcPr>
            <w:tcW w:w="1777"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w:t>
            </w:r>
            <w:r>
              <w:rPr>
                <w:rFonts w:ascii="Arial" w:hAnsi="Arial" w:cs="Arial"/>
                <w:sz w:val="18"/>
                <w:szCs w:val="18"/>
              </w:rPr>
              <w:t>3 01/01/03 à 14/02/03</w:t>
            </w:r>
            <w:r>
              <w:rPr>
                <w:rFonts w:ascii="Arial" w:hAnsi="Arial" w:cs="Arial"/>
                <w:sz w:val="18"/>
                <w:szCs w:val="18"/>
              </w:rPr>
              <w:br/>
              <w:t>44</w:t>
            </w:r>
            <w:r w:rsidRPr="00A91375">
              <w:rPr>
                <w:rFonts w:ascii="Arial" w:hAnsi="Arial" w:cs="Arial"/>
                <w:sz w:val="18"/>
                <w:szCs w:val="18"/>
              </w:rPr>
              <w:t xml:space="preserve"> jours</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6 544,16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3 790,76</w:t>
            </w:r>
            <w:r w:rsidRPr="00A91375">
              <w:rPr>
                <w:rFonts w:ascii="Arial" w:hAnsi="Arial" w:cs="Arial"/>
                <w:sz w:val="18"/>
                <w:szCs w:val="18"/>
              </w:rPr>
              <w:t xml:space="preserve">  </w:t>
            </w:r>
          </w:p>
        </w:tc>
        <w:tc>
          <w:tcPr>
            <w:tcW w:w="1541"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2 753,40</w:t>
            </w:r>
            <w:r w:rsidRPr="00A91375">
              <w:rPr>
                <w:rFonts w:ascii="Arial" w:hAnsi="Arial" w:cs="Arial"/>
                <w:sz w:val="18"/>
                <w:szCs w:val="18"/>
              </w:rPr>
              <w:t xml:space="preserve">  </w:t>
            </w:r>
          </w:p>
        </w:tc>
      </w:tr>
      <w:tr w:rsidR="00147A40" w:rsidRPr="00A91375">
        <w:trPr>
          <w:trHeight w:val="456"/>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I</w:t>
            </w:r>
          </w:p>
        </w:tc>
        <w:tc>
          <w:tcPr>
            <w:tcW w:w="1777"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E2</w:t>
            </w:r>
            <w:r>
              <w:rPr>
                <w:rFonts w:ascii="Arial" w:hAnsi="Arial" w:cs="Arial"/>
                <w:sz w:val="18"/>
                <w:szCs w:val="18"/>
              </w:rPr>
              <w:t xml:space="preserve"> 01/01/03 à 14/02/03</w:t>
            </w:r>
            <w:r>
              <w:rPr>
                <w:rFonts w:ascii="Arial" w:hAnsi="Arial" w:cs="Arial"/>
                <w:sz w:val="18"/>
                <w:szCs w:val="18"/>
              </w:rPr>
              <w:br/>
              <w:t>44</w:t>
            </w:r>
            <w:r w:rsidRPr="00A91375">
              <w:rPr>
                <w:rFonts w:ascii="Arial" w:hAnsi="Arial" w:cs="Arial"/>
                <w:sz w:val="18"/>
                <w:szCs w:val="18"/>
              </w:rPr>
              <w:t xml:space="preserve"> jours</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39 562,56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4 152,35</w:t>
            </w:r>
            <w:r w:rsidRPr="00A91375">
              <w:rPr>
                <w:rFonts w:ascii="Arial" w:hAnsi="Arial" w:cs="Arial"/>
                <w:sz w:val="18"/>
                <w:szCs w:val="18"/>
              </w:rPr>
              <w:t xml:space="preserve">  </w:t>
            </w:r>
          </w:p>
        </w:tc>
        <w:tc>
          <w:tcPr>
            <w:tcW w:w="1541"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35 410,21</w:t>
            </w:r>
            <w:r w:rsidRPr="00A91375">
              <w:rPr>
                <w:rFonts w:ascii="Arial" w:hAnsi="Arial" w:cs="Arial"/>
                <w:sz w:val="18"/>
                <w:szCs w:val="18"/>
              </w:rPr>
              <w:t xml:space="preserve">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1777" w:type="dxa"/>
            <w:tcBorders>
              <w:top w:val="nil"/>
              <w:left w:val="nil"/>
              <w:bottom w:val="single" w:sz="4" w:space="0" w:color="auto"/>
              <w:right w:val="single" w:sz="4" w:space="0" w:color="auto"/>
            </w:tcBorders>
            <w:vAlign w:val="bottom"/>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300" w:type="dxa"/>
            <w:gridSpan w:val="2"/>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20" w:type="dxa"/>
            <w:gridSpan w:val="2"/>
            <w:tcBorders>
              <w:top w:val="nil"/>
              <w:left w:val="nil"/>
              <w:bottom w:val="single" w:sz="4" w:space="0" w:color="auto"/>
              <w:right w:val="single" w:sz="4" w:space="0" w:color="auto"/>
            </w:tcBorders>
            <w:noWrap/>
            <w:vAlign w:val="bottom"/>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541" w:type="dxa"/>
            <w:gridSpan w:val="2"/>
            <w:tcBorders>
              <w:top w:val="nil"/>
              <w:left w:val="nil"/>
              <w:bottom w:val="single" w:sz="4" w:space="0" w:color="auto"/>
              <w:right w:val="single" w:sz="4" w:space="0" w:color="auto"/>
            </w:tcBorders>
            <w:noWrap/>
            <w:vAlign w:val="bottom"/>
          </w:tcPr>
          <w:p w:rsidR="00147A40" w:rsidRPr="00A91375" w:rsidRDefault="00147A40" w:rsidP="00A373C4">
            <w:pPr>
              <w:jc w:val="right"/>
              <w:rPr>
                <w:rFonts w:ascii="Arial" w:hAnsi="Arial" w:cs="Arial"/>
                <w:b/>
                <w:bCs/>
                <w:i/>
                <w:iCs/>
                <w:sz w:val="18"/>
                <w:szCs w:val="18"/>
              </w:rPr>
            </w:pPr>
            <w:r>
              <w:rPr>
                <w:rFonts w:ascii="Arial" w:hAnsi="Arial" w:cs="Arial"/>
                <w:b/>
                <w:bCs/>
                <w:i/>
                <w:iCs/>
                <w:sz w:val="18"/>
                <w:szCs w:val="18"/>
              </w:rPr>
              <w:t>45 331,95</w:t>
            </w:r>
            <w:r w:rsidRPr="00A91375">
              <w:rPr>
                <w:rFonts w:ascii="Arial" w:hAnsi="Arial" w:cs="Arial"/>
                <w:b/>
                <w:bCs/>
                <w:i/>
                <w:iCs/>
                <w:sz w:val="18"/>
                <w:szCs w:val="18"/>
              </w:rPr>
              <w:t xml:space="preserve">  </w:t>
            </w:r>
          </w:p>
        </w:tc>
      </w:tr>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000000"/>
            </w:tcBorders>
            <w:shd w:val="clear" w:color="auto" w:fill="C0C0C0"/>
            <w:noWrap/>
            <w:vAlign w:val="bottom"/>
          </w:tcPr>
          <w:p w:rsidR="00147A40" w:rsidRPr="00B55D96" w:rsidRDefault="00147A40" w:rsidP="00A373C4">
            <w:pPr>
              <w:pStyle w:val="BodyText"/>
              <w:spacing w:before="80" w:after="80"/>
              <w:ind w:left="-147" w:firstLine="0"/>
              <w:jc w:val="center"/>
            </w:pPr>
            <w:r w:rsidRPr="00A91375">
              <w:rPr>
                <w:rFonts w:ascii="Arial" w:hAnsi="Arial" w:cs="Arial"/>
                <w:i/>
                <w:iCs/>
                <w:sz w:val="18"/>
                <w:szCs w:val="18"/>
              </w:rPr>
              <w:t>DEPASSEMENTS</w:t>
            </w:r>
            <w:r>
              <w:rPr>
                <w:rFonts w:ascii="Arial" w:hAnsi="Arial" w:cs="Arial"/>
                <w:i/>
                <w:iCs/>
                <w:sz w:val="18"/>
                <w:szCs w:val="18"/>
              </w:rPr>
              <w:t xml:space="preserve"> INDEMNITES FORFAITAIRES POUR TRAVAUX SUPPLEMENTAIRES</w:t>
            </w:r>
            <w:r>
              <w:rPr>
                <w:rFonts w:ascii="Arial" w:hAnsi="Arial" w:cs="Arial"/>
                <w:i/>
                <w:iCs/>
                <w:sz w:val="18"/>
                <w:szCs w:val="18"/>
              </w:rPr>
              <w:br/>
              <w:t>ET</w:t>
            </w:r>
            <w:r w:rsidRPr="00A91375">
              <w:rPr>
                <w:rFonts w:ascii="Arial" w:hAnsi="Arial" w:cs="Arial"/>
                <w:i/>
                <w:iCs/>
                <w:sz w:val="18"/>
                <w:szCs w:val="18"/>
              </w:rPr>
              <w:t xml:space="preserve"> PRIMES </w:t>
            </w:r>
            <w:r>
              <w:rPr>
                <w:rFonts w:ascii="Arial" w:hAnsi="Arial" w:cs="Arial"/>
                <w:i/>
                <w:iCs/>
                <w:sz w:val="18"/>
                <w:szCs w:val="18"/>
              </w:rPr>
              <w:t xml:space="preserve">DE RENDEMENT </w:t>
            </w:r>
            <w:r w:rsidRPr="00A91375">
              <w:rPr>
                <w:rFonts w:ascii="Arial" w:hAnsi="Arial" w:cs="Arial"/>
                <w:i/>
                <w:iCs/>
                <w:sz w:val="18"/>
                <w:szCs w:val="18"/>
              </w:rPr>
              <w:t>2003</w:t>
            </w:r>
          </w:p>
        </w:tc>
      </w:tr>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Directeurs d'administration centrale</w:t>
            </w:r>
          </w:p>
        </w:tc>
      </w:tr>
      <w:tr w:rsidR="00147A40" w:rsidRPr="00A91375">
        <w:trPr>
          <w:trHeight w:val="264"/>
        </w:trPr>
        <w:tc>
          <w:tcPr>
            <w:tcW w:w="3751" w:type="dxa"/>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Z</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 C1  C2</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37 817,47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30 013,76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7 803,71  </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B</w:t>
            </w:r>
          </w:p>
        </w:tc>
        <w:tc>
          <w:tcPr>
            <w:tcW w:w="1918" w:type="dxa"/>
            <w:gridSpan w:val="2"/>
            <w:tcBorders>
              <w:top w:val="single" w:sz="4" w:space="0" w:color="auto"/>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D2  D3</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39 107,68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31 015,33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8 092,35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G </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E1  E2 </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40 812,00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33 973,77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6 838,23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C</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 121</w:t>
            </w:r>
            <w:r>
              <w:rPr>
                <w:rFonts w:ascii="Arial" w:hAnsi="Arial" w:cs="Arial"/>
                <w:sz w:val="18"/>
                <w:szCs w:val="18"/>
              </w:rPr>
              <w:t xml:space="preserve"> </w:t>
            </w:r>
            <w:r w:rsidRPr="00A91375">
              <w:rPr>
                <w:rFonts w:ascii="Arial" w:hAnsi="Arial" w:cs="Arial"/>
                <w:sz w:val="18"/>
                <w:szCs w:val="18"/>
              </w:rPr>
              <w:t>jrs   E 239</w:t>
            </w:r>
            <w:r>
              <w:rPr>
                <w:rFonts w:ascii="Arial" w:hAnsi="Arial" w:cs="Arial"/>
                <w:sz w:val="18"/>
                <w:szCs w:val="18"/>
              </w:rPr>
              <w:t xml:space="preserve"> </w:t>
            </w:r>
            <w:r w:rsidRPr="00A91375">
              <w:rPr>
                <w:rFonts w:ascii="Arial" w:hAnsi="Arial" w:cs="Arial"/>
                <w:sz w:val="18"/>
                <w:szCs w:val="18"/>
              </w:rPr>
              <w:t>jrs</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40 082,64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32 979,41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7 103,23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H </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D 335</w:t>
            </w:r>
            <w:r>
              <w:rPr>
                <w:rFonts w:ascii="Arial" w:hAnsi="Arial" w:cs="Arial"/>
                <w:sz w:val="18"/>
                <w:szCs w:val="18"/>
              </w:rPr>
              <w:t xml:space="preserve"> </w:t>
            </w:r>
            <w:r w:rsidRPr="00A91375">
              <w:rPr>
                <w:rFonts w:ascii="Arial" w:hAnsi="Arial" w:cs="Arial"/>
                <w:sz w:val="18"/>
                <w:szCs w:val="18"/>
              </w:rPr>
              <w:t>jrs  E 25</w:t>
            </w:r>
            <w:r>
              <w:rPr>
                <w:rFonts w:ascii="Arial" w:hAnsi="Arial" w:cs="Arial"/>
                <w:sz w:val="18"/>
                <w:szCs w:val="18"/>
              </w:rPr>
              <w:t xml:space="preserve"> </w:t>
            </w:r>
            <w:r w:rsidRPr="00A91375">
              <w:rPr>
                <w:rFonts w:ascii="Arial" w:hAnsi="Arial" w:cs="Arial"/>
                <w:sz w:val="18"/>
                <w:szCs w:val="18"/>
              </w:rPr>
              <w:t>jrs</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38 007,87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31 220,78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6 787,09  </w:t>
            </w:r>
          </w:p>
        </w:tc>
      </w:tr>
      <w:tr w:rsidR="00147A40" w:rsidRPr="007C3D93">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7C3D93" w:rsidRDefault="00147A40" w:rsidP="00A373C4">
            <w:pPr>
              <w:rPr>
                <w:rFonts w:ascii="Arial" w:hAnsi="Arial" w:cs="Arial"/>
                <w:b/>
                <w:i/>
                <w:iCs/>
                <w:sz w:val="18"/>
                <w:szCs w:val="18"/>
              </w:rPr>
            </w:pPr>
            <w:r w:rsidRPr="007C3D93">
              <w:rPr>
                <w:rFonts w:ascii="Arial" w:hAnsi="Arial" w:cs="Arial"/>
                <w:b/>
                <w:i/>
                <w:iCs/>
                <w:sz w:val="18"/>
                <w:szCs w:val="18"/>
              </w:rPr>
              <w:t>Sous-total</w:t>
            </w:r>
          </w:p>
        </w:tc>
        <w:tc>
          <w:tcPr>
            <w:tcW w:w="1918" w:type="dxa"/>
            <w:gridSpan w:val="2"/>
            <w:tcBorders>
              <w:top w:val="single" w:sz="4" w:space="0" w:color="auto"/>
              <w:left w:val="nil"/>
              <w:bottom w:val="single" w:sz="4" w:space="0" w:color="auto"/>
              <w:right w:val="single" w:sz="4" w:space="0" w:color="auto"/>
            </w:tcBorders>
            <w:vAlign w:val="center"/>
          </w:tcPr>
          <w:p w:rsidR="00147A40" w:rsidRPr="007C3D93" w:rsidRDefault="00147A40" w:rsidP="00A373C4">
            <w:pPr>
              <w:jc w:val="center"/>
              <w:rPr>
                <w:rFonts w:ascii="Arial" w:hAnsi="Arial" w:cs="Arial"/>
                <w:b/>
                <w:sz w:val="18"/>
                <w:szCs w:val="18"/>
              </w:rPr>
            </w:pPr>
            <w:r w:rsidRPr="007C3D93">
              <w:rPr>
                <w:rFonts w:ascii="Arial" w:hAnsi="Arial" w:cs="Arial"/>
                <w:b/>
                <w:sz w:val="18"/>
                <w:szCs w:val="18"/>
              </w:rPr>
              <w:t> </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7C3D93" w:rsidRDefault="00147A40" w:rsidP="00A373C4">
            <w:pPr>
              <w:rPr>
                <w:rFonts w:ascii="Arial" w:hAnsi="Arial" w:cs="Arial"/>
                <w:b/>
                <w:sz w:val="18"/>
                <w:szCs w:val="18"/>
              </w:rPr>
            </w:pPr>
            <w:r w:rsidRPr="007C3D93">
              <w:rPr>
                <w:rFonts w:ascii="Arial" w:hAnsi="Arial" w:cs="Arial"/>
                <w:b/>
                <w:sz w:val="18"/>
                <w:szCs w:val="18"/>
              </w:rPr>
              <w:t>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7C3D93" w:rsidRDefault="00147A40" w:rsidP="00A373C4">
            <w:pPr>
              <w:rPr>
                <w:rFonts w:ascii="Arial" w:hAnsi="Arial" w:cs="Arial"/>
                <w:b/>
                <w:sz w:val="18"/>
                <w:szCs w:val="18"/>
              </w:rPr>
            </w:pPr>
            <w:r w:rsidRPr="007C3D93">
              <w:rPr>
                <w:rFonts w:ascii="Arial" w:hAnsi="Arial" w:cs="Arial"/>
                <w:b/>
                <w:sz w:val="18"/>
                <w:szCs w:val="18"/>
              </w:rPr>
              <w:t> </w:t>
            </w:r>
          </w:p>
        </w:tc>
        <w:tc>
          <w:tcPr>
            <w:tcW w:w="1400" w:type="dxa"/>
            <w:tcBorders>
              <w:top w:val="single" w:sz="4" w:space="0" w:color="auto"/>
              <w:left w:val="nil"/>
              <w:bottom w:val="single" w:sz="4" w:space="0" w:color="auto"/>
              <w:right w:val="single" w:sz="4" w:space="0" w:color="auto"/>
            </w:tcBorders>
            <w:noWrap/>
            <w:vAlign w:val="center"/>
          </w:tcPr>
          <w:p w:rsidR="00147A40" w:rsidRPr="007C3D93" w:rsidRDefault="00147A40" w:rsidP="00A373C4">
            <w:pPr>
              <w:ind w:right="15"/>
              <w:jc w:val="right"/>
              <w:rPr>
                <w:rFonts w:ascii="Arial" w:hAnsi="Arial" w:cs="Arial"/>
                <w:b/>
                <w:i/>
                <w:iCs/>
                <w:sz w:val="18"/>
                <w:szCs w:val="18"/>
              </w:rPr>
            </w:pPr>
            <w:r w:rsidRPr="007C3D93">
              <w:rPr>
                <w:rFonts w:ascii="Arial" w:hAnsi="Arial" w:cs="Arial"/>
                <w:b/>
                <w:i/>
                <w:iCs/>
                <w:sz w:val="18"/>
                <w:szCs w:val="18"/>
              </w:rPr>
              <w:t xml:space="preserve">36 624,61  </w:t>
            </w:r>
          </w:p>
        </w:tc>
      </w:tr>
      <w:tr w:rsidR="00147A40" w:rsidRPr="007C3D93">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7C3D93" w:rsidRDefault="00147A40" w:rsidP="00A373C4">
            <w:pPr>
              <w:rPr>
                <w:rFonts w:ascii="Arial" w:hAnsi="Arial" w:cs="Arial"/>
                <w:b/>
                <w:i/>
                <w:iCs/>
                <w:sz w:val="18"/>
                <w:szCs w:val="18"/>
              </w:rPr>
            </w:pPr>
            <w:r>
              <w:rPr>
                <w:rFonts w:ascii="Arial" w:hAnsi="Arial" w:cs="Arial"/>
                <w:b/>
                <w:i/>
                <w:iCs/>
                <w:sz w:val="18"/>
                <w:szCs w:val="18"/>
              </w:rPr>
              <w:t>Sous-</w:t>
            </w:r>
            <w:r w:rsidRPr="007C3D93">
              <w:rPr>
                <w:rFonts w:ascii="Arial" w:hAnsi="Arial" w:cs="Arial"/>
                <w:b/>
                <w:i/>
                <w:iCs/>
                <w:sz w:val="18"/>
                <w:szCs w:val="18"/>
              </w:rPr>
              <w:t>total directeur</w:t>
            </w:r>
          </w:p>
        </w:tc>
        <w:tc>
          <w:tcPr>
            <w:tcW w:w="1918" w:type="dxa"/>
            <w:gridSpan w:val="2"/>
            <w:tcBorders>
              <w:top w:val="nil"/>
              <w:left w:val="nil"/>
              <w:bottom w:val="single" w:sz="4" w:space="0" w:color="auto"/>
              <w:right w:val="single" w:sz="4" w:space="0" w:color="auto"/>
            </w:tcBorders>
            <w:vAlign w:val="center"/>
          </w:tcPr>
          <w:p w:rsidR="00147A40" w:rsidRPr="007C3D93" w:rsidRDefault="00147A40" w:rsidP="00A373C4">
            <w:pPr>
              <w:jc w:val="center"/>
              <w:rPr>
                <w:rFonts w:ascii="Arial" w:hAnsi="Arial" w:cs="Arial"/>
                <w:b/>
                <w:sz w:val="18"/>
                <w:szCs w:val="18"/>
              </w:rPr>
            </w:pPr>
          </w:p>
        </w:tc>
        <w:tc>
          <w:tcPr>
            <w:tcW w:w="1300" w:type="dxa"/>
            <w:gridSpan w:val="2"/>
            <w:tcBorders>
              <w:top w:val="nil"/>
              <w:left w:val="nil"/>
              <w:bottom w:val="single" w:sz="4" w:space="0" w:color="auto"/>
              <w:right w:val="single" w:sz="4" w:space="0" w:color="auto"/>
            </w:tcBorders>
            <w:noWrap/>
            <w:vAlign w:val="center"/>
          </w:tcPr>
          <w:p w:rsidR="00147A40" w:rsidRPr="007C3D93" w:rsidRDefault="00147A40" w:rsidP="00A373C4">
            <w:pPr>
              <w:rPr>
                <w:rFonts w:ascii="Arial" w:hAnsi="Arial" w:cs="Arial"/>
                <w:b/>
                <w:sz w:val="18"/>
                <w:szCs w:val="18"/>
              </w:rPr>
            </w:pPr>
          </w:p>
        </w:tc>
        <w:tc>
          <w:tcPr>
            <w:tcW w:w="1420" w:type="dxa"/>
            <w:gridSpan w:val="2"/>
            <w:tcBorders>
              <w:top w:val="nil"/>
              <w:left w:val="nil"/>
              <w:bottom w:val="single" w:sz="4" w:space="0" w:color="auto"/>
              <w:right w:val="single" w:sz="4" w:space="0" w:color="auto"/>
            </w:tcBorders>
            <w:noWrap/>
            <w:vAlign w:val="center"/>
          </w:tcPr>
          <w:p w:rsidR="00147A40" w:rsidRPr="007C3D93" w:rsidRDefault="00147A40" w:rsidP="00A373C4">
            <w:pPr>
              <w:rPr>
                <w:rFonts w:ascii="Arial" w:hAnsi="Arial" w:cs="Arial"/>
                <w:b/>
                <w:sz w:val="18"/>
                <w:szCs w:val="18"/>
              </w:rPr>
            </w:pPr>
          </w:p>
        </w:tc>
        <w:tc>
          <w:tcPr>
            <w:tcW w:w="1400" w:type="dxa"/>
            <w:tcBorders>
              <w:top w:val="nil"/>
              <w:left w:val="nil"/>
              <w:bottom w:val="single" w:sz="4" w:space="0" w:color="auto"/>
              <w:right w:val="single" w:sz="4" w:space="0" w:color="auto"/>
            </w:tcBorders>
            <w:noWrap/>
            <w:vAlign w:val="center"/>
          </w:tcPr>
          <w:p w:rsidR="00147A40" w:rsidRPr="007C3D93" w:rsidRDefault="00147A40" w:rsidP="00A373C4">
            <w:pPr>
              <w:ind w:right="15"/>
              <w:jc w:val="right"/>
              <w:rPr>
                <w:rFonts w:ascii="Arial" w:hAnsi="Arial" w:cs="Arial"/>
                <w:b/>
                <w:i/>
                <w:iCs/>
                <w:sz w:val="18"/>
                <w:szCs w:val="18"/>
              </w:rPr>
            </w:pPr>
            <w:r>
              <w:rPr>
                <w:rFonts w:ascii="Arial" w:hAnsi="Arial" w:cs="Arial"/>
                <w:b/>
                <w:i/>
                <w:iCs/>
                <w:sz w:val="18"/>
                <w:szCs w:val="18"/>
              </w:rPr>
              <w:t>81 956,56</w:t>
            </w:r>
          </w:p>
        </w:tc>
      </w:tr>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Chefs de service</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K</w:t>
            </w:r>
          </w:p>
        </w:tc>
        <w:tc>
          <w:tcPr>
            <w:tcW w:w="1918" w:type="dxa"/>
            <w:gridSpan w:val="2"/>
            <w:tcBorders>
              <w:top w:val="single" w:sz="4" w:space="0" w:color="auto"/>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1085</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33 208,96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6 134,97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me</w:t>
            </w:r>
            <w:r w:rsidRPr="00A91375">
              <w:rPr>
                <w:rFonts w:ascii="Arial" w:hAnsi="Arial" w:cs="Arial"/>
                <w:sz w:val="18"/>
                <w:szCs w:val="18"/>
              </w:rPr>
              <w:t>. XYC</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1085</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33 241,71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6 167,72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me</w:t>
            </w:r>
            <w:r w:rsidRPr="00A91375">
              <w:rPr>
                <w:rFonts w:ascii="Arial" w:hAnsi="Arial" w:cs="Arial"/>
                <w:sz w:val="18"/>
                <w:szCs w:val="18"/>
              </w:rPr>
              <w:t>. V</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1085</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32 732,52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5 658,53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M</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1114</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33 325,97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6 251,98  </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 XYD</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1085</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33 325,96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27 073,99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6 251,97  </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XYE</w:t>
            </w:r>
          </w:p>
        </w:tc>
        <w:tc>
          <w:tcPr>
            <w:tcW w:w="1918" w:type="dxa"/>
            <w:gridSpan w:val="2"/>
            <w:tcBorders>
              <w:top w:val="single" w:sz="4" w:space="0" w:color="auto"/>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Pr>
                <w:rFonts w:ascii="Arial" w:hAnsi="Arial" w:cs="Arial"/>
                <w:sz w:val="18"/>
                <w:szCs w:val="18"/>
              </w:rPr>
              <w:t>1085 04</w:t>
            </w:r>
            <w:r w:rsidRPr="00A91375">
              <w:rPr>
                <w:rFonts w:ascii="Arial" w:hAnsi="Arial" w:cs="Arial"/>
                <w:sz w:val="18"/>
                <w:szCs w:val="18"/>
              </w:rPr>
              <w:t>/03 à 12/03</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33 719,91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20 305,49</w:t>
            </w:r>
            <w:r w:rsidRPr="00A91375">
              <w:rPr>
                <w:rFonts w:ascii="Arial" w:hAnsi="Arial" w:cs="Arial"/>
                <w:sz w:val="18"/>
                <w:szCs w:val="18"/>
              </w:rPr>
              <w:t xml:space="preserve">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Pr>
                <w:rFonts w:ascii="Arial" w:hAnsi="Arial" w:cs="Arial"/>
                <w:sz w:val="18"/>
                <w:szCs w:val="18"/>
              </w:rPr>
              <w:t>13 414,42</w:t>
            </w:r>
            <w:r w:rsidRPr="00A91375">
              <w:rPr>
                <w:rFonts w:ascii="Arial" w:hAnsi="Arial" w:cs="Arial"/>
                <w:sz w:val="18"/>
                <w:szCs w:val="18"/>
              </w:rPr>
              <w:t xml:space="preserve">  </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1918" w:type="dxa"/>
            <w:gridSpan w:val="2"/>
            <w:tcBorders>
              <w:top w:val="single" w:sz="4" w:space="0" w:color="auto"/>
              <w:left w:val="nil"/>
              <w:bottom w:val="single" w:sz="4" w:space="0" w:color="auto"/>
              <w:right w:val="single" w:sz="4" w:space="0" w:color="auto"/>
            </w:tcBorders>
            <w:vAlign w:val="center"/>
          </w:tcPr>
          <w:p w:rsidR="00147A40" w:rsidRPr="00A91375" w:rsidRDefault="00147A40" w:rsidP="00A373C4">
            <w:pPr>
              <w:jc w:val="center"/>
              <w:rPr>
                <w:rFonts w:ascii="Arial" w:hAnsi="Arial" w:cs="Arial"/>
                <w:b/>
                <w:bCs/>
                <w:sz w:val="18"/>
                <w:szCs w:val="18"/>
              </w:rPr>
            </w:pPr>
            <w:r w:rsidRPr="00A91375">
              <w:rPr>
                <w:rFonts w:ascii="Arial" w:hAnsi="Arial" w:cs="Arial"/>
                <w:b/>
                <w:bCs/>
                <w:sz w:val="18"/>
                <w:szCs w:val="18"/>
              </w:rPr>
              <w:t> </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Pr>
                <w:rFonts w:ascii="Arial" w:hAnsi="Arial" w:cs="Arial"/>
                <w:b/>
                <w:bCs/>
                <w:i/>
                <w:iCs/>
                <w:sz w:val="18"/>
                <w:szCs w:val="18"/>
              </w:rPr>
              <w:t>43 879,59</w:t>
            </w:r>
          </w:p>
        </w:tc>
      </w:tr>
      <w:tr w:rsidR="00147A40" w:rsidRPr="00A91375">
        <w:trPr>
          <w:trHeight w:val="264"/>
        </w:trPr>
        <w:tc>
          <w:tcPr>
            <w:tcW w:w="9789" w:type="dxa"/>
            <w:gridSpan w:val="8"/>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Sous-directeurs</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741D1A" w:rsidRDefault="00147A40" w:rsidP="00A373C4">
            <w:pPr>
              <w:rPr>
                <w:rFonts w:ascii="Arial" w:hAnsi="Arial" w:cs="Arial"/>
                <w:sz w:val="18"/>
                <w:szCs w:val="18"/>
                <w:lang w:val="pt-BR"/>
              </w:rPr>
            </w:pPr>
            <w:r>
              <w:rPr>
                <w:rFonts w:ascii="Arial" w:hAnsi="Arial" w:cs="Arial"/>
                <w:sz w:val="18"/>
                <w:szCs w:val="18"/>
                <w:lang w:val="pt-BR"/>
              </w:rPr>
              <w:t>Mme XYF</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820</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27 594,29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Pr>
                <w:rFonts w:ascii="Arial" w:hAnsi="Arial" w:cs="Arial"/>
                <w:sz w:val="18"/>
                <w:szCs w:val="18"/>
              </w:rPr>
              <w:t>1 068,00</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N</w:t>
            </w:r>
          </w:p>
        </w:tc>
        <w:tc>
          <w:tcPr>
            <w:tcW w:w="1918"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28 503,74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Pr>
                <w:rFonts w:ascii="Arial" w:hAnsi="Arial" w:cs="Arial"/>
                <w:sz w:val="18"/>
                <w:szCs w:val="18"/>
              </w:rPr>
              <w:t>1 977,45</w:t>
            </w:r>
          </w:p>
        </w:tc>
      </w:tr>
      <w:tr w:rsidR="00147A40" w:rsidRPr="00A91375">
        <w:trPr>
          <w:trHeight w:val="264"/>
        </w:trPr>
        <w:tc>
          <w:tcPr>
            <w:tcW w:w="3751" w:type="dxa"/>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Pr>
                <w:rFonts w:ascii="Arial" w:hAnsi="Arial" w:cs="Arial"/>
                <w:sz w:val="18"/>
                <w:szCs w:val="18"/>
              </w:rPr>
              <w:t>Mme XYG</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0A01</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28 384,79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1 858,50</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Q</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29 630,53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3 104,24</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R</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29 833,65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3 307,36</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S</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0B02</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29 120,03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2 593,74</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XYH</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1057</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28 498,13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1 971,84</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U</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0B02</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29 292,02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2 765,73</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XYI</w:t>
            </w:r>
          </w:p>
        </w:tc>
        <w:tc>
          <w:tcPr>
            <w:tcW w:w="1918"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28 411,52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1 885,23</w:t>
            </w:r>
          </w:p>
        </w:tc>
      </w:tr>
      <w:tr w:rsidR="00147A40" w:rsidRPr="00A91375">
        <w:trPr>
          <w:trHeight w:val="264"/>
        </w:trPr>
        <w:tc>
          <w:tcPr>
            <w:tcW w:w="3751"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W</w:t>
            </w:r>
          </w:p>
        </w:tc>
        <w:tc>
          <w:tcPr>
            <w:tcW w:w="1918"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30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28 968,85  </w:t>
            </w:r>
          </w:p>
        </w:tc>
        <w:tc>
          <w:tcPr>
            <w:tcW w:w="142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2 442,56</w:t>
            </w:r>
          </w:p>
        </w:tc>
      </w:tr>
      <w:tr w:rsidR="00147A40" w:rsidRPr="00A91375">
        <w:trPr>
          <w:trHeight w:val="264"/>
        </w:trPr>
        <w:tc>
          <w:tcPr>
            <w:tcW w:w="3751"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XYJ</w:t>
            </w:r>
          </w:p>
        </w:tc>
        <w:tc>
          <w:tcPr>
            <w:tcW w:w="1918"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30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28 346,82  </w:t>
            </w:r>
          </w:p>
        </w:tc>
        <w:tc>
          <w:tcPr>
            <w:tcW w:w="1420" w:type="dxa"/>
            <w:gridSpan w:val="2"/>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1 820,53</w:t>
            </w:r>
          </w:p>
        </w:tc>
      </w:tr>
    </w:tbl>
    <w:p w:rsidR="00147A40" w:rsidRDefault="00147A40" w:rsidP="00D12409">
      <w:r>
        <w:br w:type="page"/>
      </w:r>
    </w:p>
    <w:tbl>
      <w:tblPr>
        <w:tblW w:w="9789" w:type="dxa"/>
        <w:tblInd w:w="430" w:type="dxa"/>
        <w:tblCellMar>
          <w:left w:w="70" w:type="dxa"/>
          <w:right w:w="70" w:type="dxa"/>
        </w:tblCellMar>
        <w:tblLook w:val="0000"/>
      </w:tblPr>
      <w:tblGrid>
        <w:gridCol w:w="3609"/>
        <w:gridCol w:w="142"/>
        <w:gridCol w:w="1918"/>
        <w:gridCol w:w="1300"/>
        <w:gridCol w:w="1420"/>
        <w:gridCol w:w="1400"/>
      </w:tblGrid>
      <w:tr w:rsidR="00147A40" w:rsidRPr="00A91375">
        <w:trPr>
          <w:trHeight w:val="264"/>
        </w:trPr>
        <w:tc>
          <w:tcPr>
            <w:tcW w:w="3751" w:type="dxa"/>
            <w:gridSpan w:val="2"/>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XX</w:t>
            </w:r>
          </w:p>
        </w:tc>
        <w:tc>
          <w:tcPr>
            <w:tcW w:w="1918"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29 833,65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3 307,36</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XYK</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820</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26 958,83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432,54</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 XYL</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29 644,69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3 118,40</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XY</w:t>
            </w:r>
            <w:r>
              <w:rPr>
                <w:rFonts w:ascii="Arial" w:hAnsi="Arial" w:cs="Arial"/>
                <w:sz w:val="18"/>
                <w:szCs w:val="18"/>
              </w:rPr>
              <w:t>M</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28 581,72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2 055,43</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S</w:t>
            </w:r>
            <w:r>
              <w:rPr>
                <w:rFonts w:ascii="Arial" w:hAnsi="Arial" w:cs="Arial"/>
                <w:b/>
                <w:bCs/>
                <w:i/>
                <w:iCs/>
                <w:sz w:val="18"/>
                <w:szCs w:val="18"/>
              </w:rPr>
              <w:t>ous-</w:t>
            </w:r>
            <w:r w:rsidRPr="00A91375">
              <w:rPr>
                <w:rFonts w:ascii="Arial" w:hAnsi="Arial" w:cs="Arial"/>
                <w:b/>
                <w:bCs/>
                <w:i/>
                <w:iCs/>
                <w:sz w:val="18"/>
                <w:szCs w:val="18"/>
              </w:rPr>
              <w:t>total</w:t>
            </w:r>
          </w:p>
        </w:tc>
        <w:tc>
          <w:tcPr>
            <w:tcW w:w="1918"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b/>
                <w:bCs/>
                <w:sz w:val="18"/>
                <w:szCs w:val="18"/>
              </w:rPr>
            </w:pPr>
            <w:r w:rsidRPr="00A91375">
              <w:rPr>
                <w:rFonts w:ascii="Arial" w:hAnsi="Arial" w:cs="Arial"/>
                <w:b/>
                <w:bCs/>
                <w:sz w:val="18"/>
                <w:szCs w:val="18"/>
              </w:rPr>
              <w:t>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Pr>
                <w:rFonts w:ascii="Arial" w:hAnsi="Arial" w:cs="Arial"/>
                <w:b/>
                <w:bCs/>
                <w:i/>
                <w:iCs/>
                <w:sz w:val="18"/>
                <w:szCs w:val="18"/>
              </w:rPr>
              <w:t>33 708,91</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Directeurs de projet</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 XYN</w:t>
            </w:r>
          </w:p>
        </w:tc>
        <w:tc>
          <w:tcPr>
            <w:tcW w:w="1918"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32 685,60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 xml:space="preserve">3 344,04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XYO</w:t>
            </w:r>
          </w:p>
        </w:tc>
        <w:tc>
          <w:tcPr>
            <w:tcW w:w="1918" w:type="dxa"/>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29 432,09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26 526,29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 xml:space="preserve">2 905,80  </w:t>
            </w:r>
          </w:p>
        </w:tc>
      </w:tr>
      <w:tr w:rsidR="00147A40" w:rsidRPr="00A91375">
        <w:trPr>
          <w:trHeight w:val="264"/>
        </w:trPr>
        <w:tc>
          <w:tcPr>
            <w:tcW w:w="3751" w:type="dxa"/>
            <w:gridSpan w:val="2"/>
            <w:tcBorders>
              <w:top w:val="single" w:sz="4" w:space="0" w:color="auto"/>
              <w:left w:val="single" w:sz="4" w:space="0" w:color="auto"/>
              <w:bottom w:val="single" w:sz="4" w:space="0" w:color="auto"/>
              <w:right w:val="nil"/>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1918" w:type="dxa"/>
            <w:tcBorders>
              <w:top w:val="single" w:sz="4" w:space="0" w:color="auto"/>
              <w:left w:val="single" w:sz="4" w:space="0" w:color="auto"/>
              <w:bottom w:val="single" w:sz="4" w:space="0" w:color="auto"/>
              <w:right w:val="single" w:sz="4" w:space="0" w:color="auto"/>
            </w:tcBorders>
            <w:vAlign w:val="center"/>
          </w:tcPr>
          <w:p w:rsidR="00147A40" w:rsidRPr="00A91375" w:rsidRDefault="00147A40" w:rsidP="00A373C4">
            <w:pPr>
              <w:jc w:val="center"/>
              <w:rPr>
                <w:rFonts w:ascii="Arial" w:hAnsi="Arial" w:cs="Arial"/>
                <w:b/>
                <w:bCs/>
                <w:sz w:val="18"/>
                <w:szCs w:val="18"/>
              </w:rPr>
            </w:pPr>
            <w:r w:rsidRPr="00A91375">
              <w:rPr>
                <w:rFonts w:ascii="Arial" w:hAnsi="Arial" w:cs="Arial"/>
                <w:b/>
                <w:bCs/>
                <w:sz w:val="18"/>
                <w:szCs w:val="18"/>
              </w:rPr>
              <w:t> </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b/>
                <w:bCs/>
                <w:sz w:val="18"/>
                <w:szCs w:val="18"/>
              </w:rPr>
            </w:pPr>
            <w:r w:rsidRPr="00A91375">
              <w:rPr>
                <w:rFonts w:ascii="Arial" w:hAnsi="Arial" w:cs="Arial"/>
                <w:b/>
                <w:bCs/>
                <w:sz w:val="18"/>
                <w:szCs w:val="18"/>
              </w:rPr>
              <w:t>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center"/>
              <w:rPr>
                <w:rFonts w:ascii="Arial" w:hAnsi="Arial" w:cs="Arial"/>
                <w:b/>
                <w:bCs/>
                <w:i/>
                <w:iCs/>
                <w:sz w:val="18"/>
                <w:szCs w:val="18"/>
              </w:rPr>
            </w:pPr>
            <w:r w:rsidRPr="00A91375">
              <w:rPr>
                <w:rFonts w:ascii="Arial" w:hAnsi="Arial" w:cs="Arial"/>
                <w:b/>
                <w:bCs/>
                <w:i/>
                <w:iCs/>
                <w:sz w:val="18"/>
                <w:szCs w:val="18"/>
              </w:rPr>
              <w:t xml:space="preserve">6 249,84  </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 xml:space="preserve">Administrateurs civils hors classe </w:t>
            </w:r>
          </w:p>
        </w:tc>
      </w:tr>
      <w:tr w:rsidR="00147A40" w:rsidRPr="00A91375">
        <w:trPr>
          <w:trHeight w:val="264"/>
        </w:trPr>
        <w:tc>
          <w:tcPr>
            <w:tcW w:w="3751" w:type="dxa"/>
            <w:gridSpan w:val="2"/>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XZ</w:t>
            </w:r>
          </w:p>
        </w:tc>
        <w:tc>
          <w:tcPr>
            <w:tcW w:w="1918"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0B02</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26 035,77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22 651,27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3 384,50  </w:t>
            </w:r>
          </w:p>
        </w:tc>
      </w:tr>
      <w:tr w:rsidR="00147A40" w:rsidRPr="00A91375">
        <w:trPr>
          <w:trHeight w:val="264"/>
        </w:trPr>
        <w:tc>
          <w:tcPr>
            <w:tcW w:w="3751" w:type="dxa"/>
            <w:gridSpan w:val="2"/>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XA</w:t>
            </w:r>
          </w:p>
        </w:tc>
        <w:tc>
          <w:tcPr>
            <w:tcW w:w="1918"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0B03</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27 499,96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22 651,27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4 848,69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Mme </w:t>
            </w:r>
            <w:r>
              <w:rPr>
                <w:rFonts w:ascii="Arial" w:hAnsi="Arial" w:cs="Arial"/>
                <w:sz w:val="18"/>
                <w:szCs w:val="18"/>
              </w:rPr>
              <w:t>XB</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0B02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31 429,54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22 651,27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8 778,27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 </w:t>
            </w:r>
            <w:r>
              <w:rPr>
                <w:rFonts w:ascii="Arial" w:hAnsi="Arial" w:cs="Arial"/>
                <w:sz w:val="18"/>
                <w:szCs w:val="18"/>
              </w:rPr>
              <w:t>XC</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27 617,29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22 651,27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4 966,02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XD</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0A03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28 102,32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22 651,27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5 451,05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sidRPr="00A91375">
              <w:rPr>
                <w:rFonts w:ascii="Arial" w:hAnsi="Arial" w:cs="Arial"/>
                <w:b/>
                <w:bCs/>
                <w:i/>
                <w:iCs/>
                <w:sz w:val="18"/>
                <w:szCs w:val="18"/>
              </w:rPr>
              <w:t xml:space="preserve">27 428,53  </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 xml:space="preserve">Administrateurs civils </w:t>
            </w:r>
          </w:p>
        </w:tc>
      </w:tr>
      <w:tr w:rsidR="00147A40" w:rsidRPr="00A91375">
        <w:trPr>
          <w:trHeight w:val="264"/>
        </w:trPr>
        <w:tc>
          <w:tcPr>
            <w:tcW w:w="3751" w:type="dxa"/>
            <w:gridSpan w:val="2"/>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XE</w:t>
            </w:r>
          </w:p>
        </w:tc>
        <w:tc>
          <w:tcPr>
            <w:tcW w:w="1918"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782</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23 163,75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5 289,92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 XYP</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657</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20 791,63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2 917,80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XF</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695</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20 781,63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2 907,80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XG</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733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24 619,75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6 745,92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XYQ</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657</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26 362,79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Pr>
                <w:rFonts w:ascii="Arial" w:hAnsi="Arial" w:cs="Arial"/>
                <w:sz w:val="18"/>
                <w:szCs w:val="18"/>
              </w:rPr>
              <w:t>16 384,34</w:t>
            </w:r>
            <w:r w:rsidRPr="00A91375">
              <w:rPr>
                <w:rFonts w:ascii="Arial" w:hAnsi="Arial" w:cs="Arial"/>
                <w:sz w:val="18"/>
                <w:szCs w:val="18"/>
              </w:rPr>
              <w:t xml:space="preserve">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Pr>
                <w:rFonts w:ascii="Arial" w:hAnsi="Arial" w:cs="Arial"/>
                <w:sz w:val="18"/>
                <w:szCs w:val="18"/>
              </w:rPr>
              <w:t>9 978,45</w:t>
            </w:r>
            <w:r w:rsidRPr="00A91375">
              <w:rPr>
                <w:rFonts w:ascii="Arial" w:hAnsi="Arial" w:cs="Arial"/>
                <w:sz w:val="18"/>
                <w:szCs w:val="18"/>
              </w:rPr>
              <w:t xml:space="preserve">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XH</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782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23 402,75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5 528,92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XYR</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716</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23 126,81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5 252,98  </w:t>
            </w:r>
          </w:p>
        </w:tc>
      </w:tr>
      <w:tr w:rsidR="00147A40" w:rsidRPr="00A91375">
        <w:trPr>
          <w:trHeight w:val="264"/>
        </w:trPr>
        <w:tc>
          <w:tcPr>
            <w:tcW w:w="3751" w:type="dxa"/>
            <w:gridSpan w:val="2"/>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XYS</w:t>
            </w:r>
          </w:p>
        </w:tc>
        <w:tc>
          <w:tcPr>
            <w:tcW w:w="1918"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545</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20 849,85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2 976,02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w:t>
            </w:r>
            <w:r>
              <w:rPr>
                <w:rFonts w:ascii="Arial" w:hAnsi="Arial" w:cs="Arial"/>
                <w:sz w:val="18"/>
                <w:szCs w:val="18"/>
              </w:rPr>
              <w:t xml:space="preserve"> XYT</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733</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24 619,75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6 745,92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XYU</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782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25 318,48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7 444,65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XI</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695</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24 260,71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6 386,88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XYV</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581</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20 778,51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2 904,68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XYW</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755</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22 803,35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17 873,83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4 929,52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Pr>
                <w:rFonts w:ascii="Arial" w:hAnsi="Arial" w:cs="Arial"/>
                <w:b/>
                <w:bCs/>
                <w:i/>
                <w:iCs/>
                <w:sz w:val="18"/>
                <w:szCs w:val="18"/>
              </w:rPr>
              <w:t>70 009,46</w:t>
            </w:r>
            <w:r w:rsidRPr="00A91375">
              <w:rPr>
                <w:rFonts w:ascii="Arial" w:hAnsi="Arial" w:cs="Arial"/>
                <w:b/>
                <w:bCs/>
                <w:i/>
                <w:iCs/>
                <w:sz w:val="18"/>
                <w:szCs w:val="18"/>
              </w:rPr>
              <w:t xml:space="preserve">  </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APAC 2</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XK</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625</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15 903,36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15 276,81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626,55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XL</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672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16 142,45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15 276,81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865,64  </w:t>
            </w:r>
          </w:p>
        </w:tc>
      </w:tr>
      <w:tr w:rsidR="00147A40" w:rsidRPr="00A91375">
        <w:trPr>
          <w:trHeight w:val="468"/>
        </w:trPr>
        <w:tc>
          <w:tcPr>
            <w:tcW w:w="3751" w:type="dxa"/>
            <w:gridSpan w:val="2"/>
            <w:tcBorders>
              <w:top w:val="nil"/>
              <w:left w:val="single" w:sz="4" w:space="0" w:color="auto"/>
              <w:bottom w:val="single" w:sz="4" w:space="0" w:color="auto"/>
              <w:right w:val="single" w:sz="4" w:space="0" w:color="auto"/>
            </w:tcBorders>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 xml:space="preserve">Mme </w:t>
            </w:r>
            <w:r>
              <w:rPr>
                <w:rFonts w:ascii="Arial" w:hAnsi="Arial" w:cs="Arial"/>
                <w:sz w:val="18"/>
                <w:szCs w:val="18"/>
              </w:rPr>
              <w:t>XYX</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584</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15 801,91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15 276,81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525,10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XYY</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625</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15 783,36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15 276,81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506,55  </w:t>
            </w:r>
          </w:p>
        </w:tc>
      </w:tr>
      <w:tr w:rsidR="00147A40" w:rsidRPr="00A91375">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XQ</w:t>
            </w:r>
          </w:p>
        </w:tc>
        <w:tc>
          <w:tcPr>
            <w:tcW w:w="1918" w:type="dxa"/>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672</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17 363,76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15 276,81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2 086,95  </w:t>
            </w:r>
          </w:p>
        </w:tc>
      </w:tr>
      <w:tr w:rsidR="00147A40" w:rsidRPr="00EF6A87">
        <w:trPr>
          <w:trHeight w:val="264"/>
        </w:trPr>
        <w:tc>
          <w:tcPr>
            <w:tcW w:w="3751" w:type="dxa"/>
            <w:gridSpan w:val="2"/>
            <w:tcBorders>
              <w:top w:val="nil"/>
              <w:left w:val="single" w:sz="4" w:space="0" w:color="auto"/>
              <w:bottom w:val="single" w:sz="4" w:space="0" w:color="auto"/>
              <w:right w:val="single" w:sz="4" w:space="0" w:color="auto"/>
            </w:tcBorders>
            <w:noWrap/>
            <w:vAlign w:val="center"/>
          </w:tcPr>
          <w:p w:rsidR="00147A40" w:rsidRPr="00EF6A87" w:rsidRDefault="00147A40" w:rsidP="00A373C4">
            <w:pPr>
              <w:rPr>
                <w:rFonts w:ascii="Arial" w:hAnsi="Arial" w:cs="Arial"/>
                <w:b/>
                <w:i/>
                <w:iCs/>
                <w:sz w:val="18"/>
                <w:szCs w:val="18"/>
              </w:rPr>
            </w:pPr>
            <w:r w:rsidRPr="00EF6A87">
              <w:rPr>
                <w:rFonts w:ascii="Arial" w:hAnsi="Arial" w:cs="Arial"/>
                <w:b/>
                <w:i/>
                <w:iCs/>
                <w:sz w:val="18"/>
                <w:szCs w:val="18"/>
              </w:rPr>
              <w:t>Sous total</w:t>
            </w:r>
          </w:p>
        </w:tc>
        <w:tc>
          <w:tcPr>
            <w:tcW w:w="1918" w:type="dxa"/>
            <w:tcBorders>
              <w:top w:val="nil"/>
              <w:left w:val="nil"/>
              <w:bottom w:val="single" w:sz="4" w:space="0" w:color="auto"/>
              <w:right w:val="single" w:sz="4" w:space="0" w:color="auto"/>
            </w:tcBorders>
            <w:noWrap/>
            <w:vAlign w:val="center"/>
          </w:tcPr>
          <w:p w:rsidR="00147A40" w:rsidRPr="00EF6A87" w:rsidRDefault="00147A40" w:rsidP="00A373C4">
            <w:pPr>
              <w:jc w:val="center"/>
              <w:rPr>
                <w:rFonts w:ascii="Arial" w:hAnsi="Arial" w:cs="Arial"/>
                <w:b/>
                <w:i/>
                <w:iCs/>
                <w:sz w:val="18"/>
                <w:szCs w:val="18"/>
              </w:rPr>
            </w:pPr>
            <w:r w:rsidRPr="00EF6A87">
              <w:rPr>
                <w:rFonts w:ascii="Arial" w:hAnsi="Arial" w:cs="Arial"/>
                <w:b/>
                <w:i/>
                <w:iCs/>
                <w:sz w:val="18"/>
                <w:szCs w:val="18"/>
              </w:rPr>
              <w:t> </w:t>
            </w:r>
          </w:p>
        </w:tc>
        <w:tc>
          <w:tcPr>
            <w:tcW w:w="1300" w:type="dxa"/>
            <w:tcBorders>
              <w:top w:val="nil"/>
              <w:left w:val="nil"/>
              <w:bottom w:val="single" w:sz="4" w:space="0" w:color="auto"/>
              <w:right w:val="single" w:sz="4" w:space="0" w:color="auto"/>
            </w:tcBorders>
            <w:noWrap/>
            <w:vAlign w:val="center"/>
          </w:tcPr>
          <w:p w:rsidR="00147A40" w:rsidRPr="00EF6A87" w:rsidRDefault="00147A40" w:rsidP="00A373C4">
            <w:pPr>
              <w:rPr>
                <w:rFonts w:ascii="Arial" w:hAnsi="Arial" w:cs="Arial"/>
                <w:b/>
                <w:i/>
                <w:iCs/>
                <w:sz w:val="18"/>
                <w:szCs w:val="18"/>
              </w:rPr>
            </w:pPr>
            <w:r w:rsidRPr="00EF6A87">
              <w:rPr>
                <w:rFonts w:ascii="Arial" w:hAnsi="Arial" w:cs="Arial"/>
                <w:b/>
                <w:i/>
                <w:iCs/>
                <w:sz w:val="18"/>
                <w:szCs w:val="18"/>
              </w:rPr>
              <w:t> </w:t>
            </w:r>
          </w:p>
        </w:tc>
        <w:tc>
          <w:tcPr>
            <w:tcW w:w="1420" w:type="dxa"/>
            <w:tcBorders>
              <w:top w:val="nil"/>
              <w:left w:val="nil"/>
              <w:bottom w:val="single" w:sz="4" w:space="0" w:color="auto"/>
              <w:right w:val="single" w:sz="4" w:space="0" w:color="auto"/>
            </w:tcBorders>
            <w:noWrap/>
            <w:vAlign w:val="center"/>
          </w:tcPr>
          <w:p w:rsidR="00147A40" w:rsidRPr="00EF6A87" w:rsidRDefault="00147A40" w:rsidP="00A373C4">
            <w:pPr>
              <w:rPr>
                <w:rFonts w:ascii="Arial" w:hAnsi="Arial" w:cs="Arial"/>
                <w:b/>
                <w:i/>
                <w:iCs/>
                <w:sz w:val="18"/>
                <w:szCs w:val="18"/>
              </w:rPr>
            </w:pPr>
            <w:r w:rsidRPr="00EF6A87">
              <w:rPr>
                <w:rFonts w:ascii="Arial" w:hAnsi="Arial" w:cs="Arial"/>
                <w:b/>
                <w:i/>
                <w:iCs/>
                <w:sz w:val="18"/>
                <w:szCs w:val="18"/>
              </w:rPr>
              <w:t> </w:t>
            </w:r>
          </w:p>
        </w:tc>
        <w:tc>
          <w:tcPr>
            <w:tcW w:w="1400" w:type="dxa"/>
            <w:tcBorders>
              <w:top w:val="nil"/>
              <w:left w:val="nil"/>
              <w:bottom w:val="single" w:sz="4" w:space="0" w:color="auto"/>
              <w:right w:val="single" w:sz="4" w:space="0" w:color="auto"/>
            </w:tcBorders>
            <w:noWrap/>
            <w:vAlign w:val="center"/>
          </w:tcPr>
          <w:p w:rsidR="00147A40" w:rsidRPr="00EF6A87" w:rsidRDefault="00147A40" w:rsidP="00A373C4">
            <w:pPr>
              <w:ind w:right="15"/>
              <w:jc w:val="right"/>
              <w:rPr>
                <w:rFonts w:ascii="Arial" w:hAnsi="Arial" w:cs="Arial"/>
                <w:b/>
                <w:bCs/>
                <w:i/>
                <w:iCs/>
                <w:sz w:val="18"/>
                <w:szCs w:val="18"/>
              </w:rPr>
            </w:pPr>
            <w:r w:rsidRPr="00EF6A87">
              <w:rPr>
                <w:rFonts w:ascii="Arial" w:hAnsi="Arial" w:cs="Arial"/>
                <w:b/>
                <w:bCs/>
                <w:i/>
                <w:iCs/>
                <w:sz w:val="18"/>
                <w:szCs w:val="18"/>
              </w:rPr>
              <w:t xml:space="preserve">4 610,79  </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rsidRPr="00A91375">
              <w:rPr>
                <w:rFonts w:ascii="Arial" w:hAnsi="Arial" w:cs="Arial"/>
                <w:sz w:val="18"/>
                <w:szCs w:val="18"/>
              </w:rPr>
              <w:t>AAC</w:t>
            </w:r>
          </w:p>
        </w:tc>
      </w:tr>
      <w:tr w:rsidR="00147A40" w:rsidRPr="00A91375">
        <w:trPr>
          <w:trHeight w:val="264"/>
        </w:trPr>
        <w:tc>
          <w:tcPr>
            <w:tcW w:w="3609"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w:t>
            </w:r>
            <w:r>
              <w:rPr>
                <w:rFonts w:ascii="Arial" w:hAnsi="Arial" w:cs="Arial"/>
                <w:sz w:val="18"/>
                <w:szCs w:val="18"/>
              </w:rPr>
              <w:t xml:space="preserve"> XYZ</w:t>
            </w:r>
          </w:p>
        </w:tc>
        <w:tc>
          <w:tcPr>
            <w:tcW w:w="206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583</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15 108,56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14 190,29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918,27  </w:t>
            </w:r>
          </w:p>
        </w:tc>
      </w:tr>
      <w:tr w:rsidR="00147A40" w:rsidRPr="00A91375">
        <w:trPr>
          <w:trHeight w:val="264"/>
        </w:trPr>
        <w:tc>
          <w:tcPr>
            <w:tcW w:w="3609"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06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sidRPr="00A91375">
              <w:rPr>
                <w:rFonts w:ascii="Arial" w:hAnsi="Arial" w:cs="Arial"/>
                <w:b/>
                <w:bCs/>
                <w:i/>
                <w:iCs/>
                <w:sz w:val="18"/>
                <w:szCs w:val="18"/>
              </w:rPr>
              <w:t xml:space="preserve">918,27  </w:t>
            </w:r>
          </w:p>
        </w:tc>
      </w:tr>
      <w:tr w:rsidR="00147A40" w:rsidRPr="00A91375">
        <w:trPr>
          <w:trHeight w:val="264"/>
        </w:trPr>
        <w:tc>
          <w:tcPr>
            <w:tcW w:w="9789" w:type="dxa"/>
            <w:gridSpan w:val="6"/>
            <w:tcBorders>
              <w:top w:val="single" w:sz="4" w:space="0" w:color="auto"/>
              <w:left w:val="single" w:sz="4" w:space="0" w:color="auto"/>
              <w:bottom w:val="single" w:sz="4" w:space="0" w:color="auto"/>
              <w:right w:val="single" w:sz="4" w:space="0" w:color="000000"/>
            </w:tcBorders>
            <w:noWrap/>
            <w:vAlign w:val="center"/>
          </w:tcPr>
          <w:p w:rsidR="00147A40" w:rsidRPr="00A91375" w:rsidRDefault="00147A40" w:rsidP="00A373C4">
            <w:pPr>
              <w:ind w:right="15"/>
              <w:jc w:val="center"/>
              <w:rPr>
                <w:rFonts w:ascii="Arial" w:hAnsi="Arial" w:cs="Arial"/>
                <w:sz w:val="18"/>
                <w:szCs w:val="18"/>
              </w:rPr>
            </w:pPr>
            <w:r>
              <w:br w:type="page"/>
            </w:r>
            <w:r w:rsidRPr="00A91375">
              <w:rPr>
                <w:rFonts w:ascii="Arial" w:hAnsi="Arial" w:cs="Arial"/>
                <w:sz w:val="18"/>
                <w:szCs w:val="18"/>
              </w:rPr>
              <w:t>SA</w:t>
            </w:r>
          </w:p>
        </w:tc>
      </w:tr>
      <w:tr w:rsidR="00147A40" w:rsidRPr="00A91375">
        <w:trPr>
          <w:trHeight w:val="456"/>
        </w:trPr>
        <w:tc>
          <w:tcPr>
            <w:tcW w:w="3609"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Mme XW</w:t>
            </w:r>
          </w:p>
        </w:tc>
        <w:tc>
          <w:tcPr>
            <w:tcW w:w="2060"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SA de classe exceptionnelle 466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11 733,09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10 369,47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1 363,62  </w:t>
            </w:r>
          </w:p>
        </w:tc>
      </w:tr>
      <w:tr w:rsidR="00147A40" w:rsidRPr="00A91375">
        <w:trPr>
          <w:trHeight w:val="468"/>
        </w:trPr>
        <w:tc>
          <w:tcPr>
            <w:tcW w:w="3609"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XYX</w:t>
            </w:r>
          </w:p>
        </w:tc>
        <w:tc>
          <w:tcPr>
            <w:tcW w:w="2060" w:type="dxa"/>
            <w:gridSpan w:val="2"/>
            <w:tcBorders>
              <w:top w:val="nil"/>
              <w:left w:val="nil"/>
              <w:bottom w:val="single" w:sz="4" w:space="0" w:color="auto"/>
              <w:right w:val="single" w:sz="4" w:space="0" w:color="auto"/>
            </w:tcBorders>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 xml:space="preserve">SA de classe supérieure 442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11 640,48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9 984,19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1 656,29  </w:t>
            </w:r>
          </w:p>
        </w:tc>
      </w:tr>
      <w:tr w:rsidR="00147A40" w:rsidRPr="00A91375">
        <w:trPr>
          <w:trHeight w:val="264"/>
        </w:trPr>
        <w:tc>
          <w:tcPr>
            <w:tcW w:w="3609"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sidRPr="00A91375">
              <w:rPr>
                <w:rFonts w:ascii="Arial" w:hAnsi="Arial" w:cs="Arial"/>
                <w:sz w:val="18"/>
                <w:szCs w:val="18"/>
              </w:rPr>
              <w:t>M. XYY</w:t>
            </w:r>
          </w:p>
        </w:tc>
        <w:tc>
          <w:tcPr>
            <w:tcW w:w="206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SA 377</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9 566,45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9 416,38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150,07  </w:t>
            </w:r>
          </w:p>
        </w:tc>
      </w:tr>
      <w:tr w:rsidR="00147A40" w:rsidRPr="00A91375">
        <w:trPr>
          <w:trHeight w:val="264"/>
        </w:trPr>
        <w:tc>
          <w:tcPr>
            <w:tcW w:w="3609" w:type="dxa"/>
            <w:tcBorders>
              <w:top w:val="single" w:sz="4" w:space="0" w:color="auto"/>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sz w:val="18"/>
                <w:szCs w:val="18"/>
              </w:rPr>
            </w:pPr>
            <w:r>
              <w:rPr>
                <w:rFonts w:ascii="Arial" w:hAnsi="Arial" w:cs="Arial"/>
                <w:sz w:val="18"/>
                <w:szCs w:val="18"/>
              </w:rPr>
              <w:t>Mme XYZ</w:t>
            </w:r>
          </w:p>
        </w:tc>
        <w:tc>
          <w:tcPr>
            <w:tcW w:w="2060" w:type="dxa"/>
            <w:gridSpan w:val="2"/>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sz w:val="18"/>
                <w:szCs w:val="18"/>
              </w:rPr>
            </w:pPr>
            <w:r w:rsidRPr="00A91375">
              <w:rPr>
                <w:rFonts w:ascii="Arial" w:hAnsi="Arial" w:cs="Arial"/>
                <w:sz w:val="18"/>
                <w:szCs w:val="18"/>
              </w:rPr>
              <w:t>SA 394</w:t>
            </w:r>
          </w:p>
        </w:tc>
        <w:tc>
          <w:tcPr>
            <w:tcW w:w="13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9 730,28  </w:t>
            </w:r>
          </w:p>
        </w:tc>
        <w:tc>
          <w:tcPr>
            <w:tcW w:w="142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jc w:val="right"/>
              <w:rPr>
                <w:rFonts w:ascii="Arial" w:hAnsi="Arial" w:cs="Arial"/>
                <w:sz w:val="18"/>
                <w:szCs w:val="18"/>
              </w:rPr>
            </w:pPr>
            <w:r w:rsidRPr="00A91375">
              <w:rPr>
                <w:rFonts w:ascii="Arial" w:hAnsi="Arial" w:cs="Arial"/>
                <w:sz w:val="18"/>
                <w:szCs w:val="18"/>
              </w:rPr>
              <w:t xml:space="preserve">9 416,38  </w:t>
            </w:r>
          </w:p>
        </w:tc>
        <w:tc>
          <w:tcPr>
            <w:tcW w:w="1400" w:type="dxa"/>
            <w:tcBorders>
              <w:top w:val="single" w:sz="4" w:space="0" w:color="auto"/>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sz w:val="18"/>
                <w:szCs w:val="18"/>
              </w:rPr>
            </w:pPr>
            <w:r w:rsidRPr="00A91375">
              <w:rPr>
                <w:rFonts w:ascii="Arial" w:hAnsi="Arial" w:cs="Arial"/>
                <w:sz w:val="18"/>
                <w:szCs w:val="18"/>
              </w:rPr>
              <w:t xml:space="preserve">313,90  </w:t>
            </w:r>
          </w:p>
        </w:tc>
      </w:tr>
      <w:tr w:rsidR="00147A40" w:rsidRPr="00A91375">
        <w:trPr>
          <w:trHeight w:val="264"/>
        </w:trPr>
        <w:tc>
          <w:tcPr>
            <w:tcW w:w="3609"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Pr>
                <w:rFonts w:ascii="Arial" w:hAnsi="Arial" w:cs="Arial"/>
                <w:b/>
                <w:bCs/>
                <w:i/>
                <w:iCs/>
                <w:sz w:val="18"/>
                <w:szCs w:val="18"/>
              </w:rPr>
              <w:t>Sous-</w:t>
            </w:r>
            <w:r w:rsidRPr="00A91375">
              <w:rPr>
                <w:rFonts w:ascii="Arial" w:hAnsi="Arial" w:cs="Arial"/>
                <w:b/>
                <w:bCs/>
                <w:i/>
                <w:iCs/>
                <w:sz w:val="18"/>
                <w:szCs w:val="18"/>
              </w:rPr>
              <w:t>total</w:t>
            </w:r>
          </w:p>
        </w:tc>
        <w:tc>
          <w:tcPr>
            <w:tcW w:w="2060"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b/>
                <w:bCs/>
                <w:i/>
                <w:iCs/>
                <w:sz w:val="18"/>
                <w:szCs w:val="18"/>
              </w:rPr>
            </w:pPr>
            <w:r w:rsidRPr="00A91375">
              <w:rPr>
                <w:rFonts w:ascii="Arial" w:hAnsi="Arial" w:cs="Arial"/>
                <w:b/>
                <w:bCs/>
                <w:i/>
                <w:iCs/>
                <w:sz w:val="18"/>
                <w:szCs w:val="18"/>
              </w:rPr>
              <w:t>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i/>
                <w:iCs/>
                <w:sz w:val="18"/>
                <w:szCs w:val="18"/>
              </w:rPr>
            </w:pPr>
            <w:r w:rsidRPr="00A91375">
              <w:rPr>
                <w:rFonts w:ascii="Arial" w:hAnsi="Arial" w:cs="Arial"/>
                <w:b/>
                <w:bCs/>
                <w:i/>
                <w:iCs/>
                <w:sz w:val="18"/>
                <w:szCs w:val="18"/>
              </w:rPr>
              <w:t>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i/>
                <w:iCs/>
                <w:sz w:val="18"/>
                <w:szCs w:val="18"/>
              </w:rPr>
            </w:pPr>
            <w:r w:rsidRPr="00A91375">
              <w:rPr>
                <w:rFonts w:ascii="Arial" w:hAnsi="Arial" w:cs="Arial"/>
                <w:b/>
                <w:bCs/>
                <w:i/>
                <w:iCs/>
                <w:sz w:val="18"/>
                <w:szCs w:val="18"/>
              </w:rPr>
              <w:t xml:space="preserve">3 483,88  </w:t>
            </w:r>
          </w:p>
        </w:tc>
      </w:tr>
      <w:tr w:rsidR="00147A40" w:rsidRPr="00A91375">
        <w:trPr>
          <w:trHeight w:val="264"/>
        </w:trPr>
        <w:tc>
          <w:tcPr>
            <w:tcW w:w="3609" w:type="dxa"/>
            <w:tcBorders>
              <w:top w:val="nil"/>
              <w:left w:val="single" w:sz="4" w:space="0" w:color="auto"/>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TOTAL</w:t>
            </w:r>
          </w:p>
        </w:tc>
        <w:tc>
          <w:tcPr>
            <w:tcW w:w="2060" w:type="dxa"/>
            <w:gridSpan w:val="2"/>
            <w:tcBorders>
              <w:top w:val="nil"/>
              <w:left w:val="nil"/>
              <w:bottom w:val="single" w:sz="4" w:space="0" w:color="auto"/>
              <w:right w:val="single" w:sz="4" w:space="0" w:color="auto"/>
            </w:tcBorders>
            <w:noWrap/>
            <w:vAlign w:val="center"/>
          </w:tcPr>
          <w:p w:rsidR="00147A40" w:rsidRPr="00A91375" w:rsidRDefault="00147A40" w:rsidP="00A373C4">
            <w:pPr>
              <w:jc w:val="center"/>
              <w:rPr>
                <w:rFonts w:ascii="Arial" w:hAnsi="Arial" w:cs="Arial"/>
                <w:b/>
                <w:bCs/>
                <w:sz w:val="18"/>
                <w:szCs w:val="18"/>
              </w:rPr>
            </w:pPr>
            <w:r w:rsidRPr="00A91375">
              <w:rPr>
                <w:rFonts w:ascii="Arial" w:hAnsi="Arial" w:cs="Arial"/>
                <w:b/>
                <w:bCs/>
                <w:sz w:val="18"/>
                <w:szCs w:val="18"/>
              </w:rPr>
              <w:t> </w:t>
            </w:r>
          </w:p>
        </w:tc>
        <w:tc>
          <w:tcPr>
            <w:tcW w:w="130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20" w:type="dxa"/>
            <w:tcBorders>
              <w:top w:val="nil"/>
              <w:left w:val="nil"/>
              <w:bottom w:val="single" w:sz="4" w:space="0" w:color="auto"/>
              <w:right w:val="single" w:sz="4" w:space="0" w:color="auto"/>
            </w:tcBorders>
            <w:noWrap/>
            <w:vAlign w:val="center"/>
          </w:tcPr>
          <w:p w:rsidR="00147A40" w:rsidRPr="00A91375" w:rsidRDefault="00147A40" w:rsidP="00A373C4">
            <w:pPr>
              <w:rPr>
                <w:rFonts w:ascii="Arial" w:hAnsi="Arial" w:cs="Arial"/>
                <w:b/>
                <w:bCs/>
                <w:sz w:val="18"/>
                <w:szCs w:val="18"/>
              </w:rPr>
            </w:pPr>
            <w:r w:rsidRPr="00A91375">
              <w:rPr>
                <w:rFonts w:ascii="Arial" w:hAnsi="Arial" w:cs="Arial"/>
                <w:b/>
                <w:bCs/>
                <w:sz w:val="18"/>
                <w:szCs w:val="18"/>
              </w:rPr>
              <w:t> </w:t>
            </w:r>
          </w:p>
        </w:tc>
        <w:tc>
          <w:tcPr>
            <w:tcW w:w="1400" w:type="dxa"/>
            <w:tcBorders>
              <w:top w:val="nil"/>
              <w:left w:val="nil"/>
              <w:bottom w:val="single" w:sz="4" w:space="0" w:color="auto"/>
              <w:right w:val="single" w:sz="4" w:space="0" w:color="auto"/>
            </w:tcBorders>
            <w:noWrap/>
            <w:vAlign w:val="center"/>
          </w:tcPr>
          <w:p w:rsidR="00147A40" w:rsidRPr="00A91375" w:rsidRDefault="00147A40" w:rsidP="00A373C4">
            <w:pPr>
              <w:ind w:right="15"/>
              <w:jc w:val="right"/>
              <w:rPr>
                <w:rFonts w:ascii="Arial" w:hAnsi="Arial" w:cs="Arial"/>
                <w:b/>
                <w:bCs/>
                <w:sz w:val="18"/>
                <w:szCs w:val="18"/>
              </w:rPr>
            </w:pPr>
            <w:r>
              <w:rPr>
                <w:rFonts w:ascii="Arial" w:hAnsi="Arial" w:cs="Arial"/>
                <w:b/>
                <w:bCs/>
                <w:sz w:val="18"/>
                <w:szCs w:val="18"/>
              </w:rPr>
              <w:t>272 245,83</w:t>
            </w:r>
            <w:r w:rsidRPr="00A91375">
              <w:rPr>
                <w:rFonts w:ascii="Arial" w:hAnsi="Arial" w:cs="Arial"/>
                <w:b/>
                <w:bCs/>
                <w:sz w:val="18"/>
                <w:szCs w:val="18"/>
              </w:rPr>
              <w:t xml:space="preserve">  </w:t>
            </w:r>
          </w:p>
        </w:tc>
      </w:tr>
    </w:tbl>
    <w:p w:rsidR="00147A40" w:rsidRDefault="00147A40" w:rsidP="00D12409">
      <w:pPr>
        <w:pStyle w:val="PS"/>
        <w:rPr>
          <w:b/>
          <w:u w:val="single"/>
        </w:rPr>
      </w:pPr>
      <w:r>
        <w:rPr>
          <w:b/>
          <w:u w:val="single"/>
        </w:rPr>
        <w:br w:type="page"/>
        <w:t>Décharge</w:t>
      </w:r>
    </w:p>
    <w:p w:rsidR="00147A40" w:rsidRPr="00496069" w:rsidRDefault="00147A40" w:rsidP="00D12409">
      <w:pPr>
        <w:pStyle w:val="PS"/>
        <w:rPr>
          <w:b/>
        </w:rPr>
      </w:pPr>
      <w:r w:rsidRPr="00496069">
        <w:rPr>
          <w:b/>
        </w:rPr>
        <w:t>Au titre de l’exercice 2004</w:t>
      </w:r>
    </w:p>
    <w:p w:rsidR="00147A40" w:rsidRPr="00496069" w:rsidRDefault="00147A40" w:rsidP="00D12409">
      <w:pPr>
        <w:pStyle w:val="PS"/>
      </w:pPr>
      <w:r w:rsidRPr="00496069">
        <w:rPr>
          <w:b/>
        </w:rPr>
        <w:t>A l’égard de Mme Y</w:t>
      </w:r>
      <w:r w:rsidRPr="00496069">
        <w:t xml:space="preserve"> </w:t>
      </w:r>
    </w:p>
    <w:p w:rsidR="00147A40" w:rsidRDefault="00147A40" w:rsidP="00D12409">
      <w:pPr>
        <w:pStyle w:val="PS"/>
      </w:pPr>
      <w:r>
        <w:t>Attendu qu’aucune charge n’a été prononcée à l’encontre de Mme Y sur sa gestion au titre de l’exercice 2004 ;</w:t>
      </w:r>
    </w:p>
    <w:p w:rsidR="00147A40" w:rsidRDefault="00147A40" w:rsidP="00D12409">
      <w:pPr>
        <w:pStyle w:val="PS"/>
      </w:pPr>
      <w:r>
        <w:t xml:space="preserve">Attendu que l’exacte reprise au bilan d’entrée de 2005 des soldes au 31 décembre 2004 a été constatée ; </w:t>
      </w:r>
    </w:p>
    <w:p w:rsidR="00147A40" w:rsidRDefault="00147A40" w:rsidP="00D12409">
      <w:pPr>
        <w:pStyle w:val="PS"/>
      </w:pPr>
      <w:r>
        <w:t>- Mme Y est déchargée de sa gestion pendant l’année 2004.</w:t>
      </w:r>
    </w:p>
    <w:p w:rsidR="00147A40" w:rsidRDefault="00147A40" w:rsidP="00D12409">
      <w:pPr>
        <w:pStyle w:val="PS"/>
        <w:ind w:firstLine="0"/>
        <w:jc w:val="center"/>
      </w:pPr>
      <w:r>
        <w:t>----------</w:t>
      </w:r>
    </w:p>
    <w:p w:rsidR="00147A40" w:rsidRDefault="00147A40" w:rsidP="00D12409">
      <w:pPr>
        <w:pStyle w:val="PS"/>
      </w:pPr>
      <w:r>
        <w:t>Fait et jugé en la Cour des comptes, première chambre, première section, le vingt-quatre mars deux mil dix, présents : Mme Fradin, président de section, Mme Moati, M. Lair et Mme Dos Reis, conseillers maîtres.</w:t>
      </w:r>
    </w:p>
    <w:p w:rsidR="00147A40" w:rsidRDefault="00147A40" w:rsidP="00793247">
      <w:pPr>
        <w:pStyle w:val="PS"/>
      </w:pPr>
      <w:r>
        <w:t>Signé : Fradin, président de section, et Rackelboom, greffier.</w:t>
      </w:r>
    </w:p>
    <w:p w:rsidR="00147A40" w:rsidRDefault="00147A40" w:rsidP="008A26E0">
      <w:pPr>
        <w:pStyle w:val="PS"/>
      </w:pPr>
      <w:r>
        <w:t>Collationné, certifié conforme à la minute étant au greffe de la Cour des comptes.</w:t>
      </w:r>
    </w:p>
    <w:p w:rsidR="00147A40" w:rsidRDefault="00147A40" w:rsidP="008A26E0">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47A40" w:rsidRDefault="00147A40" w:rsidP="008A26E0">
      <w:pPr>
        <w:pStyle w:val="PS"/>
      </w:pPr>
      <w:r>
        <w:t>Délivré par moi, secrétaire générale.</w:t>
      </w:r>
    </w:p>
    <w:p w:rsidR="00147A40" w:rsidRPr="0061012D" w:rsidRDefault="00147A40" w:rsidP="00BD6687">
      <w:pPr>
        <w:pStyle w:val="P0"/>
        <w:ind w:left="2268" w:firstLine="2552"/>
        <w:jc w:val="center"/>
        <w:rPr>
          <w:b/>
          <w:szCs w:val="24"/>
        </w:rPr>
      </w:pPr>
      <w:r w:rsidRPr="0061012D">
        <w:rPr>
          <w:b/>
          <w:szCs w:val="24"/>
        </w:rPr>
        <w:t>Pour la Secrétaire générale</w:t>
      </w:r>
    </w:p>
    <w:p w:rsidR="00147A40" w:rsidRPr="0061012D" w:rsidRDefault="00147A40" w:rsidP="00BD6687">
      <w:pPr>
        <w:pStyle w:val="P0"/>
        <w:ind w:left="2268" w:firstLine="2552"/>
        <w:jc w:val="center"/>
        <w:rPr>
          <w:b/>
          <w:szCs w:val="24"/>
        </w:rPr>
      </w:pPr>
      <w:r w:rsidRPr="0061012D">
        <w:rPr>
          <w:b/>
          <w:szCs w:val="24"/>
        </w:rPr>
        <w:t>et par délégation</w:t>
      </w:r>
    </w:p>
    <w:p w:rsidR="00147A40" w:rsidRPr="0061012D" w:rsidRDefault="00147A40" w:rsidP="00BD6687">
      <w:pPr>
        <w:pStyle w:val="P0"/>
        <w:ind w:left="2268" w:firstLine="2552"/>
        <w:jc w:val="center"/>
        <w:rPr>
          <w:b/>
          <w:szCs w:val="24"/>
        </w:rPr>
      </w:pPr>
      <w:r w:rsidRPr="0061012D">
        <w:rPr>
          <w:b/>
          <w:szCs w:val="24"/>
        </w:rPr>
        <w:t>le chef du greffe contentieux</w:t>
      </w:r>
    </w:p>
    <w:p w:rsidR="00147A40" w:rsidRPr="0061012D" w:rsidRDefault="00147A40" w:rsidP="00BD6687">
      <w:pPr>
        <w:pStyle w:val="P0"/>
        <w:ind w:left="2268" w:firstLine="2552"/>
        <w:jc w:val="center"/>
        <w:rPr>
          <w:b/>
          <w:szCs w:val="24"/>
        </w:rPr>
      </w:pPr>
    </w:p>
    <w:p w:rsidR="00147A40" w:rsidRPr="0061012D" w:rsidRDefault="00147A40" w:rsidP="00BD6687">
      <w:pPr>
        <w:pStyle w:val="P0"/>
        <w:ind w:left="2268" w:firstLine="2552"/>
        <w:jc w:val="center"/>
        <w:rPr>
          <w:b/>
          <w:szCs w:val="24"/>
        </w:rPr>
      </w:pPr>
    </w:p>
    <w:p w:rsidR="00147A40" w:rsidRPr="0061012D" w:rsidRDefault="00147A40" w:rsidP="00BD6687">
      <w:pPr>
        <w:pStyle w:val="P0"/>
        <w:ind w:left="2268" w:firstLine="2552"/>
        <w:jc w:val="center"/>
        <w:rPr>
          <w:b/>
          <w:szCs w:val="24"/>
        </w:rPr>
      </w:pPr>
    </w:p>
    <w:p w:rsidR="00147A40" w:rsidRPr="0061012D" w:rsidRDefault="00147A40" w:rsidP="00BD6687">
      <w:pPr>
        <w:pStyle w:val="P0"/>
        <w:ind w:left="2268" w:firstLine="2552"/>
        <w:jc w:val="center"/>
        <w:rPr>
          <w:b/>
          <w:szCs w:val="24"/>
        </w:rPr>
      </w:pPr>
    </w:p>
    <w:p w:rsidR="00147A40" w:rsidRPr="0061012D" w:rsidRDefault="00147A40" w:rsidP="00BD6687">
      <w:pPr>
        <w:pStyle w:val="P0"/>
        <w:ind w:left="2268" w:firstLine="2552"/>
        <w:jc w:val="center"/>
        <w:rPr>
          <w:b/>
          <w:szCs w:val="24"/>
        </w:rPr>
      </w:pPr>
      <w:r w:rsidRPr="0061012D">
        <w:rPr>
          <w:b/>
          <w:szCs w:val="24"/>
        </w:rPr>
        <w:t>Daniel FEREZ</w:t>
      </w:r>
    </w:p>
    <w:sectPr w:rsidR="00147A40" w:rsidRPr="0061012D"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A40" w:rsidRDefault="00147A40">
      <w:r>
        <w:separator/>
      </w:r>
    </w:p>
  </w:endnote>
  <w:endnote w:type="continuationSeparator" w:id="0">
    <w:p w:rsidR="00147A40" w:rsidRDefault="00147A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40" w:rsidRDefault="00147A40"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7A40" w:rsidRDefault="00147A40"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40" w:rsidRDefault="00147A40"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A40" w:rsidRDefault="00147A40">
      <w:r>
        <w:separator/>
      </w:r>
    </w:p>
  </w:footnote>
  <w:footnote w:type="continuationSeparator" w:id="0">
    <w:p w:rsidR="00147A40" w:rsidRDefault="00147A40">
      <w:r>
        <w:continuationSeparator/>
      </w:r>
    </w:p>
  </w:footnote>
  <w:footnote w:id="1">
    <w:p w:rsidR="00147A40" w:rsidRDefault="00147A40" w:rsidP="00D12409">
      <w:pPr>
        <w:pStyle w:val="FootnoteText"/>
        <w:ind w:left="426" w:firstLine="0"/>
      </w:pPr>
      <w:r w:rsidRPr="00D122CF">
        <w:rPr>
          <w:rStyle w:val="FootnoteReference"/>
          <w:sz w:val="18"/>
          <w:szCs w:val="18"/>
        </w:rPr>
        <w:footnoteRef/>
      </w:r>
      <w:r w:rsidRPr="00D122CF">
        <w:rPr>
          <w:sz w:val="18"/>
          <w:szCs w:val="18"/>
        </w:rPr>
        <w:t xml:space="preserve"> Les plafonds réglementaires de primes de rendement et d’indemnités forfaitaires pour travaux supplémentaires tiennent compte des réponses des services de la recette générale des finances pour les catégories suivantes : directeur hors échelle C (30 013,76 €), hors échelle D (31 015,33 €) hors échelle E (33 973,77 €), administrateur civil hors classe (22 651,27 €), administrateur civil (17 873,83 €).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40" w:rsidRDefault="00147A40"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445"/>
    <w:rsid w:val="00077025"/>
    <w:rsid w:val="000B2B49"/>
    <w:rsid w:val="00110947"/>
    <w:rsid w:val="00116044"/>
    <w:rsid w:val="001349A5"/>
    <w:rsid w:val="00147A40"/>
    <w:rsid w:val="001B5CCE"/>
    <w:rsid w:val="001F30DB"/>
    <w:rsid w:val="002174DC"/>
    <w:rsid w:val="002B0244"/>
    <w:rsid w:val="002B12D1"/>
    <w:rsid w:val="002D6406"/>
    <w:rsid w:val="00301BFD"/>
    <w:rsid w:val="00332DC8"/>
    <w:rsid w:val="0039267A"/>
    <w:rsid w:val="003E0D4D"/>
    <w:rsid w:val="003E5251"/>
    <w:rsid w:val="00417771"/>
    <w:rsid w:val="00496069"/>
    <w:rsid w:val="00500F69"/>
    <w:rsid w:val="00526827"/>
    <w:rsid w:val="005366A9"/>
    <w:rsid w:val="005B15F5"/>
    <w:rsid w:val="005B1B2C"/>
    <w:rsid w:val="005F15CB"/>
    <w:rsid w:val="0061012D"/>
    <w:rsid w:val="00624F67"/>
    <w:rsid w:val="00661A0F"/>
    <w:rsid w:val="006B54F0"/>
    <w:rsid w:val="006E074D"/>
    <w:rsid w:val="00741D1A"/>
    <w:rsid w:val="007840F1"/>
    <w:rsid w:val="00793247"/>
    <w:rsid w:val="007C3D93"/>
    <w:rsid w:val="007F6D32"/>
    <w:rsid w:val="00807B22"/>
    <w:rsid w:val="00837C74"/>
    <w:rsid w:val="008A26E0"/>
    <w:rsid w:val="008B3A65"/>
    <w:rsid w:val="008C4066"/>
    <w:rsid w:val="009025A3"/>
    <w:rsid w:val="00947C81"/>
    <w:rsid w:val="009A255F"/>
    <w:rsid w:val="009B33EB"/>
    <w:rsid w:val="009F24FA"/>
    <w:rsid w:val="009F6962"/>
    <w:rsid w:val="00A10CE2"/>
    <w:rsid w:val="00A373C4"/>
    <w:rsid w:val="00A91375"/>
    <w:rsid w:val="00AE7D88"/>
    <w:rsid w:val="00B55D96"/>
    <w:rsid w:val="00BB1EE7"/>
    <w:rsid w:val="00BD6687"/>
    <w:rsid w:val="00C251A8"/>
    <w:rsid w:val="00C332AE"/>
    <w:rsid w:val="00C60C7B"/>
    <w:rsid w:val="00CE3367"/>
    <w:rsid w:val="00CF4CF0"/>
    <w:rsid w:val="00D10A2C"/>
    <w:rsid w:val="00D122CF"/>
    <w:rsid w:val="00D12409"/>
    <w:rsid w:val="00D81D32"/>
    <w:rsid w:val="00DC52C8"/>
    <w:rsid w:val="00DD760D"/>
    <w:rsid w:val="00E704F5"/>
    <w:rsid w:val="00E763A1"/>
    <w:rsid w:val="00EF6A87"/>
    <w:rsid w:val="00F35844"/>
    <w:rsid w:val="00F715AF"/>
    <w:rsid w:val="00FA099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D88"/>
    <w:rPr>
      <w:sz w:val="20"/>
      <w:szCs w:val="20"/>
    </w:rPr>
  </w:style>
  <w:style w:type="paragraph" w:styleId="Heading1">
    <w:name w:val="heading 1"/>
    <w:basedOn w:val="Normal"/>
    <w:next w:val="Normal"/>
    <w:link w:val="Heading1Char"/>
    <w:uiPriority w:val="99"/>
    <w:qFormat/>
    <w:rsid w:val="00AE7D88"/>
    <w:pPr>
      <w:spacing w:before="240"/>
      <w:outlineLvl w:val="0"/>
    </w:pPr>
    <w:rPr>
      <w:b/>
      <w:sz w:val="24"/>
      <w:u w:val="single"/>
    </w:rPr>
  </w:style>
  <w:style w:type="paragraph" w:styleId="Heading2">
    <w:name w:val="heading 2"/>
    <w:basedOn w:val="Normal"/>
    <w:next w:val="Normal"/>
    <w:link w:val="Heading2Char"/>
    <w:uiPriority w:val="99"/>
    <w:qFormat/>
    <w:rsid w:val="00AE7D88"/>
    <w:pPr>
      <w:spacing w:before="120"/>
      <w:outlineLvl w:val="1"/>
    </w:pPr>
    <w:rPr>
      <w:b/>
      <w:sz w:val="24"/>
    </w:rPr>
  </w:style>
  <w:style w:type="paragraph" w:styleId="Heading3">
    <w:name w:val="heading 3"/>
    <w:basedOn w:val="Normal"/>
    <w:next w:val="NormalIndent"/>
    <w:link w:val="Heading3Char"/>
    <w:uiPriority w:val="99"/>
    <w:qFormat/>
    <w:rsid w:val="00AE7D88"/>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044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01044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10445"/>
    <w:rPr>
      <w:rFonts w:ascii="Cambria" w:hAnsi="Cambria" w:cs="Times New Roman"/>
      <w:b/>
      <w:bCs/>
      <w:sz w:val="26"/>
      <w:szCs w:val="26"/>
    </w:rPr>
  </w:style>
  <w:style w:type="paragraph" w:styleId="NormalIndent">
    <w:name w:val="Normal Indent"/>
    <w:basedOn w:val="Normal"/>
    <w:uiPriority w:val="99"/>
    <w:rsid w:val="00AE7D88"/>
    <w:pPr>
      <w:ind w:left="708"/>
    </w:pPr>
  </w:style>
  <w:style w:type="paragraph" w:styleId="Header">
    <w:name w:val="header"/>
    <w:basedOn w:val="Normal"/>
    <w:link w:val="HeaderChar"/>
    <w:uiPriority w:val="99"/>
    <w:rsid w:val="00AE7D88"/>
    <w:pPr>
      <w:tabs>
        <w:tab w:val="center" w:pos="4819"/>
        <w:tab w:val="right" w:pos="9071"/>
      </w:tabs>
    </w:pPr>
  </w:style>
  <w:style w:type="character" w:customStyle="1" w:styleId="HeaderChar">
    <w:name w:val="Header Char"/>
    <w:basedOn w:val="DefaultParagraphFont"/>
    <w:link w:val="Header"/>
    <w:uiPriority w:val="99"/>
    <w:semiHidden/>
    <w:locked/>
    <w:rsid w:val="00010445"/>
    <w:rPr>
      <w:rFonts w:cs="Times New Roman"/>
      <w:sz w:val="20"/>
      <w:szCs w:val="20"/>
    </w:rPr>
  </w:style>
  <w:style w:type="paragraph" w:customStyle="1" w:styleId="ET">
    <w:name w:val="ET"/>
    <w:basedOn w:val="Normal"/>
    <w:link w:val="ETCar"/>
    <w:uiPriority w:val="99"/>
    <w:rsid w:val="00AE7D88"/>
    <w:rPr>
      <w:b/>
      <w:caps/>
      <w:sz w:val="24"/>
    </w:rPr>
  </w:style>
  <w:style w:type="paragraph" w:customStyle="1" w:styleId="OR">
    <w:name w:val="OR"/>
    <w:basedOn w:val="ET"/>
    <w:uiPriority w:val="99"/>
    <w:rsid w:val="00AE7D88"/>
    <w:pPr>
      <w:ind w:left="5670"/>
    </w:pPr>
    <w:rPr>
      <w:b w:val="0"/>
      <w:caps w:val="0"/>
    </w:rPr>
  </w:style>
  <w:style w:type="paragraph" w:customStyle="1" w:styleId="TI">
    <w:name w:val="TI"/>
    <w:basedOn w:val="OR"/>
    <w:uiPriority w:val="99"/>
    <w:rsid w:val="00AE7D88"/>
    <w:pPr>
      <w:ind w:left="1701"/>
      <w:jc w:val="center"/>
    </w:pPr>
    <w:rPr>
      <w:caps/>
      <w:u w:val="single"/>
    </w:rPr>
  </w:style>
  <w:style w:type="paragraph" w:customStyle="1" w:styleId="P0">
    <w:name w:val="P0"/>
    <w:basedOn w:val="ET"/>
    <w:link w:val="P0Car"/>
    <w:uiPriority w:val="99"/>
    <w:rsid w:val="00AE7D88"/>
    <w:pPr>
      <w:ind w:left="1701"/>
      <w:jc w:val="both"/>
    </w:pPr>
    <w:rPr>
      <w:b w:val="0"/>
      <w:caps w:val="0"/>
    </w:rPr>
  </w:style>
  <w:style w:type="paragraph" w:customStyle="1" w:styleId="EL">
    <w:name w:val="EL"/>
    <w:basedOn w:val="P0"/>
    <w:uiPriority w:val="99"/>
    <w:rsid w:val="00AE7D88"/>
    <w:pPr>
      <w:spacing w:after="240"/>
      <w:ind w:firstLine="1418"/>
    </w:pPr>
  </w:style>
  <w:style w:type="paragraph" w:customStyle="1" w:styleId="IN">
    <w:name w:val="IN"/>
    <w:basedOn w:val="P0"/>
    <w:uiPriority w:val="99"/>
    <w:rsid w:val="00AE7D88"/>
    <w:pPr>
      <w:ind w:left="0"/>
      <w:jc w:val="left"/>
    </w:pPr>
    <w:rPr>
      <w:i/>
      <w:sz w:val="16"/>
    </w:rPr>
  </w:style>
  <w:style w:type="paragraph" w:customStyle="1" w:styleId="RE">
    <w:name w:val="RE"/>
    <w:basedOn w:val="P0"/>
    <w:uiPriority w:val="99"/>
    <w:rsid w:val="00AE7D88"/>
    <w:pPr>
      <w:ind w:left="0"/>
    </w:pPr>
  </w:style>
  <w:style w:type="paragraph" w:customStyle="1" w:styleId="PE">
    <w:name w:val="PE"/>
    <w:basedOn w:val="IN"/>
    <w:uiPriority w:val="99"/>
    <w:rsid w:val="00AE7D88"/>
    <w:pPr>
      <w:keepNext/>
      <w:ind w:left="1701"/>
      <w:jc w:val="both"/>
    </w:pPr>
    <w:rPr>
      <w:i w:val="0"/>
      <w:sz w:val="24"/>
    </w:rPr>
  </w:style>
  <w:style w:type="paragraph" w:customStyle="1" w:styleId="PC">
    <w:name w:val="PC"/>
    <w:basedOn w:val="IN"/>
    <w:uiPriority w:val="99"/>
    <w:rsid w:val="00AE7D88"/>
    <w:pPr>
      <w:spacing w:after="480"/>
      <w:ind w:left="2268" w:firstLine="1134"/>
      <w:jc w:val="both"/>
    </w:pPr>
    <w:rPr>
      <w:i w:val="0"/>
      <w:sz w:val="24"/>
    </w:rPr>
  </w:style>
  <w:style w:type="paragraph" w:customStyle="1" w:styleId="PS">
    <w:name w:val="PS"/>
    <w:basedOn w:val="IN"/>
    <w:link w:val="PSCar"/>
    <w:uiPriority w:val="99"/>
    <w:rsid w:val="00AE7D88"/>
    <w:pPr>
      <w:spacing w:after="480"/>
      <w:ind w:left="1701" w:firstLine="1134"/>
      <w:jc w:val="both"/>
    </w:pPr>
    <w:rPr>
      <w:i w:val="0"/>
      <w:sz w:val="24"/>
    </w:rPr>
  </w:style>
  <w:style w:type="paragraph" w:customStyle="1" w:styleId="AR">
    <w:name w:val="AR"/>
    <w:basedOn w:val="IN"/>
    <w:uiPriority w:val="99"/>
    <w:rsid w:val="00AE7D88"/>
    <w:pPr>
      <w:spacing w:before="720" w:after="720"/>
      <w:ind w:left="5103"/>
    </w:pPr>
    <w:rPr>
      <w:i w:val="0"/>
      <w:caps/>
      <w:sz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010445"/>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caps/>
      <w:sz w:val="24"/>
      <w:lang w:val="fr-FR" w:eastAsia="fr-FR" w:bidi="ar-SA"/>
    </w:rPr>
  </w:style>
  <w:style w:type="character" w:customStyle="1" w:styleId="PSCar">
    <w:name w:val="PS Car"/>
    <w:basedOn w:val="DefaultParagraphFont"/>
    <w:link w:val="PS"/>
    <w:uiPriority w:val="99"/>
    <w:locked/>
    <w:rsid w:val="002D6406"/>
    <w:rPr>
      <w:rFonts w:cs="Times New Roman"/>
      <w:sz w:val="24"/>
      <w:lang w:val="fr-FR" w:eastAsia="fr-FR" w:bidi="ar-SA"/>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lang w:val="en-US" w:eastAsia="en-US"/>
    </w:rPr>
  </w:style>
  <w:style w:type="paragraph" w:styleId="BodyText">
    <w:name w:val="Body Text"/>
    <w:aliases w:val="Corps de texte Car Car,Corps de texte Car Car Car Car,Corps de texte Car Car Car,Corps de texte Car Car C"/>
    <w:basedOn w:val="Normal"/>
    <w:link w:val="BodyTextChar"/>
    <w:uiPriority w:val="99"/>
    <w:rsid w:val="00D12409"/>
    <w:pPr>
      <w:spacing w:before="200" w:after="200"/>
      <w:ind w:left="567" w:firstLine="1134"/>
      <w:jc w:val="both"/>
    </w:pPr>
    <w:rPr>
      <w:sz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010445"/>
    <w:rPr>
      <w:rFonts w:cs="Times New Roman"/>
      <w:sz w:val="20"/>
      <w:szCs w:val="20"/>
    </w:rPr>
  </w:style>
  <w:style w:type="character" w:styleId="FootnoteReference">
    <w:name w:val="footnote reference"/>
    <w:basedOn w:val="DefaultParagraphFont"/>
    <w:uiPriority w:val="99"/>
    <w:semiHidden/>
    <w:rsid w:val="00D12409"/>
    <w:rPr>
      <w:rFonts w:cs="Times New Roman"/>
      <w:sz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010445"/>
    <w:rPr>
      <w:rFonts w:cs="Times New Roman"/>
      <w:sz w:val="20"/>
      <w:szCs w:val="20"/>
    </w:rPr>
  </w:style>
  <w:style w:type="character" w:customStyle="1" w:styleId="P0Car">
    <w:name w:val="P0 Car"/>
    <w:basedOn w:val="DefaultParagraphFont"/>
    <w:link w:val="P0"/>
    <w:uiPriority w:val="99"/>
    <w:locked/>
    <w:rsid w:val="00332DC8"/>
    <w:rPr>
      <w:rFonts w:cs="Times New Roman"/>
      <w:sz w:val="24"/>
      <w:lang w:val="fr-FR" w:eastAsia="fr-FR" w:bidi="ar-SA"/>
    </w:rPr>
  </w:style>
  <w:style w:type="paragraph" w:customStyle="1" w:styleId="Char">
    <w:name w:val="Char"/>
    <w:basedOn w:val="Normal"/>
    <w:uiPriority w:val="99"/>
    <w:rsid w:val="00332DC8"/>
    <w:pPr>
      <w:spacing w:after="160" w:line="240" w:lineRule="exact"/>
    </w:pPr>
    <w:rPr>
      <w:rFonts w:ascii="Tahoma" w:hAnsi="Tahoma"/>
      <w:lang w:val="en-US" w:eastAsia="en-US"/>
    </w:rPr>
  </w:style>
  <w:style w:type="paragraph" w:styleId="BalloonText">
    <w:name w:val="Balloon Text"/>
    <w:basedOn w:val="Normal"/>
    <w:link w:val="BalloonTextChar"/>
    <w:uiPriority w:val="99"/>
    <w:semiHidden/>
    <w:rsid w:val="009025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0445"/>
    <w:rPr>
      <w:rFonts w:cs="Times New Roman"/>
      <w:sz w:val="2"/>
    </w:rPr>
  </w:style>
</w:styles>
</file>

<file path=word/webSettings.xml><?xml version="1.0" encoding="utf-8"?>
<w:webSettings xmlns:r="http://schemas.openxmlformats.org/officeDocument/2006/relationships" xmlns:w="http://schemas.openxmlformats.org/wordprocessingml/2006/main">
  <w:divs>
    <w:div w:id="11190299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28</TotalTime>
  <Pages>13</Pages>
  <Words>4241</Words>
  <Characters>23328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2010-09-09T09:27:00Z</cp:lastPrinted>
  <dcterms:created xsi:type="dcterms:W3CDTF">2010-10-18T13:36:00Z</dcterms:created>
  <dcterms:modified xsi:type="dcterms:W3CDTF">2010-11-05T12:42:00Z</dcterms:modified>
</cp:coreProperties>
</file>