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78E" w:rsidRDefault="0001778E" w:rsidP="001004C4">
      <w:pPr>
        <w:pStyle w:val="ET"/>
      </w:pPr>
      <w:r>
        <w:t>COUR DES COMPTES</w:t>
      </w:r>
    </w:p>
    <w:p w:rsidR="0001778E" w:rsidRDefault="0001778E" w:rsidP="001004C4">
      <w:pPr>
        <w:pStyle w:val="ET"/>
        <w:ind w:left="993"/>
      </w:pPr>
      <w:r>
        <w:t>--------</w:t>
      </w:r>
    </w:p>
    <w:p w:rsidR="0001778E" w:rsidRDefault="0001778E" w:rsidP="001004C4">
      <w:pPr>
        <w:pStyle w:val="ET"/>
      </w:pPr>
      <w:r>
        <w:t>premiere CHAMBRE</w:t>
      </w:r>
    </w:p>
    <w:p w:rsidR="0001778E" w:rsidRDefault="0001778E" w:rsidP="001004C4">
      <w:pPr>
        <w:pStyle w:val="ET"/>
        <w:ind w:left="993"/>
      </w:pPr>
      <w:r>
        <w:t>--------</w:t>
      </w:r>
    </w:p>
    <w:p w:rsidR="0001778E" w:rsidRDefault="0001778E" w:rsidP="001004C4">
      <w:pPr>
        <w:pStyle w:val="ET"/>
      </w:pPr>
      <w:r>
        <w:t>premiere SECTION</w:t>
      </w:r>
    </w:p>
    <w:p w:rsidR="0001778E" w:rsidRDefault="0001778E" w:rsidP="001004C4">
      <w:pPr>
        <w:pStyle w:val="ET"/>
        <w:ind w:left="993"/>
      </w:pPr>
      <w:r>
        <w:t>--------</w:t>
      </w:r>
    </w:p>
    <w:p w:rsidR="0001778E" w:rsidRDefault="0001778E" w:rsidP="001004C4">
      <w:pPr>
        <w:pStyle w:val="Header"/>
        <w:ind w:left="567"/>
      </w:pPr>
      <w:r>
        <w:rPr>
          <w:b/>
          <w:bCs/>
          <w:i/>
          <w:iCs/>
        </w:rPr>
        <w:t>Arrêt n° 59425</w:t>
      </w:r>
      <w:r>
        <w:fldChar w:fldCharType="begin"/>
      </w:r>
      <w:r>
        <w:fldChar w:fldCharType="end"/>
      </w:r>
    </w:p>
    <w:p w:rsidR="0001778E" w:rsidRDefault="0001778E">
      <w:pPr>
        <w:pStyle w:val="OR"/>
      </w:pPr>
      <w:r>
        <w:t>TRESORIER-PAYEUR GENERAL</w:t>
      </w:r>
    </w:p>
    <w:p w:rsidR="0001778E" w:rsidRDefault="0001778E">
      <w:pPr>
        <w:pStyle w:val="OR"/>
      </w:pPr>
      <w:r>
        <w:t>DE LA MEURTHE-ET-MOSELLE</w:t>
      </w:r>
    </w:p>
    <w:p w:rsidR="0001778E" w:rsidRDefault="0001778E">
      <w:pPr>
        <w:pStyle w:val="OR"/>
      </w:pPr>
    </w:p>
    <w:p w:rsidR="0001778E" w:rsidRDefault="0001778E">
      <w:pPr>
        <w:pStyle w:val="OR"/>
      </w:pPr>
      <w:r>
        <w:t>Exercices 1999 à 2003 (suites)</w:t>
      </w:r>
    </w:p>
    <w:p w:rsidR="0001778E" w:rsidRDefault="0001778E">
      <w:pPr>
        <w:pStyle w:val="OR"/>
      </w:pPr>
    </w:p>
    <w:p w:rsidR="0001778E" w:rsidRDefault="0001778E">
      <w:pPr>
        <w:pStyle w:val="OR"/>
      </w:pPr>
      <w:r>
        <w:t>Rapport n° 2009-164-0</w:t>
      </w:r>
    </w:p>
    <w:p w:rsidR="0001778E" w:rsidRDefault="0001778E">
      <w:pPr>
        <w:pStyle w:val="OR"/>
      </w:pPr>
    </w:p>
    <w:p w:rsidR="0001778E" w:rsidRDefault="0001778E">
      <w:pPr>
        <w:pStyle w:val="OR"/>
      </w:pPr>
      <w:r>
        <w:t>Audience publique du 26 mai 2010</w:t>
      </w:r>
    </w:p>
    <w:p w:rsidR="0001778E" w:rsidRDefault="0001778E">
      <w:pPr>
        <w:pStyle w:val="OR"/>
      </w:pPr>
    </w:p>
    <w:p w:rsidR="0001778E" w:rsidRDefault="0001778E" w:rsidP="00EB1B18">
      <w:pPr>
        <w:pStyle w:val="OR"/>
        <w:spacing w:after="120"/>
      </w:pPr>
      <w:r>
        <w:t>Lecture publique du 9 décembre 2010</w:t>
      </w:r>
    </w:p>
    <w:p w:rsidR="0001778E" w:rsidRDefault="0001778E" w:rsidP="002E4BF4">
      <w:pPr>
        <w:pStyle w:val="OR"/>
      </w:pPr>
    </w:p>
    <w:p w:rsidR="0001778E" w:rsidRDefault="0001778E" w:rsidP="002E4BF4">
      <w:pPr>
        <w:pStyle w:val="OR"/>
      </w:pPr>
    </w:p>
    <w:p w:rsidR="0001778E" w:rsidRDefault="0001778E" w:rsidP="002E4BF4">
      <w:pPr>
        <w:pStyle w:val="OR"/>
      </w:pPr>
      <w:r>
        <w:fldChar w:fldCharType="begin"/>
      </w:r>
      <w:r>
        <w:fldChar w:fldCharType="end"/>
      </w:r>
    </w:p>
    <w:p w:rsidR="0001778E" w:rsidRDefault="0001778E" w:rsidP="000341BC">
      <w:pPr>
        <w:pStyle w:val="ps0"/>
      </w:pPr>
      <w:r>
        <w:t>LA COUR DES COMPTES a rendu l’arrêt suivant :</w:t>
      </w:r>
    </w:p>
    <w:p w:rsidR="0001778E" w:rsidRDefault="0001778E" w:rsidP="000341BC">
      <w:pPr>
        <w:pStyle w:val="ps0"/>
      </w:pPr>
      <w:r>
        <w:t>LA COUR,</w:t>
      </w:r>
    </w:p>
    <w:p w:rsidR="0001778E" w:rsidRDefault="0001778E" w:rsidP="00B2421D">
      <w:pPr>
        <w:pStyle w:val="ps0"/>
      </w:pPr>
      <w:r>
        <w:t>Vu les comptes rendus par M. X, au 31 août 2003 et M. Y, du 1</w:t>
      </w:r>
      <w:r w:rsidRPr="009A0338">
        <w:rPr>
          <w:vertAlign w:val="superscript"/>
        </w:rPr>
        <w:t>er</w:t>
      </w:r>
      <w:r>
        <w:rPr>
          <w:vertAlign w:val="superscript"/>
        </w:rPr>
        <w:t> </w:t>
      </w:r>
      <w:r>
        <w:t>septembre </w:t>
      </w:r>
      <w:r w:rsidRPr="00C3671D">
        <w:t>2003</w:t>
      </w:r>
      <w:r>
        <w:t>, trésoriers-payeurs généraux de la Meurthe-et-Moselle pour les exercices 1999 à 2003 ;</w:t>
      </w:r>
    </w:p>
    <w:p w:rsidR="0001778E" w:rsidRDefault="0001778E" w:rsidP="00C91F8A">
      <w:pPr>
        <w:pStyle w:val="ps0"/>
        <w:rPr>
          <w:rFonts w:ascii="Times New Roman" w:hAnsi="Times New Roman" w:cs="Times New Roman"/>
        </w:rPr>
      </w:pPr>
      <w:r>
        <w:rPr>
          <w:rFonts w:ascii="Times New Roman" w:hAnsi="Times New Roman" w:cs="Times New Roman"/>
        </w:rPr>
        <w:t>Vu l’arrêt provisoire n° 42394 en date du 24 mars 2005 par lequel elle a statué provisoirement sur les comptes rendus pour les exercices 1999 à 2003 par M. X, au 31 août et M. Y, du 1</w:t>
      </w:r>
      <w:r w:rsidRPr="00B24D61">
        <w:rPr>
          <w:rFonts w:ascii="Times New Roman" w:hAnsi="Times New Roman" w:cs="Times New Roman"/>
          <w:vertAlign w:val="superscript"/>
        </w:rPr>
        <w:t>er</w:t>
      </w:r>
      <w:r>
        <w:rPr>
          <w:rFonts w:ascii="Times New Roman" w:hAnsi="Times New Roman" w:cs="Times New Roman"/>
        </w:rPr>
        <w:t xml:space="preserve"> septembre 2003 ;</w:t>
      </w:r>
    </w:p>
    <w:p w:rsidR="0001778E" w:rsidRPr="007B42E0" w:rsidRDefault="0001778E" w:rsidP="000341BC">
      <w:pPr>
        <w:pStyle w:val="ps0"/>
        <w:rPr>
          <w:rFonts w:ascii="Times New Roman" w:hAnsi="Times New Roman" w:cs="Times New Roman"/>
        </w:rPr>
      </w:pPr>
      <w:r>
        <w:rPr>
          <w:rFonts w:ascii="Times New Roman" w:hAnsi="Times New Roman" w:cs="Times New Roman"/>
        </w:rPr>
        <w:t>Vu les justifications produites en exécution de l’arrêt n° 42394 ;</w:t>
      </w:r>
    </w:p>
    <w:p w:rsidR="0001778E" w:rsidRDefault="0001778E" w:rsidP="000341BC">
      <w:pPr>
        <w:pStyle w:val="ps0"/>
        <w:rPr>
          <w:rFonts w:ascii="Times New Roman" w:hAnsi="Times New Roman" w:cs="Times New Roman"/>
        </w:rPr>
      </w:pPr>
      <w:r>
        <w:rPr>
          <w:rFonts w:ascii="Times New Roman" w:hAnsi="Times New Roman" w:cs="Times New Roman"/>
        </w:rPr>
        <w:t>Vu l'article 60 modifié de la loi de finances n° 63-156 du 23 février 1963 ;</w:t>
      </w:r>
    </w:p>
    <w:p w:rsidR="0001778E" w:rsidRDefault="0001778E" w:rsidP="00B2421D">
      <w:pPr>
        <w:pStyle w:val="ps0"/>
        <w:rPr>
          <w:rFonts w:ascii="Times New Roman" w:hAnsi="Times New Roman" w:cs="Times New Roman"/>
        </w:rPr>
      </w:pPr>
      <w:r>
        <w:rPr>
          <w:rFonts w:ascii="Times New Roman" w:hAnsi="Times New Roman" w:cs="Times New Roman"/>
        </w:rPr>
        <w:t>Vu les lois et règlements applicables à la comptabilité des comptables du Trésor, notamment l'ordonnance n° 59-2 du 2 janvier 1959 relative aux lois de finances, la loi organique n° 2001-692 du 1</w:t>
      </w:r>
      <w:r w:rsidRPr="00B666B2">
        <w:rPr>
          <w:rFonts w:ascii="Times New Roman" w:hAnsi="Times New Roman" w:cs="Times New Roman"/>
          <w:vertAlign w:val="superscript"/>
        </w:rPr>
        <w:t>er</w:t>
      </w:r>
      <w:r>
        <w:rPr>
          <w:rFonts w:ascii="Times New Roman" w:hAnsi="Times New Roman" w:cs="Times New Roman"/>
          <w:vertAlign w:val="superscript"/>
        </w:rPr>
        <w:t> </w:t>
      </w:r>
      <w:r>
        <w:rPr>
          <w:rFonts w:ascii="Times New Roman" w:hAnsi="Times New Roman" w:cs="Times New Roman"/>
        </w:rPr>
        <w:t>août 2001 relative aux lois de finances ; le décret n° 62-1587 du 29 décembre 1962 portant règlement général sur la comptabilité publique, et l'instruction n° 87-128 PR du 29 octobre 1987 sur la comptabilité de l'État ;</w:t>
      </w:r>
    </w:p>
    <w:p w:rsidR="0001778E" w:rsidRDefault="0001778E" w:rsidP="000341BC">
      <w:pPr>
        <w:pStyle w:val="ps0"/>
        <w:rPr>
          <w:rFonts w:ascii="Times New Roman" w:hAnsi="Times New Roman" w:cs="Times New Roman"/>
        </w:rPr>
      </w:pPr>
      <w:r>
        <w:rPr>
          <w:rFonts w:ascii="Times New Roman" w:hAnsi="Times New Roman" w:cs="Times New Roman"/>
        </w:rPr>
        <w:t>Vu le code des juridictions financières, notamment ses articles L. 111-1 et L. 142-1 ;</w:t>
      </w:r>
    </w:p>
    <w:p w:rsidR="0001778E" w:rsidRDefault="0001778E" w:rsidP="00DC11E1">
      <w:pPr>
        <w:pStyle w:val="P0"/>
        <w:sectPr w:rsidR="0001778E">
          <w:pgSz w:w="11907" w:h="16840"/>
          <w:pgMar w:top="1134" w:right="1134" w:bottom="1134" w:left="567" w:header="720" w:footer="720" w:gutter="0"/>
          <w:cols w:space="720"/>
        </w:sectPr>
      </w:pPr>
    </w:p>
    <w:p w:rsidR="0001778E" w:rsidRDefault="0001778E" w:rsidP="000341BC">
      <w:pPr>
        <w:pStyle w:val="ps0"/>
        <w:rPr>
          <w:rFonts w:ascii="Times New Roman" w:hAnsi="Times New Roman" w:cs="Times New Roman"/>
        </w:rPr>
      </w:pPr>
      <w:r>
        <w:rPr>
          <w:rFonts w:ascii="Times New Roman" w:hAnsi="Times New Roman" w:cs="Times New Roman"/>
        </w:rPr>
        <w:t>Vu le code général des impôts et le livre des procédures fiscales ;</w:t>
      </w:r>
    </w:p>
    <w:p w:rsidR="0001778E" w:rsidRDefault="0001778E" w:rsidP="000341BC">
      <w:pPr>
        <w:pStyle w:val="ps0"/>
        <w:rPr>
          <w:rFonts w:ascii="Times New Roman" w:hAnsi="Times New Roman" w:cs="Times New Roman"/>
        </w:rPr>
      </w:pPr>
      <w:r>
        <w:rPr>
          <w:rFonts w:ascii="Times New Roman" w:hAnsi="Times New Roman" w:cs="Times New Roman"/>
        </w:rPr>
        <w:t>Vu les procès-verbaux et autres pièces de remise de service entre ces comptables notamment les procurations des comptables successifs ;</w:t>
      </w:r>
    </w:p>
    <w:p w:rsidR="0001778E" w:rsidRDefault="0001778E" w:rsidP="000341BC">
      <w:pPr>
        <w:pStyle w:val="ps0"/>
        <w:rPr>
          <w:rFonts w:ascii="Times New Roman" w:hAnsi="Times New Roman" w:cs="Times New Roman"/>
        </w:rPr>
      </w:pPr>
      <w:r>
        <w:rPr>
          <w:rFonts w:ascii="Times New Roman" w:hAnsi="Times New Roman" w:cs="Times New Roman"/>
        </w:rPr>
        <w:t>Vu les lois de finances des exercices 1999 à 2003 ;</w:t>
      </w:r>
    </w:p>
    <w:p w:rsidR="0001778E" w:rsidRDefault="0001778E" w:rsidP="000341BC">
      <w:pPr>
        <w:pStyle w:val="ps0"/>
        <w:rPr>
          <w:rFonts w:ascii="Times New Roman" w:hAnsi="Times New Roman" w:cs="Times New Roman"/>
        </w:rPr>
      </w:pPr>
      <w:r>
        <w:rPr>
          <w:rFonts w:ascii="Times New Roman" w:hAnsi="Times New Roman" w:cs="Times New Roman"/>
        </w:rPr>
        <w:t>Vu l’article 34-2° alinéa de la loi n° 2008-1098 du 28 octobre 2008 relative à la Cour des comptes et aux chambres régionales des comptes ;</w:t>
      </w:r>
    </w:p>
    <w:p w:rsidR="0001778E" w:rsidRDefault="0001778E" w:rsidP="000341BC">
      <w:pPr>
        <w:pStyle w:val="ps0"/>
        <w:rPr>
          <w:rFonts w:ascii="Times New Roman" w:hAnsi="Times New Roman" w:cs="Times New Roman"/>
        </w:rPr>
      </w:pPr>
      <w:r>
        <w:rPr>
          <w:rFonts w:ascii="Times New Roman" w:hAnsi="Times New Roman" w:cs="Times New Roman"/>
        </w:rPr>
        <w:t>Vu l’arrêté du Premier président du 8 janvier 2010 portant répartition des attributions entre les chambres de la Cour des comptes et l’arrêté modifié n° 06-346 du Premier président de la Cour des comptes en date du 10 octobre 2006 modifié portant création et fixant la composition des sections au sein de la Première chambre ;</w:t>
      </w:r>
    </w:p>
    <w:p w:rsidR="0001778E" w:rsidRDefault="0001778E" w:rsidP="00C91F8A">
      <w:pPr>
        <w:pStyle w:val="ps0"/>
        <w:rPr>
          <w:rFonts w:ascii="Times New Roman" w:hAnsi="Times New Roman" w:cs="Times New Roman"/>
        </w:rPr>
      </w:pPr>
      <w:r>
        <w:rPr>
          <w:rFonts w:ascii="Times New Roman" w:hAnsi="Times New Roman" w:cs="Times New Roman"/>
        </w:rPr>
        <w:t>Vu le rapport n° 2009-164-0 de M. Chastenet de Géry, conseiller référendaire, du 24 février 2009 ;</w:t>
      </w:r>
    </w:p>
    <w:p w:rsidR="0001778E" w:rsidRDefault="0001778E" w:rsidP="00C91F8A">
      <w:pPr>
        <w:pStyle w:val="ps0"/>
        <w:rPr>
          <w:rFonts w:ascii="Times New Roman" w:hAnsi="Times New Roman" w:cs="Times New Roman"/>
        </w:rPr>
      </w:pPr>
      <w:r>
        <w:rPr>
          <w:rFonts w:ascii="Times New Roman" w:hAnsi="Times New Roman" w:cs="Times New Roman"/>
        </w:rPr>
        <w:t>Vu les conclusions n° 245 du procureur général de la République, du 30 mars 2009 ;</w:t>
      </w:r>
    </w:p>
    <w:p w:rsidR="0001778E" w:rsidRDefault="0001778E" w:rsidP="00C91F8A">
      <w:pPr>
        <w:pStyle w:val="ps0"/>
        <w:rPr>
          <w:rFonts w:ascii="Times New Roman" w:hAnsi="Times New Roman" w:cs="Times New Roman"/>
        </w:rPr>
      </w:pPr>
      <w:r>
        <w:rPr>
          <w:rFonts w:ascii="Times New Roman" w:hAnsi="Times New Roman" w:cs="Times New Roman"/>
        </w:rPr>
        <w:t>Vu la décision du 24 février 2010 du président de la Première chambre désignant M</w:t>
      </w:r>
      <w:r w:rsidRPr="00D9595E">
        <w:rPr>
          <w:rFonts w:ascii="Times New Roman" w:hAnsi="Times New Roman" w:cs="Times New Roman"/>
          <w:vertAlign w:val="superscript"/>
        </w:rPr>
        <w:t>me</w:t>
      </w:r>
      <w:r>
        <w:rPr>
          <w:rFonts w:ascii="Times New Roman" w:hAnsi="Times New Roman" w:cs="Times New Roman"/>
        </w:rPr>
        <w:t xml:space="preserve"> Moati, conseillère maître, pour présenter le rapport en remplacement de M. Chastenet de Géry ;</w:t>
      </w:r>
    </w:p>
    <w:p w:rsidR="0001778E" w:rsidRDefault="0001778E" w:rsidP="00C91F8A">
      <w:pPr>
        <w:pStyle w:val="ps0"/>
        <w:rPr>
          <w:rFonts w:ascii="Times New Roman" w:hAnsi="Times New Roman" w:cs="Times New Roman"/>
        </w:rPr>
      </w:pPr>
      <w:r>
        <w:rPr>
          <w:rFonts w:ascii="Times New Roman" w:hAnsi="Times New Roman" w:cs="Times New Roman"/>
        </w:rPr>
        <w:t>Vu les lettres du 26 avril 2010 informant MM. X et Y de leur possibilité d’assister à l’audience du 26 mai 2010 et d’y être entendus ;</w:t>
      </w:r>
    </w:p>
    <w:p w:rsidR="0001778E" w:rsidRDefault="0001778E" w:rsidP="000341BC">
      <w:pPr>
        <w:pStyle w:val="ps0"/>
        <w:rPr>
          <w:rFonts w:ascii="Times New Roman" w:hAnsi="Times New Roman" w:cs="Times New Roman"/>
        </w:rPr>
      </w:pPr>
      <w:r>
        <w:rPr>
          <w:rFonts w:ascii="Times New Roman" w:hAnsi="Times New Roman" w:cs="Times New Roman"/>
        </w:rPr>
        <w:t>Vu les accusés de réception auxdites lettres, de M. X en date du 29 avril 2010 et de M. Y en date du 28 avril 2010 ;</w:t>
      </w:r>
    </w:p>
    <w:p w:rsidR="0001778E" w:rsidRDefault="0001778E" w:rsidP="00C91F8A">
      <w:pPr>
        <w:pStyle w:val="ps0"/>
        <w:rPr>
          <w:rFonts w:ascii="Times New Roman" w:hAnsi="Times New Roman" w:cs="Times New Roman"/>
        </w:rPr>
      </w:pPr>
      <w:r>
        <w:rPr>
          <w:rFonts w:ascii="Times New Roman" w:hAnsi="Times New Roman" w:cs="Times New Roman"/>
        </w:rPr>
        <w:t>Entendu en audience publique, M</w:t>
      </w:r>
      <w:r w:rsidRPr="00D9595E">
        <w:rPr>
          <w:rFonts w:ascii="Times New Roman" w:hAnsi="Times New Roman" w:cs="Times New Roman"/>
          <w:vertAlign w:val="superscript"/>
        </w:rPr>
        <w:t>me</w:t>
      </w:r>
      <w:r>
        <w:rPr>
          <w:rFonts w:ascii="Times New Roman" w:hAnsi="Times New Roman" w:cs="Times New Roman"/>
        </w:rPr>
        <w:t xml:space="preserve"> Moati, en son rapport, M. Perrin, avocat général, en ses conclusions ;</w:t>
      </w:r>
    </w:p>
    <w:p w:rsidR="0001778E" w:rsidRDefault="0001778E" w:rsidP="00C91F8A">
      <w:pPr>
        <w:pStyle w:val="ps0"/>
        <w:rPr>
          <w:rFonts w:ascii="Times New Roman" w:hAnsi="Times New Roman" w:cs="Times New Roman"/>
        </w:rPr>
      </w:pPr>
      <w:r>
        <w:rPr>
          <w:rFonts w:ascii="Times New Roman" w:hAnsi="Times New Roman" w:cs="Times New Roman"/>
        </w:rPr>
        <w:t>Entendu en audience publique M. Y, en ses observations orales ;</w:t>
      </w:r>
    </w:p>
    <w:p w:rsidR="0001778E" w:rsidRPr="00A9551A" w:rsidRDefault="0001778E" w:rsidP="00C91F8A">
      <w:pPr>
        <w:pStyle w:val="ps0"/>
        <w:rPr>
          <w:rFonts w:ascii="Times New Roman" w:hAnsi="Times New Roman" w:cs="Times New Roman"/>
        </w:rPr>
      </w:pPr>
      <w:r>
        <w:rPr>
          <w:rFonts w:ascii="Times New Roman" w:hAnsi="Times New Roman" w:cs="Times New Roman"/>
        </w:rPr>
        <w:t>Ayant délibéré hors la présence du rapporteur et du ministère public et après avoir entendu, M. X.-H. Martin, conseiller maître,</w:t>
      </w:r>
      <w:r w:rsidRPr="00A9551A">
        <w:rPr>
          <w:rFonts w:ascii="Times New Roman" w:hAnsi="Times New Roman" w:cs="Times New Roman"/>
        </w:rPr>
        <w:t xml:space="preserve"> en ses observations ;</w:t>
      </w:r>
    </w:p>
    <w:p w:rsidR="0001778E" w:rsidRDefault="0001778E" w:rsidP="00680D65">
      <w:pPr>
        <w:pStyle w:val="ps0"/>
        <w:ind w:firstLine="0"/>
        <w:jc w:val="center"/>
        <w:rPr>
          <w:b/>
          <w:bCs/>
        </w:rPr>
      </w:pPr>
      <w:r>
        <w:rPr>
          <w:b/>
          <w:bCs/>
        </w:rPr>
        <w:br w:type="page"/>
        <w:t>STATUANT DÉFINITIVEMENT,</w:t>
      </w:r>
    </w:p>
    <w:p w:rsidR="0001778E" w:rsidRPr="00810395" w:rsidRDefault="0001778E" w:rsidP="00680D65">
      <w:pPr>
        <w:pStyle w:val="ps0"/>
        <w:ind w:firstLine="0"/>
        <w:jc w:val="center"/>
        <w:rPr>
          <w:b/>
          <w:bCs/>
        </w:rPr>
      </w:pPr>
      <w:r>
        <w:rPr>
          <w:b/>
          <w:bCs/>
        </w:rPr>
        <w:t>ORDONNE :</w:t>
      </w:r>
    </w:p>
    <w:p w:rsidR="0001778E" w:rsidRDefault="0001778E" w:rsidP="00B2421D">
      <w:pPr>
        <w:pStyle w:val="ps0"/>
        <w:rPr>
          <w:b/>
          <w:bCs/>
          <w:u w:val="single"/>
        </w:rPr>
      </w:pPr>
      <w:r w:rsidRPr="0012588F">
        <w:rPr>
          <w:b/>
          <w:bCs/>
          <w:u w:val="single"/>
        </w:rPr>
        <w:t>À l'égard de M</w:t>
      </w:r>
      <w:r>
        <w:rPr>
          <w:b/>
          <w:bCs/>
          <w:u w:val="single"/>
        </w:rPr>
        <w:t>. X</w:t>
      </w:r>
    </w:p>
    <w:p w:rsidR="0001778E" w:rsidRDefault="0001778E" w:rsidP="000341BC">
      <w:pPr>
        <w:pStyle w:val="ps0"/>
        <w:rPr>
          <w:b/>
          <w:bCs/>
        </w:rPr>
      </w:pPr>
      <w:r>
        <w:rPr>
          <w:b/>
          <w:bCs/>
          <w:u w:val="single"/>
        </w:rPr>
        <w:t>Au titre des exercices 1999 à 2003, au 31 août</w:t>
      </w:r>
    </w:p>
    <w:p w:rsidR="0001778E" w:rsidRDefault="0001778E" w:rsidP="000341BC">
      <w:pPr>
        <w:pStyle w:val="ps0"/>
        <w:rPr>
          <w:b/>
          <w:bCs/>
          <w:u w:val="single"/>
        </w:rPr>
      </w:pPr>
      <w:r>
        <w:rPr>
          <w:b/>
          <w:bCs/>
          <w:u w:val="single"/>
        </w:rPr>
        <w:t>Levée d’injonction</w:t>
      </w:r>
    </w:p>
    <w:p w:rsidR="0001778E" w:rsidRPr="0092730B" w:rsidRDefault="0001778E" w:rsidP="00B2421D">
      <w:pPr>
        <w:pStyle w:val="ps0"/>
        <w:rPr>
          <w:b/>
          <w:bCs/>
          <w:u w:val="single"/>
        </w:rPr>
      </w:pPr>
      <w:r>
        <w:rPr>
          <w:b/>
          <w:bCs/>
          <w:u w:val="single"/>
        </w:rPr>
        <w:t>Injonction : Trésorerie de Vandœuvre-lès-Nancy – SA Auto industrie de l’Est – taxe foncière 1999 mise en recouvrement le 31 août 1999 pour 14 815,76 €</w:t>
      </w:r>
    </w:p>
    <w:p w:rsidR="0001778E" w:rsidRDefault="0001778E" w:rsidP="000341BC">
      <w:pPr>
        <w:pStyle w:val="ps0"/>
      </w:pPr>
      <w:r>
        <w:t>Attendu qu’une procédure de redressement judiciaire avait été ouverte à l’encontre de la SA Auto industrie de l’Est, par jugement du 27 juillet 1999, publié au Bulletin officiel des annonces civiles et commerciales le 31 août 1999 ; que cette procédure avait été convertie en liquidation judiciaire le 19 octobre 1999 ;</w:t>
      </w:r>
    </w:p>
    <w:p w:rsidR="0001778E" w:rsidRDefault="0001778E" w:rsidP="00C91F8A">
      <w:pPr>
        <w:pStyle w:val="ps0"/>
      </w:pPr>
      <w:r>
        <w:t>Attendu que le comptable n’avait pas déclaré au passif de la procédure une taxe foncière mise en recouvrement le 31 août 1999 pour 14 815,76 € ; que la demande en relevé de forclusion avait été rejetée le 31 janvier 2000 ;</w:t>
      </w:r>
    </w:p>
    <w:p w:rsidR="0001778E" w:rsidRDefault="0001778E" w:rsidP="000341BC">
      <w:pPr>
        <w:pStyle w:val="ps0"/>
      </w:pPr>
      <w:r>
        <w:t>Attendu que l’article 53 de la loi n° 85-98 du 25 janvier 1985 dispose : « les créances qui n’ont pas été déclarées et qui n’ont pas donné lieu à relevé de forclusion sont éteintes » ; qu’en l’espèce la créance est éteinte depuis le 1</w:t>
      </w:r>
      <w:r w:rsidRPr="00E31637">
        <w:rPr>
          <w:vertAlign w:val="superscript"/>
        </w:rPr>
        <w:t>er</w:t>
      </w:r>
      <w:r>
        <w:t xml:space="preserve"> novembre 1999 ;</w:t>
      </w:r>
    </w:p>
    <w:p w:rsidR="0001778E" w:rsidRDefault="0001778E" w:rsidP="00C91F8A">
      <w:pPr>
        <w:pStyle w:val="ps0"/>
      </w:pPr>
      <w:r>
        <w:t>Attendu que, en application des paragraphes I et IV de l’article 60 de la loi susvisée du 23 février 1963, la Cour avait, par l’arrêt n° 42394 susvisé, enjoint à M. X d’apporter la preuve du versement de la somme de 14 815,76 € ou toute justification à décharge ;</w:t>
      </w:r>
    </w:p>
    <w:p w:rsidR="0001778E" w:rsidRDefault="0001778E" w:rsidP="00C91F8A">
      <w:pPr>
        <w:pStyle w:val="ps0"/>
      </w:pPr>
      <w:r>
        <w:t>Attendu qu’en réponse audit arrêt, le trésorier-payeur général, M. Y indique que le Chef du centre des impôts fonciers de Nancy a procédé au dégrèvement total de cette cote ;</w:t>
      </w:r>
    </w:p>
    <w:p w:rsidR="0001778E" w:rsidRDefault="0001778E" w:rsidP="000341BC">
      <w:pPr>
        <w:pStyle w:val="ps0"/>
      </w:pPr>
      <w:r>
        <w:t>Considérant la validité des justifications apportées ;</w:t>
      </w:r>
    </w:p>
    <w:p w:rsidR="0001778E" w:rsidRDefault="0001778E" w:rsidP="000341BC">
      <w:pPr>
        <w:pStyle w:val="ps0"/>
      </w:pPr>
      <w:r>
        <w:t>- L’injonction est levée.</w:t>
      </w:r>
    </w:p>
    <w:p w:rsidR="0001778E" w:rsidRDefault="0001778E" w:rsidP="000341BC">
      <w:pPr>
        <w:pStyle w:val="ps0"/>
        <w:rPr>
          <w:b/>
          <w:bCs/>
          <w:u w:val="single"/>
        </w:rPr>
      </w:pPr>
      <w:r>
        <w:rPr>
          <w:b/>
          <w:bCs/>
          <w:u w:val="single"/>
        </w:rPr>
        <w:br w:type="page"/>
      </w:r>
      <w:r w:rsidRPr="00E31184">
        <w:rPr>
          <w:b/>
          <w:bCs/>
          <w:u w:val="single"/>
        </w:rPr>
        <w:t xml:space="preserve">Décharge et quitus </w:t>
      </w:r>
    </w:p>
    <w:p w:rsidR="0001778E" w:rsidRDefault="0001778E" w:rsidP="000341BC">
      <w:pPr>
        <w:pStyle w:val="ps0"/>
      </w:pPr>
      <w:r>
        <w:t>Attendu qu'après la levée de l'injonction ci-dessus prononcée, aucune charge ne subsiste à l’encontre de M. X au titre de ses gestions 1999 à 2003, au 31 août ;</w:t>
      </w:r>
    </w:p>
    <w:p w:rsidR="0001778E" w:rsidRDefault="0001778E" w:rsidP="000341BC">
      <w:pPr>
        <w:pStyle w:val="ps0"/>
      </w:pPr>
      <w:r>
        <w:t>- Les opérations retracées dans les comptes des exercices 1999 à 2003, au 31 août sont admises.</w:t>
      </w:r>
    </w:p>
    <w:p w:rsidR="0001778E" w:rsidRDefault="0001778E" w:rsidP="000341BC">
      <w:pPr>
        <w:pStyle w:val="ps0"/>
      </w:pPr>
      <w:r>
        <w:t>- M. X est déchargé de sa gestion pendant les années 1999 à 2003, au 31 août.</w:t>
      </w:r>
    </w:p>
    <w:p w:rsidR="0001778E" w:rsidRDefault="0001778E" w:rsidP="000341BC">
      <w:pPr>
        <w:pStyle w:val="ps0"/>
      </w:pPr>
      <w:r>
        <w:t>Attendu que par l’arrêt n° 42393 la Cour a déchargé M. X de sa gestion au titre des exercices 1996, du 16 février, 1997 et 1998 ;</w:t>
      </w:r>
    </w:p>
    <w:p w:rsidR="0001778E" w:rsidRDefault="0001778E" w:rsidP="000341BC">
      <w:pPr>
        <w:pStyle w:val="ps0"/>
      </w:pPr>
      <w:r>
        <w:t>- M. X est déclaré quitte et libéré de sa gestion terminée le 31 août 2003.</w:t>
      </w:r>
    </w:p>
    <w:p w:rsidR="0001778E" w:rsidRDefault="0001778E" w:rsidP="000341BC">
      <w:pPr>
        <w:pStyle w:val="ps0"/>
      </w:pPr>
      <w: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p>
    <w:p w:rsidR="0001778E" w:rsidRDefault="0001778E" w:rsidP="000341BC">
      <w:pPr>
        <w:pStyle w:val="ps0"/>
        <w:rPr>
          <w:b/>
          <w:bCs/>
          <w:u w:val="single"/>
        </w:rPr>
      </w:pPr>
      <w:r w:rsidRPr="0012588F">
        <w:rPr>
          <w:b/>
          <w:bCs/>
          <w:u w:val="single"/>
        </w:rPr>
        <w:t xml:space="preserve">À l'égard de M. </w:t>
      </w:r>
      <w:r>
        <w:rPr>
          <w:b/>
          <w:bCs/>
          <w:u w:val="single"/>
        </w:rPr>
        <w:t>Y</w:t>
      </w:r>
    </w:p>
    <w:p w:rsidR="0001778E" w:rsidRPr="0012588F" w:rsidRDefault="0001778E" w:rsidP="000341BC">
      <w:pPr>
        <w:pStyle w:val="ps0"/>
        <w:rPr>
          <w:b/>
          <w:bCs/>
          <w:u w:val="single"/>
        </w:rPr>
      </w:pPr>
      <w:r>
        <w:rPr>
          <w:b/>
          <w:bCs/>
          <w:u w:val="single"/>
        </w:rPr>
        <w:t>Au titre de l’exercice 2003, du 1</w:t>
      </w:r>
      <w:r w:rsidRPr="003A51E6">
        <w:rPr>
          <w:b/>
          <w:bCs/>
          <w:u w:val="single"/>
          <w:vertAlign w:val="superscript"/>
        </w:rPr>
        <w:t>er</w:t>
      </w:r>
      <w:r>
        <w:rPr>
          <w:b/>
          <w:bCs/>
          <w:u w:val="single"/>
        </w:rPr>
        <w:t xml:space="preserve"> septembre</w:t>
      </w:r>
    </w:p>
    <w:p w:rsidR="0001778E" w:rsidRPr="003A51E6" w:rsidRDefault="0001778E" w:rsidP="000341BC">
      <w:pPr>
        <w:pStyle w:val="ps0"/>
        <w:rPr>
          <w:b/>
          <w:bCs/>
          <w:u w:val="single"/>
        </w:rPr>
      </w:pPr>
      <w:r w:rsidRPr="003A51E6">
        <w:rPr>
          <w:b/>
          <w:bCs/>
          <w:u w:val="single"/>
        </w:rPr>
        <w:t>Levées de réserves</w:t>
      </w:r>
    </w:p>
    <w:p w:rsidR="0001778E" w:rsidRPr="00B51D4F" w:rsidRDefault="0001778E" w:rsidP="000341BC">
      <w:pPr>
        <w:pStyle w:val="ps0"/>
        <w:rPr>
          <w:b/>
          <w:bCs/>
          <w:u w:val="single"/>
        </w:rPr>
      </w:pPr>
      <w:r w:rsidRPr="00B51D4F">
        <w:rPr>
          <w:b/>
          <w:bCs/>
          <w:u w:val="single"/>
        </w:rPr>
        <w:t>Réserve n°</w:t>
      </w:r>
      <w:r>
        <w:rPr>
          <w:b/>
          <w:bCs/>
          <w:u w:val="single"/>
        </w:rPr>
        <w:t> </w:t>
      </w:r>
      <w:r w:rsidRPr="00B51D4F">
        <w:rPr>
          <w:b/>
          <w:bCs/>
          <w:u w:val="single"/>
        </w:rPr>
        <w:t xml:space="preserve">1 : Compte 461-11 « Soldes débiteurs de nature à engager la </w:t>
      </w:r>
      <w:r>
        <w:rPr>
          <w:b/>
          <w:bCs/>
          <w:u w:val="single"/>
        </w:rPr>
        <w:t>responsabilité des comptables »</w:t>
      </w:r>
    </w:p>
    <w:p w:rsidR="0001778E" w:rsidRDefault="0001778E" w:rsidP="00C91F8A">
      <w:pPr>
        <w:pStyle w:val="ps0"/>
      </w:pPr>
      <w:r>
        <w:t>Attendu que cinq différences sur états de restes à recouvrer de l’exercice 1998 demeuraient au solde du compte pour 436,31 € ;</w:t>
      </w:r>
    </w:p>
    <w:p w:rsidR="0001778E" w:rsidRDefault="0001778E" w:rsidP="000341BC">
      <w:pPr>
        <w:pStyle w:val="ps0"/>
      </w:pPr>
      <w:r>
        <w:t>Attendu que la Cour avait, par l’arrêt n° 42394 susvisé, fait réserve sur la gestion 2003 de M. Y dans l’attente de l’apurement de ces déficits ;</w:t>
      </w:r>
    </w:p>
    <w:p w:rsidR="0001778E" w:rsidRDefault="0001778E" w:rsidP="000341BC">
      <w:pPr>
        <w:pStyle w:val="ps0"/>
      </w:pPr>
      <w:r>
        <w:br w:type="page"/>
        <w:t>Attendu que dans sa réponse à l’arrêt, le trésorier-payeur général, M. Y, a indiqué que, par décision du 19 juillet 2005, le directeur général de la comptabilité publique, par délégation du ministre délégué au budget et à la réforme budgétaire, a accordé à M. Y la remise gracieuse de la somme de 436,31 € ;</w:t>
      </w:r>
    </w:p>
    <w:p w:rsidR="0001778E" w:rsidRDefault="0001778E" w:rsidP="000341BC">
      <w:pPr>
        <w:pStyle w:val="ps0"/>
      </w:pPr>
      <w:r>
        <w:t>Considérant la validité des justifications apportées ;</w:t>
      </w:r>
    </w:p>
    <w:p w:rsidR="0001778E" w:rsidRDefault="0001778E" w:rsidP="000341BC">
      <w:pPr>
        <w:pStyle w:val="ps0"/>
      </w:pPr>
      <w:r>
        <w:t>- La réserve n° 1 est levée.</w:t>
      </w:r>
    </w:p>
    <w:p w:rsidR="0001778E" w:rsidRDefault="0001778E" w:rsidP="000341BC">
      <w:pPr>
        <w:pStyle w:val="ps0"/>
        <w:rPr>
          <w:b/>
          <w:bCs/>
          <w:u w:val="single"/>
        </w:rPr>
      </w:pPr>
      <w:r w:rsidRPr="00B51D4F">
        <w:rPr>
          <w:b/>
          <w:bCs/>
          <w:u w:val="single"/>
        </w:rPr>
        <w:t>Réserve n°</w:t>
      </w:r>
      <w:r>
        <w:rPr>
          <w:b/>
          <w:bCs/>
          <w:u w:val="single"/>
        </w:rPr>
        <w:t> 2</w:t>
      </w:r>
      <w:r w:rsidRPr="00B51D4F">
        <w:rPr>
          <w:b/>
          <w:bCs/>
          <w:u w:val="single"/>
        </w:rPr>
        <w:t> : Compte 461</w:t>
      </w:r>
      <w:r>
        <w:rPr>
          <w:b/>
          <w:bCs/>
          <w:u w:val="single"/>
        </w:rPr>
        <w:t>-211 « Différences sur états des restes à recouvrer sur contributions directes »</w:t>
      </w:r>
    </w:p>
    <w:p w:rsidR="0001778E" w:rsidRDefault="0001778E" w:rsidP="000341BC">
      <w:pPr>
        <w:pStyle w:val="ps0"/>
      </w:pPr>
      <w:r>
        <w:t>Attendu que six différences sur états de restes à recouvrer des exercices 1999 et 2000 demeuraient au solde du compte pour 5 801,68 € ;</w:t>
      </w:r>
    </w:p>
    <w:p w:rsidR="0001778E" w:rsidRDefault="0001778E" w:rsidP="000341BC">
      <w:pPr>
        <w:pStyle w:val="ps0"/>
      </w:pPr>
      <w:r>
        <w:t>Attendu que la Cour avait, par l’arrêt n° 42394 susvisé, fait réserve sur la gestion 2003 de M. Y dans l’attente de l’apurement de ces déficits ;</w:t>
      </w:r>
    </w:p>
    <w:p w:rsidR="0001778E" w:rsidRDefault="0001778E" w:rsidP="000341BC">
      <w:pPr>
        <w:pStyle w:val="ps0"/>
      </w:pPr>
      <w:r>
        <w:t>Attendu que dans sa réponse à l’arrêt, le trésorier-payeur général, M. Y, a indiqué que, par décision du 19 juillet 2005, le directeur général de la comptabilité publique, par délégation du ministre délégué au budget et à la réforme budgétaire, a accordé à M. Y la remise gracieuse de la somme de 5 801,68 € ;</w:t>
      </w:r>
    </w:p>
    <w:p w:rsidR="0001778E" w:rsidRDefault="0001778E" w:rsidP="000341BC">
      <w:pPr>
        <w:pStyle w:val="ps0"/>
      </w:pPr>
      <w:r>
        <w:t>Considérant la validité des justifications apportées ;</w:t>
      </w:r>
    </w:p>
    <w:p w:rsidR="0001778E" w:rsidRDefault="0001778E" w:rsidP="000341BC">
      <w:pPr>
        <w:pStyle w:val="ps0"/>
      </w:pPr>
      <w:r>
        <w:t>- La réserve n° 2 est levée.</w:t>
      </w:r>
    </w:p>
    <w:p w:rsidR="0001778E" w:rsidRDefault="0001778E" w:rsidP="000341BC">
      <w:pPr>
        <w:pStyle w:val="ps0"/>
        <w:rPr>
          <w:b/>
          <w:bCs/>
          <w:u w:val="single"/>
        </w:rPr>
      </w:pPr>
      <w:r w:rsidRPr="00B51D4F">
        <w:rPr>
          <w:b/>
          <w:bCs/>
          <w:u w:val="single"/>
        </w:rPr>
        <w:t>Réserve n°</w:t>
      </w:r>
      <w:r>
        <w:rPr>
          <w:b/>
          <w:bCs/>
          <w:u w:val="single"/>
        </w:rPr>
        <w:t> 3</w:t>
      </w:r>
      <w:r w:rsidRPr="00B51D4F">
        <w:rPr>
          <w:b/>
          <w:bCs/>
          <w:u w:val="single"/>
        </w:rPr>
        <w:t> : Compte 461</w:t>
      </w:r>
      <w:r>
        <w:rPr>
          <w:b/>
          <w:bCs/>
          <w:u w:val="single"/>
        </w:rPr>
        <w:t>-218 « Déficits des comptables avant la prise d’un arrêté de débet – Comptables – Autres déficits »</w:t>
      </w:r>
    </w:p>
    <w:p w:rsidR="0001778E" w:rsidRPr="00E51F91" w:rsidRDefault="0001778E" w:rsidP="000341BC">
      <w:pPr>
        <w:pStyle w:val="ps0"/>
      </w:pPr>
      <w:r w:rsidRPr="00E51F91">
        <w:t xml:space="preserve">Attendu </w:t>
      </w:r>
      <w:r>
        <w:t>qu’un déficit demeurait au solde du compte pour un montant de 331 053,45 € ; que cette écriture avait été comptabilisée à la suite de l’émission le 18 août 2003 d’un ordre de versement à l’encontre de la trésorière de Villerupt correspondant au montant d’un détournement effectué par un agent de la trésorerie ;</w:t>
      </w:r>
    </w:p>
    <w:p w:rsidR="0001778E" w:rsidRDefault="0001778E" w:rsidP="000341BC">
      <w:pPr>
        <w:pStyle w:val="ps0"/>
      </w:pPr>
      <w:r w:rsidRPr="00E51F91">
        <w:t xml:space="preserve">Attendu que </w:t>
      </w:r>
      <w:r>
        <w:t>la trésorière de Villerupt avait formulé le 4 septembre 2003 une demande de sursis de versement et de remise gracieuse auprès de la direction générale de la comptabilité publique ;</w:t>
      </w:r>
    </w:p>
    <w:p w:rsidR="0001778E" w:rsidRDefault="0001778E" w:rsidP="000341BC">
      <w:pPr>
        <w:pStyle w:val="ps0"/>
      </w:pPr>
      <w:r>
        <w:br w:type="page"/>
        <w:t>Attendu que la Cour avait, par l’arrêt n° 42394 susvisé, fait réserve sur la gestion 2003 de M. Y dans l’attente de l’apurement de ce déficit ;</w:t>
      </w:r>
    </w:p>
    <w:p w:rsidR="0001778E" w:rsidRDefault="0001778E" w:rsidP="005A2AD7">
      <w:pPr>
        <w:pStyle w:val="ps0"/>
      </w:pPr>
      <w:r>
        <w:t>Attendu que dans sa réponse à l’arrêt, le trésorier-payeur général, M. Y, a indiqué que, par décision du 24 février 2006, le directeur général de la comptabilité publique, par délégation du ministre délégué au budget et à la réforme budgétaire, a accordé à la trésorière de Villerupt la remise gracieuse du débet de 331 053,45 €, sous réserve du versement de la somme de 1 000,00 € laissée à sa charge ;</w:t>
      </w:r>
    </w:p>
    <w:p w:rsidR="0001778E" w:rsidRDefault="0001778E" w:rsidP="000341BC">
      <w:pPr>
        <w:pStyle w:val="ps0"/>
      </w:pPr>
      <w:r>
        <w:t>Considérant la validité de la remise accordée et la justification de la preuve du versement du laissé à charge ;</w:t>
      </w:r>
    </w:p>
    <w:p w:rsidR="0001778E" w:rsidRDefault="0001778E" w:rsidP="000341BC">
      <w:pPr>
        <w:pStyle w:val="ps0"/>
      </w:pPr>
      <w:r>
        <w:t>- La réserve n° 3 est levée.</w:t>
      </w:r>
    </w:p>
    <w:p w:rsidR="0001778E" w:rsidRDefault="0001778E" w:rsidP="000341BC">
      <w:pPr>
        <w:pStyle w:val="ps0"/>
        <w:rPr>
          <w:b/>
          <w:bCs/>
          <w:u w:val="single"/>
        </w:rPr>
      </w:pPr>
      <w:r w:rsidRPr="00B51D4F">
        <w:rPr>
          <w:b/>
          <w:bCs/>
          <w:u w:val="single"/>
        </w:rPr>
        <w:t>Réserve n°</w:t>
      </w:r>
      <w:r>
        <w:rPr>
          <w:b/>
          <w:bCs/>
          <w:u w:val="single"/>
        </w:rPr>
        <w:t> 4</w:t>
      </w:r>
      <w:r w:rsidRPr="00B51D4F">
        <w:rPr>
          <w:b/>
          <w:bCs/>
          <w:u w:val="single"/>
        </w:rPr>
        <w:t> : Compte 4</w:t>
      </w:r>
      <w:r>
        <w:rPr>
          <w:b/>
          <w:bCs/>
          <w:u w:val="single"/>
        </w:rPr>
        <w:t>71-988-8 « Dépenses diverses – Autres dépenses diverses – Divers »</w:t>
      </w:r>
    </w:p>
    <w:p w:rsidR="0001778E" w:rsidRDefault="0001778E" w:rsidP="005A2AD7">
      <w:pPr>
        <w:pStyle w:val="ps0"/>
      </w:pPr>
      <w:r>
        <w:t>Attendu qu’une opération demeurait au solde du compte pour 11 250,00 € ; que cette somme correspondait au remboursement d’une amende douanière exécuté deux fois le 23 juillet 2003, sous la gestion de M. X ;</w:t>
      </w:r>
    </w:p>
    <w:p w:rsidR="0001778E" w:rsidRDefault="0001778E" w:rsidP="000341BC">
      <w:pPr>
        <w:pStyle w:val="ps0"/>
      </w:pPr>
      <w:r>
        <w:t>Attendu que la Cour avait, par l’arrêt n° 42394 susvisé, fait réserve sur la gestion 2003 de M. Y dans l’attente de l’apurement de cette opération ;</w:t>
      </w:r>
    </w:p>
    <w:p w:rsidR="0001778E" w:rsidRDefault="0001778E" w:rsidP="000341BC">
      <w:pPr>
        <w:pStyle w:val="ps0"/>
        <w:rPr>
          <w:b/>
          <w:bCs/>
          <w:u w:val="single"/>
        </w:rPr>
      </w:pPr>
      <w:r>
        <w:t>Attendu que dans sa réponse à l’arrêt, le trésorier-payeur général, M. Y, a indiqué que, par décision du 5 août 2005, le directeur général de la comptabilité publique, par délégation du ministre délégué au budget et à la réforme budgétaire, a accordé à M. X la remise gracieuse du débet de 11 250,00 € ;</w:t>
      </w:r>
    </w:p>
    <w:p w:rsidR="0001778E" w:rsidRDefault="0001778E" w:rsidP="000341BC">
      <w:pPr>
        <w:pStyle w:val="ps0"/>
      </w:pPr>
      <w:r>
        <w:t>Considérant la validité des justifications apportées ;</w:t>
      </w:r>
    </w:p>
    <w:p w:rsidR="0001778E" w:rsidRDefault="0001778E" w:rsidP="000341BC">
      <w:pPr>
        <w:pStyle w:val="ps0"/>
      </w:pPr>
      <w:r>
        <w:t>- La réserve n° 4 est levée.</w:t>
      </w:r>
    </w:p>
    <w:p w:rsidR="0001778E" w:rsidRDefault="0001778E" w:rsidP="000341BC">
      <w:pPr>
        <w:pStyle w:val="ps0"/>
        <w:rPr>
          <w:b/>
          <w:bCs/>
          <w:u w:val="single"/>
        </w:rPr>
      </w:pPr>
      <w:r w:rsidRPr="00AE1217">
        <w:rPr>
          <w:b/>
          <w:bCs/>
          <w:u w:val="single"/>
        </w:rPr>
        <w:t>Décharge</w:t>
      </w:r>
      <w:r>
        <w:rPr>
          <w:b/>
          <w:bCs/>
          <w:u w:val="single"/>
        </w:rPr>
        <w:t xml:space="preserve"> </w:t>
      </w:r>
    </w:p>
    <w:p w:rsidR="0001778E" w:rsidRDefault="0001778E" w:rsidP="000341BC">
      <w:pPr>
        <w:pStyle w:val="ps0"/>
      </w:pPr>
      <w:r>
        <w:t>Attendu qu'après la levée de l'injonction et des quatre réserves, aucune charge ne subsiste à l’encontre de M. Y au titre de sa gestion 2003 ;</w:t>
      </w:r>
    </w:p>
    <w:p w:rsidR="0001778E" w:rsidRDefault="0001778E" w:rsidP="000341BC">
      <w:pPr>
        <w:pStyle w:val="ps0"/>
      </w:pPr>
      <w:r>
        <w:t>- Les opérations retracées dans les comptes de l’exercice 2003, du 1</w:t>
      </w:r>
      <w:r w:rsidRPr="00582CC2">
        <w:rPr>
          <w:vertAlign w:val="superscript"/>
        </w:rPr>
        <w:t>er</w:t>
      </w:r>
      <w:r>
        <w:t> septembre sont admises.</w:t>
      </w:r>
    </w:p>
    <w:p w:rsidR="0001778E" w:rsidRDefault="0001778E" w:rsidP="000341BC">
      <w:pPr>
        <w:pStyle w:val="ps0"/>
      </w:pPr>
      <w:r>
        <w:t>- M. Y est déchargé de sa gestion pendant l’année 2003, du 1</w:t>
      </w:r>
      <w:r w:rsidRPr="00582CC2">
        <w:rPr>
          <w:vertAlign w:val="superscript"/>
        </w:rPr>
        <w:t>er</w:t>
      </w:r>
      <w:r>
        <w:t> septembre.</w:t>
      </w:r>
    </w:p>
    <w:p w:rsidR="0001778E" w:rsidRDefault="0001778E" w:rsidP="008B79FB">
      <w:pPr>
        <w:pStyle w:val="ps0"/>
        <w:ind w:firstLine="0"/>
        <w:jc w:val="center"/>
      </w:pPr>
      <w:r>
        <w:t>-----------</w:t>
      </w:r>
    </w:p>
    <w:p w:rsidR="0001778E" w:rsidRDefault="0001778E" w:rsidP="000341BC">
      <w:pPr>
        <w:pStyle w:val="ps0"/>
      </w:pPr>
      <w:r>
        <w:t>Fait et jugé en la Cour des comptes, première chambre, première section, le vingt six mai deux mille dix, présents : M</w:t>
      </w:r>
      <w:r w:rsidRPr="00D9595E">
        <w:rPr>
          <w:vertAlign w:val="superscript"/>
        </w:rPr>
        <w:t>me</w:t>
      </w:r>
      <w:r>
        <w:t xml:space="preserve"> Fradin, président de section, </w:t>
      </w:r>
      <w:r w:rsidRPr="00FF33A4">
        <w:t>M</w:t>
      </w:r>
      <w:r>
        <w:t>. </w:t>
      </w:r>
      <w:r w:rsidRPr="00FF33A4">
        <w:t>X</w:t>
      </w:r>
      <w:r>
        <w:t>.</w:t>
      </w:r>
      <w:r>
        <w:noBreakHyphen/>
      </w:r>
      <w:r w:rsidRPr="00FF33A4">
        <w:t>H.</w:t>
      </w:r>
      <w:r>
        <w:t> </w:t>
      </w:r>
      <w:r w:rsidRPr="00FF33A4">
        <w:t xml:space="preserve">Martin, </w:t>
      </w:r>
      <w:r>
        <w:t xml:space="preserve">M. Lair </w:t>
      </w:r>
      <w:r w:rsidRPr="00FF33A4">
        <w:t xml:space="preserve">et </w:t>
      </w:r>
      <w:r>
        <w:t>M</w:t>
      </w:r>
      <w:r w:rsidRPr="00D9595E">
        <w:rPr>
          <w:vertAlign w:val="superscript"/>
        </w:rPr>
        <w:t>me</w:t>
      </w:r>
      <w:r>
        <w:t xml:space="preserve"> Dos Reis</w:t>
      </w:r>
      <w:r w:rsidRPr="00FF33A4">
        <w:t>, conseillers maîtres.</w:t>
      </w:r>
    </w:p>
    <w:p w:rsidR="0001778E" w:rsidRDefault="0001778E" w:rsidP="005A2AD7">
      <w:pPr>
        <w:pStyle w:val="ps0"/>
      </w:pPr>
      <w:r>
        <w:t>Signé : Fradin, président de section, et Rackelboom, greffier.</w:t>
      </w:r>
    </w:p>
    <w:p w:rsidR="0001778E" w:rsidRDefault="0001778E" w:rsidP="009435F1">
      <w:pPr>
        <w:pStyle w:val="ps0"/>
      </w:pPr>
      <w:r>
        <w:t>Collationné, certifié conforme à la minute étant au greffe de la Cour des comptes et d</w:t>
      </w:r>
      <w:r w:rsidRPr="00890938">
        <w:t>élivré par moi, secrétaire générale</w:t>
      </w:r>
      <w:r>
        <w:t>.</w:t>
      </w:r>
    </w:p>
    <w:p w:rsidR="0001778E" w:rsidRPr="00691464" w:rsidRDefault="0001778E" w:rsidP="00E11DD6">
      <w:pPr>
        <w:pStyle w:val="PS"/>
        <w:spacing w:after="0"/>
        <w:ind w:firstLine="4536"/>
        <w:jc w:val="center"/>
        <w:rPr>
          <w:b/>
          <w:bCs/>
        </w:rPr>
      </w:pPr>
      <w:r w:rsidRPr="00691464">
        <w:rPr>
          <w:b/>
          <w:bCs/>
        </w:rPr>
        <w:t>Pour la Secrétaire générale</w:t>
      </w:r>
    </w:p>
    <w:p w:rsidR="0001778E" w:rsidRPr="00691464" w:rsidRDefault="0001778E" w:rsidP="00E11DD6">
      <w:pPr>
        <w:pStyle w:val="PS"/>
        <w:spacing w:after="0"/>
        <w:ind w:firstLine="4536"/>
        <w:jc w:val="center"/>
        <w:rPr>
          <w:b/>
          <w:bCs/>
        </w:rPr>
      </w:pPr>
      <w:r w:rsidRPr="00691464">
        <w:rPr>
          <w:b/>
          <w:bCs/>
        </w:rPr>
        <w:t>et par délégation,</w:t>
      </w:r>
    </w:p>
    <w:p w:rsidR="0001778E" w:rsidRPr="00691464" w:rsidRDefault="0001778E" w:rsidP="00E11DD6">
      <w:pPr>
        <w:pStyle w:val="PS"/>
        <w:ind w:firstLine="4536"/>
        <w:jc w:val="center"/>
        <w:rPr>
          <w:b/>
          <w:bCs/>
        </w:rPr>
      </w:pPr>
      <w:r w:rsidRPr="00691464">
        <w:rPr>
          <w:b/>
          <w:bCs/>
        </w:rPr>
        <w:t>le Chef du greffe contentieux</w:t>
      </w:r>
    </w:p>
    <w:p w:rsidR="0001778E" w:rsidRPr="00691464" w:rsidRDefault="0001778E" w:rsidP="00E11DD6">
      <w:pPr>
        <w:pStyle w:val="PS"/>
        <w:ind w:firstLine="4536"/>
        <w:jc w:val="center"/>
        <w:rPr>
          <w:b/>
          <w:bCs/>
        </w:rPr>
      </w:pPr>
    </w:p>
    <w:p w:rsidR="0001778E" w:rsidRPr="00691464" w:rsidRDefault="0001778E" w:rsidP="00E11DD6">
      <w:pPr>
        <w:pStyle w:val="PS"/>
        <w:ind w:firstLine="4536"/>
        <w:jc w:val="center"/>
        <w:rPr>
          <w:b/>
          <w:bCs/>
        </w:rPr>
      </w:pPr>
    </w:p>
    <w:p w:rsidR="0001778E" w:rsidRPr="00691464" w:rsidRDefault="0001778E" w:rsidP="00E11DD6">
      <w:pPr>
        <w:pStyle w:val="PS"/>
        <w:ind w:firstLine="4536"/>
        <w:jc w:val="center"/>
        <w:rPr>
          <w:b/>
          <w:bCs/>
        </w:rPr>
      </w:pPr>
      <w:r w:rsidRPr="00691464">
        <w:rPr>
          <w:b/>
          <w:bCs/>
        </w:rPr>
        <w:t>Daniel FEREZ</w:t>
      </w:r>
    </w:p>
    <w:sectPr w:rsidR="0001778E" w:rsidRPr="00691464" w:rsidSect="00E430F4">
      <w:headerReference w:type="default" r:id="rId6"/>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78E" w:rsidRDefault="0001778E">
      <w:r>
        <w:separator/>
      </w:r>
    </w:p>
  </w:endnote>
  <w:endnote w:type="continuationSeparator" w:id="0">
    <w:p w:rsidR="0001778E" w:rsidRDefault="000177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78E" w:rsidRDefault="0001778E">
      <w:r>
        <w:separator/>
      </w:r>
    </w:p>
  </w:footnote>
  <w:footnote w:type="continuationSeparator" w:id="0">
    <w:p w:rsidR="0001778E" w:rsidRDefault="00017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78E" w:rsidRDefault="0001778E">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7</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778E"/>
    <w:rsid w:val="0002117C"/>
    <w:rsid w:val="000341BC"/>
    <w:rsid w:val="00077D06"/>
    <w:rsid w:val="00081AD0"/>
    <w:rsid w:val="000A3489"/>
    <w:rsid w:val="000B1A21"/>
    <w:rsid w:val="001004C4"/>
    <w:rsid w:val="0012588F"/>
    <w:rsid w:val="00136827"/>
    <w:rsid w:val="001858DB"/>
    <w:rsid w:val="001A79D4"/>
    <w:rsid w:val="001D6867"/>
    <w:rsid w:val="00227C15"/>
    <w:rsid w:val="002525DF"/>
    <w:rsid w:val="002B0244"/>
    <w:rsid w:val="002E4BF4"/>
    <w:rsid w:val="00301BFD"/>
    <w:rsid w:val="00381515"/>
    <w:rsid w:val="003A51E6"/>
    <w:rsid w:val="003D5BD0"/>
    <w:rsid w:val="00420666"/>
    <w:rsid w:val="00471384"/>
    <w:rsid w:val="00565FCD"/>
    <w:rsid w:val="00575EDD"/>
    <w:rsid w:val="00582CC2"/>
    <w:rsid w:val="005A2AD7"/>
    <w:rsid w:val="005A73FF"/>
    <w:rsid w:val="005F15CB"/>
    <w:rsid w:val="006479F4"/>
    <w:rsid w:val="0066361C"/>
    <w:rsid w:val="00680D65"/>
    <w:rsid w:val="0068752B"/>
    <w:rsid w:val="00691464"/>
    <w:rsid w:val="006F314D"/>
    <w:rsid w:val="007540BF"/>
    <w:rsid w:val="007B42E0"/>
    <w:rsid w:val="007C4712"/>
    <w:rsid w:val="007F5C55"/>
    <w:rsid w:val="00810395"/>
    <w:rsid w:val="00890938"/>
    <w:rsid w:val="008B79FB"/>
    <w:rsid w:val="008E2505"/>
    <w:rsid w:val="008E40E0"/>
    <w:rsid w:val="00900017"/>
    <w:rsid w:val="00902191"/>
    <w:rsid w:val="0092730B"/>
    <w:rsid w:val="00936BA7"/>
    <w:rsid w:val="009435F1"/>
    <w:rsid w:val="009A0338"/>
    <w:rsid w:val="009C1834"/>
    <w:rsid w:val="00A9551A"/>
    <w:rsid w:val="00AA7C55"/>
    <w:rsid w:val="00AE1217"/>
    <w:rsid w:val="00B2421D"/>
    <w:rsid w:val="00B24D61"/>
    <w:rsid w:val="00B3758F"/>
    <w:rsid w:val="00B51D4F"/>
    <w:rsid w:val="00B666B2"/>
    <w:rsid w:val="00BD66DB"/>
    <w:rsid w:val="00C35B26"/>
    <w:rsid w:val="00C3671D"/>
    <w:rsid w:val="00C81C1E"/>
    <w:rsid w:val="00C91F8A"/>
    <w:rsid w:val="00D011CA"/>
    <w:rsid w:val="00D9595E"/>
    <w:rsid w:val="00DC11E1"/>
    <w:rsid w:val="00DF4FB9"/>
    <w:rsid w:val="00E11DD6"/>
    <w:rsid w:val="00E31184"/>
    <w:rsid w:val="00E31637"/>
    <w:rsid w:val="00E430F4"/>
    <w:rsid w:val="00E51F91"/>
    <w:rsid w:val="00EA0D0F"/>
    <w:rsid w:val="00EA2136"/>
    <w:rsid w:val="00EB1B18"/>
    <w:rsid w:val="00FF33A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DB"/>
    <w:rPr>
      <w:sz w:val="20"/>
      <w:szCs w:val="20"/>
    </w:rPr>
  </w:style>
  <w:style w:type="paragraph" w:styleId="Heading1">
    <w:name w:val="heading 1"/>
    <w:basedOn w:val="Normal"/>
    <w:next w:val="Normal"/>
    <w:link w:val="Heading1Char"/>
    <w:uiPriority w:val="99"/>
    <w:qFormat/>
    <w:rsid w:val="001858DB"/>
    <w:pPr>
      <w:spacing w:before="240"/>
      <w:outlineLvl w:val="0"/>
    </w:pPr>
    <w:rPr>
      <w:b/>
      <w:bCs/>
      <w:sz w:val="24"/>
      <w:szCs w:val="24"/>
      <w:u w:val="single"/>
    </w:rPr>
  </w:style>
  <w:style w:type="paragraph" w:styleId="Heading2">
    <w:name w:val="heading 2"/>
    <w:basedOn w:val="Normal"/>
    <w:next w:val="Normal"/>
    <w:link w:val="Heading2Char"/>
    <w:uiPriority w:val="99"/>
    <w:qFormat/>
    <w:rsid w:val="001858DB"/>
    <w:pPr>
      <w:spacing w:before="120"/>
      <w:outlineLvl w:val="1"/>
    </w:pPr>
    <w:rPr>
      <w:b/>
      <w:bCs/>
      <w:sz w:val="24"/>
      <w:szCs w:val="24"/>
    </w:rPr>
  </w:style>
  <w:style w:type="paragraph" w:styleId="Heading3">
    <w:name w:val="heading 3"/>
    <w:basedOn w:val="Normal"/>
    <w:next w:val="NormalIndent"/>
    <w:link w:val="Heading3Char"/>
    <w:uiPriority w:val="99"/>
    <w:qFormat/>
    <w:rsid w:val="001858DB"/>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81515"/>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81515"/>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81515"/>
    <w:rPr>
      <w:rFonts w:ascii="Cambria" w:hAnsi="Cambria" w:cs="Cambria"/>
      <w:b/>
      <w:bCs/>
      <w:sz w:val="26"/>
      <w:szCs w:val="26"/>
    </w:rPr>
  </w:style>
  <w:style w:type="paragraph" w:styleId="NormalIndent">
    <w:name w:val="Normal Indent"/>
    <w:basedOn w:val="Normal"/>
    <w:uiPriority w:val="99"/>
    <w:rsid w:val="001858DB"/>
    <w:pPr>
      <w:ind w:left="708"/>
    </w:pPr>
  </w:style>
  <w:style w:type="paragraph" w:styleId="Header">
    <w:name w:val="header"/>
    <w:basedOn w:val="Normal"/>
    <w:link w:val="HeaderChar"/>
    <w:uiPriority w:val="99"/>
    <w:rsid w:val="001858DB"/>
    <w:pPr>
      <w:tabs>
        <w:tab w:val="center" w:pos="4819"/>
        <w:tab w:val="right" w:pos="9071"/>
      </w:tabs>
    </w:pPr>
  </w:style>
  <w:style w:type="character" w:customStyle="1" w:styleId="HeaderChar">
    <w:name w:val="Header Char"/>
    <w:basedOn w:val="DefaultParagraphFont"/>
    <w:link w:val="Header"/>
    <w:uiPriority w:val="99"/>
    <w:semiHidden/>
    <w:locked/>
    <w:rsid w:val="00381515"/>
    <w:rPr>
      <w:rFonts w:cs="Times New Roman"/>
      <w:sz w:val="20"/>
      <w:szCs w:val="20"/>
    </w:rPr>
  </w:style>
  <w:style w:type="paragraph" w:customStyle="1" w:styleId="ET">
    <w:name w:val="ET"/>
    <w:basedOn w:val="Normal"/>
    <w:uiPriority w:val="99"/>
    <w:rsid w:val="001858DB"/>
    <w:rPr>
      <w:b/>
      <w:bCs/>
      <w:caps/>
      <w:sz w:val="24"/>
      <w:szCs w:val="24"/>
    </w:rPr>
  </w:style>
  <w:style w:type="paragraph" w:customStyle="1" w:styleId="OR">
    <w:name w:val="OR"/>
    <w:basedOn w:val="ET"/>
    <w:uiPriority w:val="99"/>
    <w:rsid w:val="001858DB"/>
    <w:pPr>
      <w:ind w:left="5670"/>
    </w:pPr>
    <w:rPr>
      <w:b w:val="0"/>
      <w:bCs w:val="0"/>
      <w:caps w:val="0"/>
    </w:rPr>
  </w:style>
  <w:style w:type="paragraph" w:customStyle="1" w:styleId="TI">
    <w:name w:val="TI"/>
    <w:basedOn w:val="OR"/>
    <w:uiPriority w:val="99"/>
    <w:rsid w:val="001858DB"/>
    <w:pPr>
      <w:ind w:left="1701"/>
      <w:jc w:val="center"/>
    </w:pPr>
    <w:rPr>
      <w:caps/>
      <w:u w:val="single"/>
    </w:rPr>
  </w:style>
  <w:style w:type="paragraph" w:customStyle="1" w:styleId="P0">
    <w:name w:val="P0"/>
    <w:basedOn w:val="ET"/>
    <w:uiPriority w:val="99"/>
    <w:rsid w:val="001858DB"/>
    <w:pPr>
      <w:ind w:left="1701"/>
      <w:jc w:val="both"/>
    </w:pPr>
    <w:rPr>
      <w:b w:val="0"/>
      <w:bCs w:val="0"/>
      <w:caps w:val="0"/>
    </w:rPr>
  </w:style>
  <w:style w:type="paragraph" w:customStyle="1" w:styleId="EL">
    <w:name w:val="EL"/>
    <w:basedOn w:val="P0"/>
    <w:uiPriority w:val="99"/>
    <w:rsid w:val="001858DB"/>
    <w:pPr>
      <w:spacing w:after="240"/>
      <w:ind w:firstLine="1418"/>
    </w:pPr>
  </w:style>
  <w:style w:type="paragraph" w:customStyle="1" w:styleId="IN">
    <w:name w:val="IN"/>
    <w:basedOn w:val="P0"/>
    <w:uiPriority w:val="99"/>
    <w:rsid w:val="001858DB"/>
    <w:pPr>
      <w:ind w:left="0"/>
      <w:jc w:val="left"/>
    </w:pPr>
    <w:rPr>
      <w:i/>
      <w:iCs/>
      <w:sz w:val="16"/>
      <w:szCs w:val="16"/>
    </w:rPr>
  </w:style>
  <w:style w:type="paragraph" w:customStyle="1" w:styleId="RE">
    <w:name w:val="RE"/>
    <w:basedOn w:val="P0"/>
    <w:uiPriority w:val="99"/>
    <w:rsid w:val="001858DB"/>
    <w:pPr>
      <w:ind w:left="0"/>
    </w:pPr>
  </w:style>
  <w:style w:type="paragraph" w:customStyle="1" w:styleId="PE">
    <w:name w:val="PE"/>
    <w:basedOn w:val="IN"/>
    <w:uiPriority w:val="99"/>
    <w:rsid w:val="001858DB"/>
    <w:pPr>
      <w:keepNext/>
      <w:ind w:left="1701"/>
      <w:jc w:val="both"/>
    </w:pPr>
    <w:rPr>
      <w:i w:val="0"/>
      <w:iCs w:val="0"/>
      <w:sz w:val="24"/>
      <w:szCs w:val="24"/>
    </w:rPr>
  </w:style>
  <w:style w:type="paragraph" w:customStyle="1" w:styleId="PC">
    <w:name w:val="PC"/>
    <w:basedOn w:val="IN"/>
    <w:uiPriority w:val="99"/>
    <w:rsid w:val="001858DB"/>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1858DB"/>
    <w:pPr>
      <w:spacing w:before="720" w:after="720"/>
      <w:ind w:left="5103"/>
    </w:pPr>
    <w:rPr>
      <w:i w:val="0"/>
      <w:iCs w:val="0"/>
      <w:caps/>
      <w:sz w:val="24"/>
      <w:szCs w:val="24"/>
      <w:u w:val="single"/>
    </w:rPr>
  </w:style>
  <w:style w:type="paragraph" w:customStyle="1" w:styleId="Style">
    <w:name w:val="Style"/>
    <w:basedOn w:val="Normal"/>
    <w:uiPriority w:val="99"/>
    <w:rsid w:val="001004C4"/>
    <w:pPr>
      <w:spacing w:after="160" w:line="240" w:lineRule="exact"/>
    </w:pPr>
    <w:rPr>
      <w:rFonts w:ascii="Tahoma" w:hAnsi="Tahoma" w:cs="Tahoma"/>
      <w:lang w:val="en-US" w:eastAsia="en-US"/>
    </w:rPr>
  </w:style>
  <w:style w:type="paragraph" w:customStyle="1" w:styleId="ps0">
    <w:name w:val="ps"/>
    <w:basedOn w:val="Normal"/>
    <w:uiPriority w:val="99"/>
    <w:rsid w:val="000341BC"/>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E11DD6"/>
    <w:rPr>
      <w:rFonts w:cs="Times New Roman"/>
      <w:sz w:val="24"/>
      <w:szCs w:val="24"/>
      <w:lang w:val="fr-FR" w:eastAsia="fr-FR"/>
    </w:rPr>
  </w:style>
  <w:style w:type="paragraph" w:styleId="BalloonText">
    <w:name w:val="Balloon Text"/>
    <w:basedOn w:val="Normal"/>
    <w:link w:val="BalloonTextChar"/>
    <w:uiPriority w:val="99"/>
    <w:semiHidden/>
    <w:rsid w:val="001A79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1515"/>
    <w:rPr>
      <w:rFonts w:cs="Times New Roman"/>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8</TotalTime>
  <Pages>7</Pages>
  <Words>1545</Words>
  <Characters>8503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2010-11-26T10:18:00Z</cp:lastPrinted>
  <dcterms:created xsi:type="dcterms:W3CDTF">2010-12-20T15:49:00Z</dcterms:created>
  <dcterms:modified xsi:type="dcterms:W3CDTF">2011-01-06T16:52:00Z</dcterms:modified>
</cp:coreProperties>
</file>