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8B" w:rsidRDefault="00E0258B">
      <w:pPr>
        <w:pStyle w:val="ET"/>
      </w:pPr>
      <w:r>
        <w:t>COUR DES COMPTES</w:t>
      </w:r>
    </w:p>
    <w:p w:rsidR="00E0258B" w:rsidRDefault="00E0258B" w:rsidP="006A2E0D">
      <w:pPr>
        <w:pStyle w:val="ET"/>
        <w:ind w:left="993"/>
      </w:pPr>
      <w:r>
        <w:t>------</w:t>
      </w:r>
    </w:p>
    <w:p w:rsidR="00E0258B" w:rsidRDefault="00E0258B">
      <w:pPr>
        <w:pStyle w:val="ET"/>
      </w:pPr>
      <w:r>
        <w:t>QUATRIEME CHAMBRE</w:t>
      </w:r>
    </w:p>
    <w:p w:rsidR="00E0258B" w:rsidRDefault="00E0258B" w:rsidP="006A2E0D">
      <w:pPr>
        <w:pStyle w:val="ET"/>
        <w:ind w:left="993"/>
      </w:pPr>
      <w:r>
        <w:t>------</w:t>
      </w:r>
    </w:p>
    <w:p w:rsidR="00E0258B" w:rsidRDefault="00E0258B">
      <w:pPr>
        <w:pStyle w:val="ET"/>
      </w:pPr>
      <w:r>
        <w:t>PREMIERE SECTION</w:t>
      </w:r>
    </w:p>
    <w:p w:rsidR="00E0258B" w:rsidRDefault="00E0258B" w:rsidP="006A2E0D">
      <w:pPr>
        <w:pStyle w:val="ET"/>
        <w:ind w:left="993"/>
      </w:pPr>
      <w:r>
        <w:t>------</w:t>
      </w:r>
    </w:p>
    <w:p w:rsidR="00E0258B" w:rsidRPr="006A2E0D" w:rsidRDefault="00E0258B" w:rsidP="006A2E0D">
      <w:pPr>
        <w:pStyle w:val="Header"/>
        <w:ind w:left="426"/>
        <w:rPr>
          <w:b/>
          <w:bCs/>
          <w:i/>
          <w:iCs/>
        </w:rPr>
      </w:pPr>
      <w:r>
        <w:fldChar w:fldCharType="begin"/>
      </w:r>
      <w:r>
        <w:fldChar w:fldCharType="end"/>
      </w:r>
      <w:r>
        <w:rPr>
          <w:b/>
          <w:bCs/>
          <w:i/>
          <w:iCs/>
        </w:rPr>
        <w:t>Arrêt n° 59679</w:t>
      </w:r>
    </w:p>
    <w:p w:rsidR="00E0258B" w:rsidRDefault="00E0258B" w:rsidP="006A2E0D">
      <w:pPr>
        <w:pStyle w:val="OR"/>
      </w:pPr>
    </w:p>
    <w:p w:rsidR="00E0258B" w:rsidRDefault="00E0258B" w:rsidP="006A2E0D">
      <w:pPr>
        <w:pStyle w:val="OR"/>
      </w:pPr>
      <w:r w:rsidRPr="006A2E0D">
        <w:t>CENTRE HOSPITALIER DE PAIMPOL (COTES D’ARMOR)</w:t>
      </w:r>
    </w:p>
    <w:p w:rsidR="00E0258B" w:rsidRPr="006A2E0D" w:rsidRDefault="00E0258B" w:rsidP="006A2E0D">
      <w:pPr>
        <w:pStyle w:val="OR"/>
      </w:pPr>
    </w:p>
    <w:p w:rsidR="00E0258B" w:rsidRDefault="00E0258B" w:rsidP="006A2E0D">
      <w:pPr>
        <w:pStyle w:val="OR"/>
      </w:pPr>
      <w:r w:rsidRPr="006A2E0D">
        <w:t>Appel d’un jugement de la chambre régionale des comptes de Bretagne</w:t>
      </w:r>
    </w:p>
    <w:p w:rsidR="00E0258B" w:rsidRPr="006A2E0D" w:rsidRDefault="00E0258B" w:rsidP="006A2E0D">
      <w:pPr>
        <w:pStyle w:val="OR"/>
      </w:pPr>
    </w:p>
    <w:p w:rsidR="00E0258B" w:rsidRDefault="00E0258B" w:rsidP="006A2E0D">
      <w:pPr>
        <w:pStyle w:val="OR"/>
      </w:pPr>
      <w:r w:rsidRPr="006A2E0D">
        <w:t>Rapport n°</w:t>
      </w:r>
      <w:r>
        <w:t> </w:t>
      </w:r>
      <w:r w:rsidRPr="006A2E0D">
        <w:t>2010-679-0</w:t>
      </w:r>
    </w:p>
    <w:p w:rsidR="00E0258B" w:rsidRPr="006A2E0D" w:rsidRDefault="00E0258B" w:rsidP="006A2E0D">
      <w:pPr>
        <w:pStyle w:val="OR"/>
      </w:pPr>
    </w:p>
    <w:p w:rsidR="00E0258B" w:rsidRDefault="00E0258B" w:rsidP="006A2E0D">
      <w:pPr>
        <w:pStyle w:val="OR"/>
      </w:pPr>
      <w:r w:rsidRPr="006A2E0D">
        <w:t>Audience du 28 octobre 2010</w:t>
      </w:r>
    </w:p>
    <w:p w:rsidR="00E0258B" w:rsidRPr="006A2E0D" w:rsidRDefault="00E0258B" w:rsidP="006A2E0D">
      <w:pPr>
        <w:pStyle w:val="OR"/>
      </w:pPr>
    </w:p>
    <w:p w:rsidR="00E0258B" w:rsidRPr="006A2E0D" w:rsidRDefault="00E0258B" w:rsidP="006A2E0D">
      <w:pPr>
        <w:pStyle w:val="OR"/>
      </w:pPr>
      <w:r w:rsidRPr="006A2E0D">
        <w:t xml:space="preserve">Lecture du </w:t>
      </w:r>
      <w:r>
        <w:t>16</w:t>
      </w:r>
      <w:r w:rsidRPr="006A2E0D">
        <w:t xml:space="preserve"> décembre 2010</w:t>
      </w:r>
    </w:p>
    <w:p w:rsidR="00E0258B" w:rsidRDefault="00E0258B" w:rsidP="006A2E0D">
      <w:pPr>
        <w:pStyle w:val="PS"/>
      </w:pPr>
    </w:p>
    <w:p w:rsidR="00E0258B" w:rsidRDefault="00E0258B" w:rsidP="006A2E0D">
      <w:pPr>
        <w:pStyle w:val="PS"/>
      </w:pPr>
      <w:r>
        <w:t>LA COUR DES COMPTES a rendu l’arrêt suivant :</w:t>
      </w:r>
    </w:p>
    <w:p w:rsidR="00E0258B" w:rsidRPr="00B82C1D" w:rsidRDefault="00E0258B" w:rsidP="006A2E0D">
      <w:pPr>
        <w:pStyle w:val="PS"/>
      </w:pPr>
      <w:r>
        <w:t>L</w:t>
      </w:r>
      <w:r w:rsidRPr="00B82C1D">
        <w:t>A COUR,</w:t>
      </w:r>
    </w:p>
    <w:p w:rsidR="00E0258B" w:rsidRDefault="00E0258B" w:rsidP="006A2E0D">
      <w:pPr>
        <w:pStyle w:val="PS"/>
      </w:pPr>
      <w:r w:rsidRPr="00B82C1D">
        <w:t>Vu la requête</w:t>
      </w:r>
      <w:r>
        <w:t>,</w:t>
      </w:r>
      <w:r w:rsidRPr="00B82C1D">
        <w:t xml:space="preserve"> enregistrée le </w:t>
      </w:r>
      <w:r>
        <w:t>1</w:t>
      </w:r>
      <w:r w:rsidRPr="0064212B">
        <w:rPr>
          <w:vertAlign w:val="superscript"/>
        </w:rPr>
        <w:t>er</w:t>
      </w:r>
      <w:r>
        <w:t xml:space="preserve"> octobre 2009 </w:t>
      </w:r>
      <w:r w:rsidRPr="00B82C1D">
        <w:t xml:space="preserve">au greffe de la chambre </w:t>
      </w:r>
      <w:r w:rsidRPr="00CE299A">
        <w:t>régionale</w:t>
      </w:r>
      <w:r w:rsidRPr="00B82C1D">
        <w:t xml:space="preserve"> des comptes d</w:t>
      </w:r>
      <w:r>
        <w:t>e Bretagne</w:t>
      </w:r>
      <w:r w:rsidRPr="00B82C1D">
        <w:t xml:space="preserve">, par laquelle </w:t>
      </w:r>
      <w:r>
        <w:t>M</w:t>
      </w:r>
      <w:r w:rsidRPr="00AF0E11">
        <w:rPr>
          <w:vertAlign w:val="superscript"/>
        </w:rPr>
        <w:t>me</w:t>
      </w:r>
      <w:r>
        <w:t xml:space="preserve"> X</w:t>
      </w:r>
      <w:r w:rsidRPr="00B82C1D">
        <w:t>, comptable d</w:t>
      </w:r>
      <w:r>
        <w:t>u CENTRE HOSPITALIER DE PAIMPOL, à compter du 1</w:t>
      </w:r>
      <w:r w:rsidRPr="00681E2E">
        <w:rPr>
          <w:vertAlign w:val="superscript"/>
        </w:rPr>
        <w:t>er</w:t>
      </w:r>
      <w:r>
        <w:t xml:space="preserve"> septembre 2005, </w:t>
      </w:r>
      <w:r w:rsidRPr="00B82C1D">
        <w:t xml:space="preserve">a élevé appel du jugement du </w:t>
      </w:r>
      <w:r>
        <w:t>7 juillet 2009</w:t>
      </w:r>
      <w:r w:rsidRPr="00B82C1D">
        <w:t xml:space="preserve"> </w:t>
      </w:r>
      <w:r>
        <w:t>par lequel</w:t>
      </w:r>
      <w:r w:rsidRPr="00B82C1D">
        <w:t xml:space="preserve"> ladite chambre l’a </w:t>
      </w:r>
      <w:r>
        <w:t>constituée débitrice de cet établissement public pour un montant total de 26 195,40 € majoré des intérêts de droit au titre de l’exercice 2006 ;</w:t>
      </w:r>
    </w:p>
    <w:p w:rsidR="00E0258B" w:rsidRPr="00B82C1D" w:rsidRDefault="00E0258B" w:rsidP="006A2E0D">
      <w:pPr>
        <w:pStyle w:val="PS"/>
      </w:pPr>
      <w:r>
        <w:t>Vu les avis de réception faisant preuve de la notification de ladite requête à toutes les parties désignées dans ledit jugement ;</w:t>
      </w:r>
    </w:p>
    <w:p w:rsidR="00E0258B" w:rsidRDefault="00E0258B" w:rsidP="006A2E0D">
      <w:pPr>
        <w:pStyle w:val="PS"/>
      </w:pPr>
      <w:r w:rsidRPr="00497A94">
        <w:t xml:space="preserve">Vu le réquisitoire </w:t>
      </w:r>
      <w:r>
        <w:t xml:space="preserve">n° 2009-98 </w:t>
      </w:r>
      <w:r w:rsidRPr="00497A94">
        <w:t xml:space="preserve">du </w:t>
      </w:r>
      <w:r>
        <w:t>pr</w:t>
      </w:r>
      <w:r w:rsidRPr="00497A94">
        <w:t xml:space="preserve">ocureur général, du </w:t>
      </w:r>
      <w:r>
        <w:t>26 novembre 2009, transmettant la requête précitée ;</w:t>
      </w:r>
    </w:p>
    <w:p w:rsidR="00E0258B" w:rsidRDefault="00E0258B" w:rsidP="006A2E0D">
      <w:pPr>
        <w:pStyle w:val="PS"/>
      </w:pPr>
      <w:r w:rsidRPr="00B82C1D">
        <w:t>Vu les pièces de la procédure suivie en première instance</w:t>
      </w:r>
      <w:r>
        <w:t>, ensemble le jugement provisoire du 7 octobre 2008 et le jugement définitif du 7 juillet 2009 dont il est élevé appel ;</w:t>
      </w:r>
    </w:p>
    <w:p w:rsidR="00E0258B" w:rsidRDefault="00E0258B" w:rsidP="006A2E0D">
      <w:pPr>
        <w:pStyle w:val="PS"/>
      </w:pPr>
      <w:r w:rsidRPr="00B82C1D">
        <w:t>Vu le code des juridictions financières</w:t>
      </w:r>
      <w:r>
        <w:t xml:space="preserve"> ; </w:t>
      </w:r>
    </w:p>
    <w:p w:rsidR="00E0258B" w:rsidRDefault="00E0258B" w:rsidP="006A2E0D">
      <w:pPr>
        <w:pStyle w:val="IN"/>
      </w:pPr>
    </w:p>
    <w:p w:rsidR="00E0258B" w:rsidRDefault="00E0258B" w:rsidP="006A2E0D">
      <w:pPr>
        <w:pStyle w:val="IN"/>
      </w:pPr>
    </w:p>
    <w:p w:rsidR="00E0258B" w:rsidRDefault="00E0258B" w:rsidP="006A2E0D">
      <w:pPr>
        <w:pStyle w:val="P0"/>
        <w:sectPr w:rsidR="00E0258B">
          <w:pgSz w:w="11907" w:h="16840"/>
          <w:pgMar w:top="1134" w:right="1134" w:bottom="1134" w:left="567" w:header="720" w:footer="720" w:gutter="0"/>
          <w:cols w:space="720"/>
        </w:sectPr>
      </w:pPr>
    </w:p>
    <w:p w:rsidR="00E0258B" w:rsidRDefault="00E0258B" w:rsidP="00D32212">
      <w:pPr>
        <w:pStyle w:val="PS"/>
      </w:pPr>
      <w:r>
        <w:t>Vu l’article 60 de la loi de finances n° 63-156 du 23 février 1963 modifiée ;</w:t>
      </w:r>
    </w:p>
    <w:p w:rsidR="00E0258B" w:rsidRDefault="00E0258B" w:rsidP="00D32212">
      <w:pPr>
        <w:pStyle w:val="PS"/>
      </w:pPr>
      <w:r>
        <w:t>Vu le décret n° 62-1587 du 29 décembre 1962 portant règlement général sur la comptabilité publique ;</w:t>
      </w:r>
    </w:p>
    <w:p w:rsidR="00E0258B" w:rsidRPr="00B82C1D" w:rsidRDefault="00E0258B" w:rsidP="00D32212">
      <w:pPr>
        <w:pStyle w:val="PS"/>
      </w:pPr>
      <w:r>
        <w:t>Vu</w:t>
      </w:r>
      <w:r w:rsidRPr="00B82C1D">
        <w:t xml:space="preserve"> le rapport de M.</w:t>
      </w:r>
      <w:r>
        <w:t xml:space="preserve"> Jean-Pierre Lafaure, conseiller maître</w:t>
      </w:r>
      <w:r w:rsidRPr="003A6C24">
        <w:t xml:space="preserve"> </w:t>
      </w:r>
      <w:r w:rsidRPr="00B82C1D">
        <w:t>;</w:t>
      </w:r>
    </w:p>
    <w:p w:rsidR="00E0258B" w:rsidRPr="00B82C1D" w:rsidRDefault="00E0258B" w:rsidP="00D32212">
      <w:pPr>
        <w:pStyle w:val="PS"/>
      </w:pPr>
      <w:r w:rsidRPr="00B82C1D">
        <w:t xml:space="preserve">Vu les conclusions </w:t>
      </w:r>
      <w:r>
        <w:t xml:space="preserve">n° 703 </w:t>
      </w:r>
      <w:r w:rsidRPr="00B82C1D">
        <w:t xml:space="preserve">du </w:t>
      </w:r>
      <w:r>
        <w:t>P</w:t>
      </w:r>
      <w:r w:rsidRPr="00B82C1D">
        <w:t>rocureur général</w:t>
      </w:r>
      <w:r>
        <w:t xml:space="preserve"> du 6 octobre 2010 </w:t>
      </w:r>
      <w:r w:rsidRPr="00B82C1D">
        <w:t>;</w:t>
      </w:r>
    </w:p>
    <w:p w:rsidR="00E0258B" w:rsidRPr="00681DA2" w:rsidRDefault="00E0258B" w:rsidP="00D32212">
      <w:pPr>
        <w:pStyle w:val="PS"/>
      </w:pPr>
      <w:r w:rsidRPr="00B82C1D">
        <w:t xml:space="preserve">Entendu, lors de l’audience de ce jour, </w:t>
      </w:r>
      <w:r>
        <w:t>M. Lafaure,</w:t>
      </w:r>
      <w:r w:rsidRPr="00B82C1D">
        <w:t xml:space="preserve"> </w:t>
      </w:r>
      <w:r>
        <w:t>rapporteur</w:t>
      </w:r>
      <w:r w:rsidRPr="00B82C1D">
        <w:t>, M</w:t>
      </w:r>
      <w:r>
        <w:t>. Christian Michaut</w:t>
      </w:r>
      <w:r w:rsidRPr="00B82C1D">
        <w:t>, avocat général, l’appelant</w:t>
      </w:r>
      <w:r>
        <w:t>e</w:t>
      </w:r>
      <w:r w:rsidRPr="00B82C1D">
        <w:t>, informé</w:t>
      </w:r>
      <w:r>
        <w:t>e</w:t>
      </w:r>
      <w:r w:rsidRPr="00B82C1D">
        <w:t xml:space="preserve"> de l’audience,</w:t>
      </w:r>
      <w:r w:rsidRPr="00180E4F">
        <w:t xml:space="preserve"> </w:t>
      </w:r>
      <w:r w:rsidRPr="00681DA2">
        <w:t>n’étant pas</w:t>
      </w:r>
      <w:r>
        <w:t xml:space="preserve"> </w:t>
      </w:r>
      <w:r w:rsidRPr="00681DA2">
        <w:t>présent</w:t>
      </w:r>
      <w:r>
        <w:t>e</w:t>
      </w:r>
      <w:r w:rsidRPr="00681DA2">
        <w:t> ;</w:t>
      </w:r>
    </w:p>
    <w:p w:rsidR="00E0258B" w:rsidRPr="00B82C1D" w:rsidRDefault="00E0258B" w:rsidP="00D32212">
      <w:pPr>
        <w:pStyle w:val="PS"/>
      </w:pPr>
      <w:r>
        <w:t>Après avoir e</w:t>
      </w:r>
      <w:r w:rsidRPr="00B82C1D">
        <w:t xml:space="preserve">ntendu, </w:t>
      </w:r>
      <w:r>
        <w:t>en délibéré</w:t>
      </w:r>
      <w:r w:rsidRPr="00B82C1D">
        <w:t>,</w:t>
      </w:r>
      <w:r>
        <w:t xml:space="preserve"> </w:t>
      </w:r>
      <w:r w:rsidRPr="00B82C1D">
        <w:t>M</w:t>
      </w:r>
      <w:r>
        <w:t>. Martin, conseiller maître, réviseur, en ses observations</w:t>
      </w:r>
      <w:r w:rsidRPr="00B82C1D">
        <w:t> ;</w:t>
      </w:r>
    </w:p>
    <w:p w:rsidR="00E0258B" w:rsidRPr="00111613" w:rsidRDefault="00E0258B" w:rsidP="00D32212">
      <w:pPr>
        <w:pStyle w:val="PS"/>
        <w:rPr>
          <w:b/>
          <w:bCs/>
          <w:u w:val="single"/>
        </w:rPr>
      </w:pPr>
      <w:r w:rsidRPr="00111613">
        <w:rPr>
          <w:b/>
          <w:bCs/>
          <w:u w:val="single"/>
        </w:rPr>
        <w:t>Sur la recevabilité de l’appel</w:t>
      </w:r>
    </w:p>
    <w:p w:rsidR="00E0258B" w:rsidRDefault="00E0258B" w:rsidP="00D32212">
      <w:pPr>
        <w:pStyle w:val="PS"/>
      </w:pPr>
      <w:r>
        <w:t>Attendu que M</w:t>
      </w:r>
      <w:r w:rsidRPr="00AF0E11">
        <w:rPr>
          <w:vertAlign w:val="superscript"/>
        </w:rPr>
        <w:t>me</w:t>
      </w:r>
      <w:r>
        <w:t xml:space="preserve"> X, constituée en débet par le jugement définitif susvisé du 7 juillet 2009, a qualité et intérêt à élever appel ;</w:t>
      </w:r>
    </w:p>
    <w:p w:rsidR="00E0258B" w:rsidRDefault="00E0258B" w:rsidP="00D32212">
      <w:pPr>
        <w:pStyle w:val="PS"/>
      </w:pPr>
      <w:r>
        <w:t xml:space="preserve">Attendu qu’il résulte des articles R. 243-5 et R. 243-6 du code des juridictions financières que l’appel doit être formé dans le délai de deux mois à compter de la notification du jugement ; que la date à prendre en compte pour apprécier si le délai de deux mois a été respecté est celle de l’enregistrement de la requête au greffe de la chambre régionale ; </w:t>
      </w:r>
    </w:p>
    <w:p w:rsidR="00E0258B" w:rsidRDefault="00E0258B" w:rsidP="00D32212">
      <w:pPr>
        <w:pStyle w:val="PS"/>
      </w:pPr>
      <w:r>
        <w:t>Attendu que le jugement dont il est fait appel a été notifié à M</w:t>
      </w:r>
      <w:r w:rsidRPr="00AF0E11">
        <w:rPr>
          <w:vertAlign w:val="superscript"/>
        </w:rPr>
        <w:t>me</w:t>
      </w:r>
      <w:r>
        <w:t xml:space="preserve"> X le 29 juillet 2009 ; que la requête en appel présentée par celle-ci a été reçue et enregistrée au greffe de la chambre régionale le jeudi 1</w:t>
      </w:r>
      <w:r w:rsidRPr="00AF0E11">
        <w:rPr>
          <w:vertAlign w:val="superscript"/>
        </w:rPr>
        <w:t>er</w:t>
      </w:r>
      <w:r>
        <w:t xml:space="preserve"> octobre 2009 ;</w:t>
      </w:r>
    </w:p>
    <w:p w:rsidR="00E0258B" w:rsidRDefault="00E0258B" w:rsidP="00D32212">
      <w:pPr>
        <w:pStyle w:val="PS"/>
      </w:pPr>
      <w:r>
        <w:t>Attendu que les délais se calculent selon la règle du jour franc ;</w:t>
      </w:r>
    </w:p>
    <w:p w:rsidR="00E0258B" w:rsidRDefault="00E0258B" w:rsidP="006A2E0D">
      <w:pPr>
        <w:pStyle w:val="PS"/>
      </w:pPr>
      <w:r>
        <w:t>Considérant qu’en l’espèce le délai franc de deux mois a commencé à courir le lendemain de la notification du jugement au comptable, soit le 30 juillet 2009, et est arrivé à expiration le 30 septembre 2009, jour ouvrable ; que la requête ayant été postée à Lisieux le 28 septembre 2009, l’acheminement et la distribution du courrier n’ont pas fait apparaître de retard anormal et imprévisible ; que l’enregistrement de la requête au greffe de la chambre régionale est intervenu le jour même de la présentation du courrier ; qu’en conséquence, faute d’avoir été formé dans le délai règlementaire de deux mois fixé par code des juridictions financières, la requête en appel doit être déclarée irrecevable ;</w:t>
      </w:r>
    </w:p>
    <w:p w:rsidR="00E0258B" w:rsidRPr="00B706D9" w:rsidRDefault="00E0258B" w:rsidP="006A2E0D">
      <w:pPr>
        <w:pStyle w:val="PS"/>
      </w:pPr>
      <w:r>
        <w:br w:type="page"/>
      </w:r>
      <w:r w:rsidRPr="00B706D9">
        <w:t>Par ces motifs,</w:t>
      </w:r>
    </w:p>
    <w:p w:rsidR="00E0258B" w:rsidRPr="00B706D9" w:rsidRDefault="00E0258B" w:rsidP="0058797C">
      <w:pPr>
        <w:pStyle w:val="PS"/>
        <w:ind w:firstLine="0"/>
        <w:jc w:val="center"/>
      </w:pPr>
      <w:r w:rsidRPr="00B706D9">
        <w:t>STATUANT DEFINITIVEMENT,</w:t>
      </w:r>
    </w:p>
    <w:p w:rsidR="00E0258B" w:rsidRPr="00B706D9" w:rsidRDefault="00E0258B" w:rsidP="006A2E0D">
      <w:pPr>
        <w:pStyle w:val="PS"/>
      </w:pPr>
      <w:r w:rsidRPr="00B706D9">
        <w:t>DECLARE l’appel irrecevable.</w:t>
      </w:r>
    </w:p>
    <w:p w:rsidR="00E0258B" w:rsidRPr="00660A6D" w:rsidRDefault="00E0258B" w:rsidP="0058797C">
      <w:pPr>
        <w:pStyle w:val="PS"/>
        <w:ind w:firstLine="0"/>
        <w:jc w:val="center"/>
      </w:pPr>
      <w:r w:rsidRPr="00660A6D">
        <w:t>------------</w:t>
      </w:r>
    </w:p>
    <w:p w:rsidR="00E0258B" w:rsidRDefault="00E0258B" w:rsidP="00383D8D">
      <w:pPr>
        <w:pStyle w:val="PS"/>
      </w:pPr>
      <w:r w:rsidRPr="00660A6D">
        <w:t>Fait et jugé en la Cour des comptes, quatrième chambre, première section</w:t>
      </w:r>
      <w:r>
        <w:t>, le vingt-huit octobre deux mil dix</w:t>
      </w:r>
      <w:r w:rsidRPr="00660A6D">
        <w:t>.</w:t>
      </w:r>
      <w:r>
        <w:t xml:space="preserve"> </w:t>
      </w:r>
      <w:r w:rsidRPr="00660A6D">
        <w:t>Présents</w:t>
      </w:r>
      <w:r>
        <w:t> :</w:t>
      </w:r>
      <w:r w:rsidRPr="00660A6D">
        <w:t xml:space="preserve"> M</w:t>
      </w:r>
      <w:r>
        <w:t>. Pichon</w:t>
      </w:r>
      <w:r w:rsidRPr="00660A6D">
        <w:t>, président</w:t>
      </w:r>
      <w:r>
        <w:t>, Mme Cornette, présidente de chambre maintenue en qualité de conseiller maître, MM. Thérond, Bernicot, Vermeulen, Martin, M</w:t>
      </w:r>
      <w:r w:rsidRPr="00AF0E11">
        <w:rPr>
          <w:vertAlign w:val="superscript"/>
        </w:rPr>
        <w:t>mes</w:t>
      </w:r>
      <w:r>
        <w:t xml:space="preserve"> Gadriot-Renard, Démier, MM. Léna, Geoffroy, </w:t>
      </w:r>
      <w:r w:rsidRPr="00660A6D">
        <w:t>conseille</w:t>
      </w:r>
      <w:r>
        <w:t>rs maîtres</w:t>
      </w:r>
      <w:r w:rsidRPr="00660A6D">
        <w:t>.</w:t>
      </w:r>
    </w:p>
    <w:p w:rsidR="00E0258B" w:rsidRDefault="00E0258B" w:rsidP="003503F7">
      <w:pPr>
        <w:pStyle w:val="PS"/>
      </w:pPr>
      <w:r>
        <w:t>Signé : Pichon, président, et Reynaud, greffier.</w:t>
      </w:r>
    </w:p>
    <w:p w:rsidR="00E0258B" w:rsidRDefault="00E0258B" w:rsidP="003503F7">
      <w:pPr>
        <w:pStyle w:val="PS"/>
      </w:pPr>
      <w:r w:rsidRPr="004A65A9">
        <w:t>Collationné, certifié conforme à la minute étant au greffe de la Cour des comptes et délivré par moi, secrétai</w:t>
      </w:r>
      <w:r>
        <w:t>re générale.</w:t>
      </w:r>
    </w:p>
    <w:p w:rsidR="00E0258B" w:rsidRPr="006B6AEC" w:rsidRDefault="00E0258B" w:rsidP="004E4884">
      <w:pPr>
        <w:pStyle w:val="PS"/>
        <w:spacing w:after="0"/>
        <w:ind w:left="6237" w:firstLine="0"/>
        <w:jc w:val="center"/>
        <w:rPr>
          <w:b/>
          <w:bCs/>
        </w:rPr>
      </w:pPr>
      <w:r w:rsidRPr="006B6AEC">
        <w:rPr>
          <w:b/>
          <w:bCs/>
        </w:rPr>
        <w:t>Pour la Secrétaire générale</w:t>
      </w:r>
    </w:p>
    <w:p w:rsidR="00E0258B" w:rsidRPr="006B6AEC" w:rsidRDefault="00E0258B" w:rsidP="004E4884">
      <w:pPr>
        <w:pStyle w:val="PS"/>
        <w:spacing w:after="0"/>
        <w:ind w:left="6237" w:firstLine="0"/>
        <w:jc w:val="center"/>
        <w:rPr>
          <w:b/>
          <w:bCs/>
        </w:rPr>
      </w:pPr>
      <w:r w:rsidRPr="006B6AEC">
        <w:rPr>
          <w:b/>
          <w:bCs/>
        </w:rPr>
        <w:t>et par délégation,</w:t>
      </w:r>
    </w:p>
    <w:p w:rsidR="00E0258B" w:rsidRPr="006B6AEC" w:rsidRDefault="00E0258B" w:rsidP="004E4884">
      <w:pPr>
        <w:pStyle w:val="PS"/>
        <w:ind w:left="6237" w:firstLine="0"/>
        <w:jc w:val="center"/>
        <w:rPr>
          <w:b/>
          <w:bCs/>
        </w:rPr>
      </w:pPr>
      <w:r w:rsidRPr="006B6AEC">
        <w:rPr>
          <w:b/>
          <w:bCs/>
        </w:rPr>
        <w:t>le Chef du greffe contentieux</w:t>
      </w:r>
    </w:p>
    <w:p w:rsidR="00E0258B" w:rsidRPr="006B6AEC" w:rsidRDefault="00E0258B" w:rsidP="004E4884">
      <w:pPr>
        <w:pStyle w:val="PS"/>
        <w:ind w:left="6237" w:firstLine="0"/>
        <w:jc w:val="center"/>
        <w:rPr>
          <w:b/>
          <w:bCs/>
        </w:rPr>
      </w:pPr>
    </w:p>
    <w:p w:rsidR="00E0258B" w:rsidRPr="006B6AEC" w:rsidRDefault="00E0258B" w:rsidP="004E4884">
      <w:pPr>
        <w:pStyle w:val="PS"/>
        <w:ind w:left="6237" w:firstLine="0"/>
        <w:jc w:val="center"/>
        <w:rPr>
          <w:b/>
          <w:bCs/>
        </w:rPr>
      </w:pPr>
    </w:p>
    <w:p w:rsidR="00E0258B" w:rsidRPr="006B6AEC" w:rsidRDefault="00E0258B" w:rsidP="004E4884">
      <w:pPr>
        <w:pStyle w:val="PS"/>
        <w:ind w:left="6237" w:firstLine="0"/>
        <w:jc w:val="center"/>
      </w:pPr>
      <w:r w:rsidRPr="006B6AEC">
        <w:rPr>
          <w:b/>
          <w:bCs/>
        </w:rPr>
        <w:t>Daniel FEREZ</w:t>
      </w:r>
    </w:p>
    <w:sectPr w:rsidR="00E0258B" w:rsidRPr="006B6AEC" w:rsidSect="00DA13E8">
      <w:headerReference w:type="default" r:id="rId6"/>
      <w:pgSz w:w="11906" w:h="16838"/>
      <w:pgMar w:top="1701" w:right="1134" w:bottom="1134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58B" w:rsidRDefault="00E0258B">
      <w:r>
        <w:separator/>
      </w:r>
    </w:p>
  </w:endnote>
  <w:endnote w:type="continuationSeparator" w:id="0">
    <w:p w:rsidR="00E0258B" w:rsidRDefault="00E02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58B" w:rsidRDefault="00E0258B">
      <w:r>
        <w:separator/>
      </w:r>
    </w:p>
  </w:footnote>
  <w:footnote w:type="continuationSeparator" w:id="0">
    <w:p w:rsidR="00E0258B" w:rsidRDefault="00E025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58B" w:rsidRDefault="00E0258B" w:rsidP="00D32212">
    <w:pPr>
      <w:pStyle w:val="Header"/>
      <w:spacing w:after="48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46D06"/>
    <w:rsid w:val="00071EBA"/>
    <w:rsid w:val="00087500"/>
    <w:rsid w:val="000B0A7F"/>
    <w:rsid w:val="00111613"/>
    <w:rsid w:val="001254F6"/>
    <w:rsid w:val="00127536"/>
    <w:rsid w:val="00180E4F"/>
    <w:rsid w:val="00223771"/>
    <w:rsid w:val="002B0244"/>
    <w:rsid w:val="00301BFD"/>
    <w:rsid w:val="003116F4"/>
    <w:rsid w:val="003503F7"/>
    <w:rsid w:val="00383D8D"/>
    <w:rsid w:val="003A6C24"/>
    <w:rsid w:val="003E7680"/>
    <w:rsid w:val="00406D72"/>
    <w:rsid w:val="00497A94"/>
    <w:rsid w:val="004A65A9"/>
    <w:rsid w:val="004E28A1"/>
    <w:rsid w:val="004E4884"/>
    <w:rsid w:val="0058797C"/>
    <w:rsid w:val="005F15CB"/>
    <w:rsid w:val="0064212B"/>
    <w:rsid w:val="006553E4"/>
    <w:rsid w:val="00660A6D"/>
    <w:rsid w:val="00681DA2"/>
    <w:rsid w:val="00681E2E"/>
    <w:rsid w:val="006A2E0D"/>
    <w:rsid w:val="006B6AEC"/>
    <w:rsid w:val="006F314D"/>
    <w:rsid w:val="006F76A8"/>
    <w:rsid w:val="007B24B5"/>
    <w:rsid w:val="00850AD7"/>
    <w:rsid w:val="00912489"/>
    <w:rsid w:val="00A6478D"/>
    <w:rsid w:val="00AF0E11"/>
    <w:rsid w:val="00B706D9"/>
    <w:rsid w:val="00B82C1D"/>
    <w:rsid w:val="00CE299A"/>
    <w:rsid w:val="00D32212"/>
    <w:rsid w:val="00DA13E8"/>
    <w:rsid w:val="00DB766D"/>
    <w:rsid w:val="00E0258B"/>
    <w:rsid w:val="00E21806"/>
    <w:rsid w:val="00EE4B74"/>
    <w:rsid w:val="00F42B3A"/>
    <w:rsid w:val="00F6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locked="1" w:semiHidden="0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locked="1" w:semiHidden="0" w:uiPriority="0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F76A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F76A8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F76A8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6F76A8"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223771"/>
    <w:pPr>
      <w:keepNext/>
      <w:keepLines/>
      <w:tabs>
        <w:tab w:val="num" w:pos="879"/>
      </w:tabs>
      <w:spacing w:before="240" w:after="120"/>
      <w:ind w:left="879" w:hanging="879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223771"/>
    <w:pPr>
      <w:keepNext/>
      <w:keepLines/>
      <w:tabs>
        <w:tab w:val="num" w:pos="992"/>
      </w:tabs>
      <w:spacing w:before="240" w:after="120"/>
      <w:ind w:left="992" w:hanging="992"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6478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6478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6478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6478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6478D"/>
    <w:rPr>
      <w:rFonts w:ascii="Calibri" w:hAnsi="Calibri" w:cs="Calibr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6F76A8"/>
    <w:pPr>
      <w:ind w:left="708"/>
    </w:pPr>
  </w:style>
  <w:style w:type="paragraph" w:styleId="Header">
    <w:name w:val="header"/>
    <w:basedOn w:val="Normal"/>
    <w:link w:val="HeaderChar"/>
    <w:uiPriority w:val="99"/>
    <w:rsid w:val="006F76A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478D"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6F76A8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6F76A8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6F76A8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6F76A8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6F76A8"/>
    <w:pPr>
      <w:spacing w:after="240"/>
      <w:ind w:firstLine="1418"/>
    </w:pPr>
  </w:style>
  <w:style w:type="paragraph" w:customStyle="1" w:styleId="IN">
    <w:name w:val="IN"/>
    <w:basedOn w:val="P0"/>
    <w:uiPriority w:val="99"/>
    <w:rsid w:val="006F76A8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6F76A8"/>
    <w:pPr>
      <w:ind w:left="0"/>
    </w:pPr>
  </w:style>
  <w:style w:type="paragraph" w:customStyle="1" w:styleId="PE">
    <w:name w:val="PE"/>
    <w:basedOn w:val="IN"/>
    <w:uiPriority w:val="99"/>
    <w:rsid w:val="006F76A8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6F76A8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autoRedefine/>
    <w:uiPriority w:val="99"/>
    <w:rsid w:val="006F314D"/>
    <w:pPr>
      <w:spacing w:after="36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6F76A8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223771"/>
    <w:pPr>
      <w:spacing w:before="120" w:after="120"/>
      <w:ind w:firstLine="70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6478D"/>
    <w:rPr>
      <w:rFonts w:cs="Times New Roman"/>
      <w:sz w:val="20"/>
      <w:szCs w:val="20"/>
    </w:rPr>
  </w:style>
  <w:style w:type="paragraph" w:customStyle="1" w:styleId="Style">
    <w:name w:val="Style"/>
    <w:basedOn w:val="Normal"/>
    <w:uiPriority w:val="99"/>
    <w:rsid w:val="00223771"/>
    <w:pPr>
      <w:spacing w:after="160" w:line="240" w:lineRule="exact"/>
    </w:pPr>
    <w:rPr>
      <w:rFonts w:ascii="Tahoma" w:hAnsi="Tahoma" w:cs="Tahoma"/>
      <w:lang w:val="en-US" w:eastAsia="en-US"/>
    </w:rPr>
  </w:style>
  <w:style w:type="character" w:customStyle="1" w:styleId="PSCar">
    <w:name w:val="PS Car"/>
    <w:basedOn w:val="DefaultParagraphFont"/>
    <w:link w:val="PS"/>
    <w:uiPriority w:val="99"/>
    <w:locked/>
    <w:rsid w:val="00223771"/>
    <w:rPr>
      <w:rFonts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D322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478D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D32212"/>
    <w:rPr>
      <w:rFonts w:cs="Times New Roman"/>
    </w:rPr>
  </w:style>
  <w:style w:type="paragraph" w:customStyle="1" w:styleId="CarCar1">
    <w:name w:val="Car Car1"/>
    <w:basedOn w:val="Normal"/>
    <w:uiPriority w:val="99"/>
    <w:rsid w:val="003503F7"/>
    <w:pPr>
      <w:spacing w:after="160" w:line="240" w:lineRule="exact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2</TotalTime>
  <Pages>3</Pages>
  <Words>614</Words>
  <Characters>3378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mtlecroisey</cp:lastModifiedBy>
  <cp:revision>6</cp:revision>
  <cp:lastPrinted>2010-12-10T14:38:00Z</cp:lastPrinted>
  <dcterms:created xsi:type="dcterms:W3CDTF">2011-01-11T14:23:00Z</dcterms:created>
  <dcterms:modified xsi:type="dcterms:W3CDTF">2011-01-13T16:04:00Z</dcterms:modified>
</cp:coreProperties>
</file>