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589" w:rsidRDefault="00994589">
      <w:pPr>
        <w:pStyle w:val="ET"/>
      </w:pPr>
      <w:r>
        <w:t>COUR DES COMPTES</w:t>
      </w:r>
    </w:p>
    <w:p w:rsidR="00994589" w:rsidRDefault="00994589" w:rsidP="00994A18">
      <w:pPr>
        <w:pStyle w:val="ET"/>
        <w:ind w:left="851"/>
      </w:pPr>
      <w:r>
        <w:t>------</w:t>
      </w:r>
    </w:p>
    <w:p w:rsidR="00994589" w:rsidRDefault="00994589">
      <w:pPr>
        <w:pStyle w:val="ET"/>
      </w:pPr>
      <w:r>
        <w:t>premiere chambre</w:t>
      </w:r>
    </w:p>
    <w:p w:rsidR="00994589" w:rsidRDefault="00994589" w:rsidP="00994A18">
      <w:pPr>
        <w:pStyle w:val="ET"/>
        <w:ind w:left="851"/>
      </w:pPr>
      <w:r>
        <w:t>------</w:t>
      </w:r>
    </w:p>
    <w:p w:rsidR="00994589" w:rsidRDefault="00994589">
      <w:pPr>
        <w:pStyle w:val="ET"/>
      </w:pPr>
      <w:r>
        <w:t>premiere section</w:t>
      </w:r>
    </w:p>
    <w:p w:rsidR="00994589" w:rsidRDefault="00994589" w:rsidP="00994A18">
      <w:pPr>
        <w:pStyle w:val="ET"/>
        <w:ind w:left="851"/>
      </w:pPr>
      <w:r>
        <w:t>------</w:t>
      </w:r>
    </w:p>
    <w:p w:rsidR="00994589" w:rsidRDefault="00994589" w:rsidP="00994A18">
      <w:pPr>
        <w:pStyle w:val="Header"/>
        <w:ind w:left="426"/>
      </w:pPr>
      <w:r>
        <w:rPr>
          <w:b/>
          <w:i/>
        </w:rPr>
        <w:t>Arrêt n° 59960</w:t>
      </w:r>
      <w:r>
        <w:fldChar w:fldCharType="begin"/>
      </w:r>
      <w:r>
        <w:fldChar w:fldCharType="end"/>
      </w:r>
    </w:p>
    <w:p w:rsidR="00994589" w:rsidRPr="00077F34" w:rsidRDefault="00994589">
      <w:pPr>
        <w:pStyle w:val="OR"/>
        <w:rPr>
          <w:szCs w:val="24"/>
        </w:rPr>
      </w:pPr>
      <w:r w:rsidRPr="00077F34">
        <w:rPr>
          <w:szCs w:val="24"/>
        </w:rPr>
        <w:t>TRESORIER-PAYEUR GENERAL</w:t>
      </w:r>
    </w:p>
    <w:p w:rsidR="00994589" w:rsidRPr="00077F34" w:rsidRDefault="00994589">
      <w:pPr>
        <w:pStyle w:val="OR"/>
        <w:rPr>
          <w:szCs w:val="24"/>
        </w:rPr>
      </w:pPr>
      <w:r w:rsidRPr="00077F34">
        <w:rPr>
          <w:szCs w:val="24"/>
        </w:rPr>
        <w:t>DE LA SEINE-SAINT-DENIS</w:t>
      </w:r>
    </w:p>
    <w:p w:rsidR="00994589" w:rsidRPr="00077F34" w:rsidRDefault="00994589">
      <w:pPr>
        <w:pStyle w:val="OR"/>
        <w:rPr>
          <w:szCs w:val="24"/>
        </w:rPr>
      </w:pPr>
    </w:p>
    <w:p w:rsidR="00994589" w:rsidRPr="00077F34" w:rsidRDefault="00994589">
      <w:pPr>
        <w:pStyle w:val="OR"/>
        <w:rPr>
          <w:szCs w:val="24"/>
        </w:rPr>
      </w:pPr>
      <w:r w:rsidRPr="00077F34">
        <w:rPr>
          <w:szCs w:val="24"/>
        </w:rPr>
        <w:t>Exercice 2004 (suites)</w:t>
      </w:r>
    </w:p>
    <w:p w:rsidR="00994589" w:rsidRPr="00077F34" w:rsidRDefault="00994589">
      <w:pPr>
        <w:pStyle w:val="OR"/>
        <w:rPr>
          <w:szCs w:val="24"/>
        </w:rPr>
      </w:pPr>
    </w:p>
    <w:p w:rsidR="00994589" w:rsidRPr="00077F34" w:rsidRDefault="00994589">
      <w:pPr>
        <w:pStyle w:val="OR"/>
        <w:rPr>
          <w:szCs w:val="24"/>
        </w:rPr>
      </w:pPr>
      <w:r w:rsidRPr="00077F34">
        <w:rPr>
          <w:szCs w:val="24"/>
        </w:rPr>
        <w:t>Rapport n° 2010-438-0</w:t>
      </w:r>
    </w:p>
    <w:p w:rsidR="00994589" w:rsidRPr="00077F34" w:rsidRDefault="00994589">
      <w:pPr>
        <w:pStyle w:val="OR"/>
        <w:rPr>
          <w:szCs w:val="24"/>
        </w:rPr>
      </w:pPr>
    </w:p>
    <w:p w:rsidR="00994589" w:rsidRPr="00077F34" w:rsidRDefault="00994589">
      <w:pPr>
        <w:pStyle w:val="OR"/>
        <w:rPr>
          <w:szCs w:val="24"/>
        </w:rPr>
      </w:pPr>
      <w:r w:rsidRPr="00077F34">
        <w:rPr>
          <w:szCs w:val="24"/>
        </w:rPr>
        <w:t>Audience publique du 21 septembre 2010</w:t>
      </w:r>
    </w:p>
    <w:p w:rsidR="00994589" w:rsidRDefault="00994589">
      <w:pPr>
        <w:pStyle w:val="OR"/>
        <w:rPr>
          <w:szCs w:val="24"/>
        </w:rPr>
      </w:pPr>
    </w:p>
    <w:p w:rsidR="00994589" w:rsidRDefault="00994589">
      <w:pPr>
        <w:pStyle w:val="OR"/>
        <w:rPr>
          <w:szCs w:val="24"/>
        </w:rPr>
      </w:pPr>
      <w:r w:rsidRPr="00077F34">
        <w:rPr>
          <w:szCs w:val="24"/>
        </w:rPr>
        <w:t xml:space="preserve">Dispositions définitives </w:t>
      </w:r>
    </w:p>
    <w:p w:rsidR="00994589" w:rsidRDefault="00994589">
      <w:pPr>
        <w:pStyle w:val="OR"/>
        <w:rPr>
          <w:szCs w:val="24"/>
        </w:rPr>
      </w:pPr>
    </w:p>
    <w:p w:rsidR="00994589" w:rsidRPr="00077F34" w:rsidRDefault="00994589" w:rsidP="00DE7479">
      <w:pPr>
        <w:pStyle w:val="OR"/>
        <w:rPr>
          <w:szCs w:val="24"/>
        </w:rPr>
      </w:pPr>
      <w:r>
        <w:rPr>
          <w:szCs w:val="24"/>
        </w:rPr>
        <w:t>Lecture publique du 20 janvier 2011</w:t>
      </w:r>
      <w:r>
        <w:fldChar w:fldCharType="begin"/>
      </w:r>
      <w:r>
        <w:fldChar w:fldCharType="end"/>
      </w:r>
    </w:p>
    <w:p w:rsidR="00994589" w:rsidRDefault="00994589" w:rsidP="005734EE">
      <w:pPr>
        <w:pStyle w:val="PS"/>
        <w:jc w:val="both"/>
      </w:pPr>
    </w:p>
    <w:p w:rsidR="00994589" w:rsidRDefault="00994589" w:rsidP="005734EE">
      <w:pPr>
        <w:pStyle w:val="PS"/>
        <w:jc w:val="both"/>
      </w:pPr>
      <w:r>
        <w:t>LA COUR DES COMPTES a rendu l’arrêt suivant :</w:t>
      </w:r>
    </w:p>
    <w:p w:rsidR="00994589" w:rsidRPr="00B025EB" w:rsidRDefault="00994589" w:rsidP="005734EE">
      <w:pPr>
        <w:pStyle w:val="PS"/>
        <w:jc w:val="both"/>
      </w:pPr>
      <w:r w:rsidRPr="00B025EB">
        <w:t>LA COUR,</w:t>
      </w:r>
    </w:p>
    <w:p w:rsidR="00994589" w:rsidRDefault="00994589" w:rsidP="005734EE">
      <w:pPr>
        <w:pStyle w:val="PS"/>
        <w:jc w:val="both"/>
      </w:pPr>
      <w:r>
        <w:t>Vu le code des juridictions financières ;</w:t>
      </w:r>
    </w:p>
    <w:p w:rsidR="00994589" w:rsidRDefault="00994589" w:rsidP="005734EE">
      <w:pPr>
        <w:pStyle w:val="PS"/>
        <w:jc w:val="both"/>
      </w:pPr>
      <w:r>
        <w:t>Vu l'article 60 modifié de la loi de finances n° 63-156 du 23 février 1963 ;</w:t>
      </w:r>
    </w:p>
    <w:p w:rsidR="00994589" w:rsidRDefault="00994589" w:rsidP="005734EE">
      <w:pPr>
        <w:pStyle w:val="PS"/>
        <w:jc w:val="both"/>
      </w:pPr>
      <w:r>
        <w:t>Vu les lois et règlements applicables à la comptabilité des comptables du Trésor, notamment l'ordonnance n° 59-2 du 2 janvier 1959 portant loi organique relative aux lois de finances, le décret n° 62-1587 du 29 décembre 1962 portant règlement général sur la comptabilité publique, les articles n°</w:t>
      </w:r>
      <w:r w:rsidRPr="00D50F17">
        <w:rPr>
          <w:vertAlign w:val="superscript"/>
        </w:rPr>
        <w:t>s</w:t>
      </w:r>
      <w:r>
        <w:rPr>
          <w:vertAlign w:val="superscript"/>
        </w:rPr>
        <w:t> </w:t>
      </w:r>
      <w:r>
        <w:t>2247 et 2248 de l'instruction générale du 20 juin 1859 sur le service et la comptabilité des receveurs généraux et particuliers des finances et l'instruction codificatrice n° 87-128 PR du 29 octobre 1987 sur la comptabilité de l'État ;</w:t>
      </w:r>
    </w:p>
    <w:p w:rsidR="00994589" w:rsidRDefault="00994589" w:rsidP="005734EE">
      <w:pPr>
        <w:pStyle w:val="PS"/>
        <w:jc w:val="both"/>
      </w:pPr>
      <w:r>
        <w:t>Vu le code général des impôts et le livre de procédures fiscales ;</w:t>
      </w:r>
    </w:p>
    <w:p w:rsidR="00994589" w:rsidRDefault="00994589" w:rsidP="005734EE">
      <w:pPr>
        <w:pStyle w:val="PS"/>
        <w:jc w:val="both"/>
      </w:pPr>
      <w:r>
        <w:t>Vu les lois de finances de l’exercice 2004 ;</w:t>
      </w:r>
    </w:p>
    <w:p w:rsidR="00994589" w:rsidRDefault="00994589" w:rsidP="005734EE">
      <w:pPr>
        <w:pStyle w:val="PS"/>
        <w:jc w:val="both"/>
      </w:pPr>
      <w:r>
        <w:t>Vu l’article 34-2° alinéa de la loi n° 2008-1098 du 28 octobre 2008 relative à la Cour des comptes et aux chambres régionales des comptes ;</w:t>
      </w:r>
    </w:p>
    <w:p w:rsidR="00994589" w:rsidRDefault="00994589" w:rsidP="005734EE">
      <w:pPr>
        <w:pStyle w:val="PS"/>
        <w:jc w:val="both"/>
      </w:pPr>
      <w:r>
        <w:t>Vu l’arrêté du Premier président du 2 janvier 2007 modifié, portant répartition des attributions entre les chambres de la Cour des comptes ;</w:t>
      </w:r>
    </w:p>
    <w:p w:rsidR="00994589" w:rsidRDefault="00994589" w:rsidP="00077F34">
      <w:pPr>
        <w:pStyle w:val="P0"/>
        <w:sectPr w:rsidR="00994589">
          <w:pgSz w:w="11907" w:h="16840"/>
          <w:pgMar w:top="1134" w:right="1134" w:bottom="1134" w:left="567" w:header="720" w:footer="720" w:gutter="0"/>
          <w:cols w:space="720"/>
        </w:sectPr>
      </w:pPr>
    </w:p>
    <w:p w:rsidR="00994589" w:rsidRDefault="00994589" w:rsidP="005734EE">
      <w:pPr>
        <w:pStyle w:val="PS"/>
        <w:jc w:val="both"/>
      </w:pPr>
      <w:r>
        <w:t>Vu l’arrêté n° 10-030 du Doyen des présidents de chambre, Premier président par intérim, du 8 janvier 2010, portant répartition des attributions entre les chambres de la Cour des comptes ;</w:t>
      </w:r>
    </w:p>
    <w:p w:rsidR="00994589" w:rsidRDefault="00994589" w:rsidP="005734EE">
      <w:pPr>
        <w:pStyle w:val="PS"/>
        <w:jc w:val="both"/>
      </w:pPr>
      <w:r>
        <w:t>Vu l'arrêté modifié n° 06-346 du Premier président de la Cour des comptes du 10 octobre 2006 portant création et fixant la composition des sections au sein de la Première chambre ;</w:t>
      </w:r>
    </w:p>
    <w:p w:rsidR="00994589" w:rsidRPr="001D6F67" w:rsidRDefault="00994589" w:rsidP="005734EE">
      <w:pPr>
        <w:pStyle w:val="PS"/>
        <w:jc w:val="both"/>
      </w:pPr>
      <w:r>
        <w:t xml:space="preserve">Vu l’arrêt n° 46770 portant </w:t>
      </w:r>
      <w:r w:rsidRPr="001D6F67">
        <w:t xml:space="preserve">dispositions provisoires du </w:t>
      </w:r>
      <w:r>
        <w:t>25 juin 2006, notifié le 25 septembre suivant par lequel</w:t>
      </w:r>
      <w:r w:rsidRPr="001D6F67">
        <w:t xml:space="preserve"> la Cour </w:t>
      </w:r>
      <w:r>
        <w:t>a statué sur les comptes rendus pour les exercices 2002 à 2004 par MM. X, au 12 janvier 2003 et Z, du 1</w:t>
      </w:r>
      <w:r w:rsidRPr="00194E2F">
        <w:rPr>
          <w:vertAlign w:val="superscript"/>
        </w:rPr>
        <w:t>er</w:t>
      </w:r>
      <w:r>
        <w:t> avril 2003, en qualité de comptables du Trésor et par M. Y, du 13 janvier au 31 mars 2003, en qualité de gérant intérimaire ;</w:t>
      </w:r>
    </w:p>
    <w:p w:rsidR="00994589" w:rsidRPr="001D6F67" w:rsidRDefault="00994589" w:rsidP="005734EE">
      <w:pPr>
        <w:pStyle w:val="PS"/>
        <w:jc w:val="both"/>
      </w:pPr>
      <w:r w:rsidRPr="008C07B8">
        <w:t xml:space="preserve">Vu </w:t>
      </w:r>
      <w:r>
        <w:t>l’arrêt n° 53730 portant dispositions définitives, notifié le 24 février 2009</w:t>
      </w:r>
      <w:r w:rsidRPr="001D6F67">
        <w:t xml:space="preserve">, par lequel la Cour </w:t>
      </w:r>
      <w:r>
        <w:t xml:space="preserve">a </w:t>
      </w:r>
      <w:r w:rsidRPr="001D6F67">
        <w:t>constitué M. </w:t>
      </w:r>
      <w:r>
        <w:t>Z</w:t>
      </w:r>
      <w:r w:rsidRPr="001D6F67">
        <w:t xml:space="preserve"> débiteur de l’Etat à hauteur </w:t>
      </w:r>
      <w:r>
        <w:t xml:space="preserve">d’un total </w:t>
      </w:r>
      <w:r w:rsidRPr="001D6F67">
        <w:t>de</w:t>
      </w:r>
      <w:r>
        <w:t xml:space="preserve"> 1 331,31</w:t>
      </w:r>
      <w:r w:rsidRPr="001D6F67">
        <w:t xml:space="preserve"> €, au titre de </w:t>
      </w:r>
      <w:r>
        <w:t>l’</w:t>
      </w:r>
      <w:r w:rsidRPr="001D6F67">
        <w:t xml:space="preserve">exercice </w:t>
      </w:r>
      <w:r>
        <w:t>2004</w:t>
      </w:r>
      <w:r w:rsidRPr="001D6F67">
        <w:t xml:space="preserve">, et sursis à sa décharge pour sa gestion </w:t>
      </w:r>
      <w:r>
        <w:t>pour cette</w:t>
      </w:r>
      <w:r w:rsidRPr="001D6F67">
        <w:t xml:space="preserve"> même année ;</w:t>
      </w:r>
    </w:p>
    <w:p w:rsidR="00994589" w:rsidRDefault="00994589" w:rsidP="005734EE">
      <w:pPr>
        <w:pStyle w:val="PS"/>
        <w:jc w:val="both"/>
      </w:pPr>
      <w:r>
        <w:t>Vu la décision du 29 mai 2009 du Ministre du budget, des comptes publics et de la fonction publique portant remise gracieuse, en principal et en intérêt, des débets prononcés par la Cour à l’arrêt n° 53730 à l’encontre de M. Z ;</w:t>
      </w:r>
    </w:p>
    <w:p w:rsidR="00994589" w:rsidRDefault="00994589" w:rsidP="005734EE">
      <w:pPr>
        <w:pStyle w:val="PS"/>
        <w:jc w:val="both"/>
      </w:pPr>
      <w:r>
        <w:t xml:space="preserve">Vu les justifications produites en exécution de l’arrêt provisoire susvisé n° 46770 par le trésorier-payeur </w:t>
      </w:r>
      <w:r w:rsidRPr="009B3E08">
        <w:t>général</w:t>
      </w:r>
      <w:r>
        <w:t> ;</w:t>
      </w:r>
    </w:p>
    <w:p w:rsidR="00994589" w:rsidRDefault="00994589" w:rsidP="005734EE">
      <w:pPr>
        <w:pStyle w:val="PS"/>
        <w:jc w:val="both"/>
      </w:pPr>
      <w:r>
        <w:t>Sur le rapport de M. Lair, conseiller maître ;</w:t>
      </w:r>
    </w:p>
    <w:p w:rsidR="00994589" w:rsidRDefault="00994589" w:rsidP="005734EE">
      <w:pPr>
        <w:pStyle w:val="PS"/>
        <w:jc w:val="both"/>
      </w:pPr>
      <w:r>
        <w:t xml:space="preserve">Vu les conclusions </w:t>
      </w:r>
      <w:r w:rsidRPr="00B839D1">
        <w:t>n°</w:t>
      </w:r>
      <w:r>
        <w:t> 459 du Procureur général de la République du 4 juin 2010 ;</w:t>
      </w:r>
    </w:p>
    <w:p w:rsidR="00994589" w:rsidRDefault="00994589" w:rsidP="005734EE">
      <w:pPr>
        <w:pStyle w:val="PS"/>
        <w:jc w:val="both"/>
      </w:pPr>
      <w:r>
        <w:t>Vu la lettre du 30 juillet 2010 informant M. Z de la date de l’audience publique, ensemble accusé de réception de cette lettre ;</w:t>
      </w:r>
    </w:p>
    <w:p w:rsidR="00994589" w:rsidRDefault="00994589" w:rsidP="005734EE">
      <w:pPr>
        <w:pStyle w:val="PS"/>
        <w:jc w:val="both"/>
      </w:pPr>
      <w:r>
        <w:t>Vu le courrier du 24 août 2010 de M. Z en réponse à la lettre du 30 juillet 2010, par lequel il indique qu’il n’assistera pas à l’audience publique ;</w:t>
      </w:r>
    </w:p>
    <w:p w:rsidR="00994589" w:rsidRDefault="00994589" w:rsidP="005734EE">
      <w:pPr>
        <w:pStyle w:val="PS"/>
        <w:jc w:val="both"/>
      </w:pPr>
      <w:r>
        <w:t>Entendu à huis clos, le ministère public et le rapporteur s'étant retirés, M. X.-H. Martin, conseiller maître, en ses observations ;</w:t>
      </w:r>
    </w:p>
    <w:p w:rsidR="00994589" w:rsidRDefault="00994589" w:rsidP="00842189">
      <w:pPr>
        <w:pStyle w:val="PS"/>
        <w:jc w:val="center"/>
      </w:pPr>
      <w:r>
        <w:br w:type="page"/>
        <w:t>STATUANT DEFINITIVEMENT,</w:t>
      </w:r>
    </w:p>
    <w:p w:rsidR="00994589" w:rsidRDefault="00994589" w:rsidP="00842189">
      <w:pPr>
        <w:pStyle w:val="PS"/>
        <w:jc w:val="center"/>
      </w:pPr>
      <w:r>
        <w:t>ORDONNE</w:t>
      </w:r>
      <w:r w:rsidRPr="00B025EB">
        <w:t xml:space="preserve"> :</w:t>
      </w:r>
    </w:p>
    <w:p w:rsidR="00994589" w:rsidRPr="00842189" w:rsidRDefault="00994589" w:rsidP="005734EE">
      <w:pPr>
        <w:pStyle w:val="PS"/>
        <w:jc w:val="both"/>
        <w:rPr>
          <w:b/>
          <w:bCs/>
        </w:rPr>
      </w:pPr>
      <w:r w:rsidRPr="00842189">
        <w:rPr>
          <w:b/>
          <w:bCs/>
        </w:rPr>
        <w:t>A l'égard de M. Z</w:t>
      </w:r>
    </w:p>
    <w:p w:rsidR="00994589" w:rsidRPr="00842189" w:rsidRDefault="00994589" w:rsidP="005734EE">
      <w:pPr>
        <w:pStyle w:val="PS"/>
        <w:jc w:val="both"/>
        <w:rPr>
          <w:b/>
          <w:bCs/>
        </w:rPr>
      </w:pPr>
      <w:r w:rsidRPr="00842189">
        <w:rPr>
          <w:b/>
          <w:bCs/>
        </w:rPr>
        <w:t>Au titre de l'exercice 2004</w:t>
      </w:r>
    </w:p>
    <w:p w:rsidR="00994589" w:rsidRPr="00842189" w:rsidRDefault="00994589" w:rsidP="005734EE">
      <w:pPr>
        <w:pStyle w:val="PS"/>
        <w:jc w:val="both"/>
        <w:rPr>
          <w:u w:val="single"/>
        </w:rPr>
      </w:pPr>
      <w:r w:rsidRPr="00842189">
        <w:rPr>
          <w:u w:val="single"/>
        </w:rPr>
        <w:t>Réserve n° 3 à lever : compte 461−221 « décaissements à régulariser − Déficits des comptables avant la prise d'un arrêté de débet − Régisseurs »</w:t>
      </w:r>
    </w:p>
    <w:p w:rsidR="00994589" w:rsidRDefault="00994589" w:rsidP="005734EE">
      <w:pPr>
        <w:pStyle w:val="PS"/>
        <w:jc w:val="both"/>
      </w:pPr>
      <w:r>
        <w:t>Attendu qu’</w:t>
      </w:r>
      <w:r w:rsidRPr="002040D8">
        <w:t xml:space="preserve">il </w:t>
      </w:r>
      <w:r>
        <w:t>a été</w:t>
      </w:r>
      <w:r w:rsidRPr="002040D8">
        <w:t xml:space="preserve"> fait réserve sur la gestion 2004 de M.</w:t>
      </w:r>
      <w:r>
        <w:t> </w:t>
      </w:r>
      <w:r w:rsidRPr="002040D8">
        <w:t>Z pour un montant de 25</w:t>
      </w:r>
      <w:r>
        <w:t> </w:t>
      </w:r>
      <w:r w:rsidRPr="002040D8">
        <w:t>378,86</w:t>
      </w:r>
      <w:r>
        <w:t> </w:t>
      </w:r>
      <w:r w:rsidRPr="002040D8">
        <w:t>€ jusqu'à l'apurement de ce solde débiteur ;</w:t>
      </w:r>
    </w:p>
    <w:p w:rsidR="00994589" w:rsidRDefault="00994589" w:rsidP="005734EE">
      <w:pPr>
        <w:pStyle w:val="PS"/>
        <w:jc w:val="both"/>
      </w:pPr>
      <w:r>
        <w:t>Attendu que M. Z, a indiqué que les opérations avaient été soldées dans sa comptabilité ;</w:t>
      </w:r>
    </w:p>
    <w:p w:rsidR="00994589" w:rsidRDefault="00994589" w:rsidP="005734EE">
      <w:pPr>
        <w:pStyle w:val="PS"/>
        <w:jc w:val="both"/>
      </w:pPr>
      <w:r>
        <w:t>Par ce motif,</w:t>
      </w:r>
    </w:p>
    <w:p w:rsidR="00994589" w:rsidRDefault="00994589" w:rsidP="005734EE">
      <w:pPr>
        <w:pStyle w:val="PS"/>
        <w:jc w:val="both"/>
      </w:pPr>
      <w:r>
        <w:t>- La réserve n° 3 est levée.</w:t>
      </w:r>
    </w:p>
    <w:p w:rsidR="00994589" w:rsidRPr="00842189" w:rsidRDefault="00994589" w:rsidP="005734EE">
      <w:pPr>
        <w:pStyle w:val="PS"/>
        <w:jc w:val="both"/>
        <w:rPr>
          <w:b/>
          <w:bCs/>
        </w:rPr>
      </w:pPr>
      <w:r w:rsidRPr="00842189">
        <w:rPr>
          <w:b/>
          <w:bCs/>
        </w:rPr>
        <w:t>Décharge</w:t>
      </w:r>
    </w:p>
    <w:p w:rsidR="00994589" w:rsidRDefault="00994589" w:rsidP="005734EE">
      <w:pPr>
        <w:pStyle w:val="PS"/>
        <w:jc w:val="both"/>
      </w:pPr>
      <w:r w:rsidRPr="00320E57">
        <w:t xml:space="preserve">Attendu qu'aucune charge </w:t>
      </w:r>
      <w:r>
        <w:t>ne subsiste</w:t>
      </w:r>
      <w:r w:rsidRPr="00320E57">
        <w:t xml:space="preserve"> à l'encontre de </w:t>
      </w:r>
      <w:r>
        <w:t>M. Z</w:t>
      </w:r>
      <w:r w:rsidRPr="00320E57">
        <w:t xml:space="preserve"> au titre de sa gestion </w:t>
      </w:r>
      <w:r>
        <w:t>de l’année</w:t>
      </w:r>
      <w:r w:rsidRPr="00320E57">
        <w:t xml:space="preserve"> </w:t>
      </w:r>
      <w:r>
        <w:t xml:space="preserve">2004 ; </w:t>
      </w:r>
    </w:p>
    <w:p w:rsidR="00994589" w:rsidRDefault="00994589" w:rsidP="005734EE">
      <w:pPr>
        <w:pStyle w:val="PS"/>
        <w:jc w:val="both"/>
      </w:pPr>
      <w:r>
        <w:t xml:space="preserve">Attendu </w:t>
      </w:r>
      <w:r w:rsidRPr="00FE6C01">
        <w:t>que les différents soldes figurant dans la balance de clôture de l’exercice</w:t>
      </w:r>
      <w:r>
        <w:t> 2004</w:t>
      </w:r>
      <w:r w:rsidRPr="00FE6C01">
        <w:t xml:space="preserve"> ont été exactement repris dans l</w:t>
      </w:r>
      <w:r>
        <w:t>a balance d'entrée de l’exercice 2005</w:t>
      </w:r>
      <w:r w:rsidRPr="00FE6C01">
        <w:t>, après exécution des transferts prévus par les instructions</w:t>
      </w:r>
      <w:r>
        <w:t> ;</w:t>
      </w:r>
    </w:p>
    <w:p w:rsidR="00994589" w:rsidRPr="00FE6C01" w:rsidRDefault="00994589" w:rsidP="005734EE">
      <w:pPr>
        <w:pStyle w:val="PS"/>
        <w:jc w:val="both"/>
      </w:pPr>
      <w:r>
        <w:t>- </w:t>
      </w:r>
      <w:r w:rsidRPr="00FE6C01">
        <w:t xml:space="preserve">Les opérations retracées dans les comptes de l’exercice </w:t>
      </w:r>
      <w:r>
        <w:t>2004</w:t>
      </w:r>
      <w:r w:rsidRPr="00FE6C01">
        <w:t xml:space="preserve"> sont admises</w:t>
      </w:r>
      <w:r>
        <w:t>.</w:t>
      </w:r>
    </w:p>
    <w:p w:rsidR="00994589" w:rsidRDefault="00994589" w:rsidP="005734EE">
      <w:pPr>
        <w:pStyle w:val="PS"/>
        <w:jc w:val="both"/>
      </w:pPr>
      <w:r>
        <w:t>- M. Z</w:t>
      </w:r>
      <w:r w:rsidRPr="00FE6C01">
        <w:t xml:space="preserve"> est déchargé de sa gestion </w:t>
      </w:r>
      <w:r>
        <w:t>de l’année 2004.</w:t>
      </w:r>
    </w:p>
    <w:p w:rsidR="00994589" w:rsidRDefault="00994589" w:rsidP="00842189">
      <w:pPr>
        <w:pStyle w:val="PS"/>
        <w:ind w:firstLine="0"/>
        <w:jc w:val="center"/>
      </w:pPr>
      <w:r>
        <w:t>--------</w:t>
      </w:r>
    </w:p>
    <w:p w:rsidR="00994589" w:rsidRPr="00E01C74" w:rsidRDefault="00994589" w:rsidP="005734EE">
      <w:pPr>
        <w:pStyle w:val="PS"/>
        <w:jc w:val="both"/>
      </w:pPr>
      <w:r>
        <w:br w:type="page"/>
      </w:r>
      <w:r w:rsidRPr="00E01C74">
        <w:t xml:space="preserve">Fait et jugé en la Cour des comptes, première chambre, première section, le </w:t>
      </w:r>
      <w:r w:rsidRPr="00D42A7B">
        <w:t>vingt</w:t>
      </w:r>
      <w:r>
        <w:t>-</w:t>
      </w:r>
      <w:r w:rsidRPr="00D42A7B">
        <w:t>et</w:t>
      </w:r>
      <w:r>
        <w:t>-</w:t>
      </w:r>
      <w:r w:rsidRPr="00D42A7B">
        <w:t>un septembre deux</w:t>
      </w:r>
      <w:r>
        <w:t xml:space="preserve"> mil</w:t>
      </w:r>
      <w:r w:rsidRPr="00E01C74">
        <w:t xml:space="preserve"> </w:t>
      </w:r>
      <w:r>
        <w:t>dix</w:t>
      </w:r>
      <w:r w:rsidRPr="00E01C74">
        <w:t>, présents : M</w:t>
      </w:r>
      <w:r>
        <w:t>me</w:t>
      </w:r>
      <w:r w:rsidRPr="00E01C74">
        <w:t xml:space="preserve"> </w:t>
      </w:r>
      <w:r>
        <w:t>Fradin</w:t>
      </w:r>
      <w:r w:rsidRPr="00E01C74">
        <w:t xml:space="preserve">, président de </w:t>
      </w:r>
      <w:r>
        <w:t>section, M. X.</w:t>
      </w:r>
      <w:r>
        <w:noBreakHyphen/>
        <w:t xml:space="preserve">H. Martin, </w:t>
      </w:r>
      <w:r w:rsidRPr="00E01C74">
        <w:t>Mme</w:t>
      </w:r>
      <w:r>
        <w:t>s Moati et</w:t>
      </w:r>
      <w:r w:rsidRPr="00E01C74">
        <w:t xml:space="preserve"> Dos Reis, conseillers maîtres. </w:t>
      </w:r>
    </w:p>
    <w:p w:rsidR="00994589" w:rsidRPr="00EF7499" w:rsidRDefault="00994589" w:rsidP="005734EE">
      <w:pPr>
        <w:pStyle w:val="PS"/>
        <w:jc w:val="both"/>
      </w:pPr>
      <w:r w:rsidRPr="004C2B69">
        <w:t>Signé :</w:t>
      </w:r>
      <w:r w:rsidRPr="00EF7499">
        <w:t xml:space="preserve"> </w:t>
      </w:r>
      <w:r>
        <w:t>Fradin, président de section, et Rackelboom, greffier.</w:t>
      </w:r>
    </w:p>
    <w:p w:rsidR="00994589" w:rsidRDefault="00994589" w:rsidP="005734EE">
      <w:pPr>
        <w:pStyle w:val="PS"/>
        <w:jc w:val="both"/>
      </w:pPr>
      <w:r>
        <w:t>Collationné, certifié conforme à la minute étant au greffe de la Cour des comptes et d</w:t>
      </w:r>
      <w:r w:rsidRPr="00A74E00">
        <w:t>élivré par moi, secrétaire général.</w:t>
      </w:r>
    </w:p>
    <w:p w:rsidR="00994589" w:rsidRPr="006858BA" w:rsidRDefault="00994589" w:rsidP="006858BA">
      <w:pPr>
        <w:pStyle w:val="PS"/>
        <w:spacing w:after="0"/>
        <w:ind w:firstLine="5103"/>
        <w:jc w:val="center"/>
        <w:rPr>
          <w:b/>
          <w:bCs/>
        </w:rPr>
      </w:pPr>
      <w:r w:rsidRPr="006858BA">
        <w:rPr>
          <w:b/>
          <w:bCs/>
        </w:rPr>
        <w:t>Pour le Secrétaire général</w:t>
      </w:r>
    </w:p>
    <w:p w:rsidR="00994589" w:rsidRPr="006858BA" w:rsidRDefault="00994589" w:rsidP="006858BA">
      <w:pPr>
        <w:pStyle w:val="PS"/>
        <w:spacing w:after="0"/>
        <w:ind w:firstLine="5103"/>
        <w:jc w:val="center"/>
        <w:rPr>
          <w:b/>
          <w:bCs/>
        </w:rPr>
      </w:pPr>
      <w:r w:rsidRPr="006858BA">
        <w:rPr>
          <w:b/>
          <w:bCs/>
        </w:rPr>
        <w:t>et par délégation,</w:t>
      </w:r>
    </w:p>
    <w:p w:rsidR="00994589" w:rsidRPr="006858BA" w:rsidRDefault="00994589" w:rsidP="006858BA">
      <w:pPr>
        <w:pStyle w:val="PS"/>
        <w:ind w:firstLine="5103"/>
        <w:jc w:val="center"/>
        <w:rPr>
          <w:b/>
          <w:bCs/>
        </w:rPr>
      </w:pPr>
      <w:r w:rsidRPr="006858BA">
        <w:rPr>
          <w:b/>
          <w:bCs/>
        </w:rPr>
        <w:t>le Chef du greffe contentieux</w:t>
      </w:r>
    </w:p>
    <w:p w:rsidR="00994589" w:rsidRPr="006858BA" w:rsidRDefault="00994589" w:rsidP="006858BA">
      <w:pPr>
        <w:pStyle w:val="PS"/>
        <w:ind w:firstLine="5103"/>
        <w:jc w:val="center"/>
        <w:rPr>
          <w:b/>
          <w:bCs/>
        </w:rPr>
      </w:pPr>
    </w:p>
    <w:p w:rsidR="00994589" w:rsidRPr="006858BA" w:rsidRDefault="00994589" w:rsidP="006858BA">
      <w:pPr>
        <w:pStyle w:val="PS"/>
        <w:ind w:firstLine="5103"/>
        <w:jc w:val="center"/>
        <w:rPr>
          <w:b/>
          <w:bCs/>
        </w:rPr>
      </w:pPr>
    </w:p>
    <w:p w:rsidR="00994589" w:rsidRPr="00733CE7" w:rsidRDefault="00994589" w:rsidP="006858BA">
      <w:pPr>
        <w:pStyle w:val="PS"/>
        <w:ind w:firstLine="5103"/>
        <w:jc w:val="center"/>
      </w:pPr>
      <w:r w:rsidRPr="006858BA">
        <w:rPr>
          <w:b/>
          <w:bCs/>
        </w:rPr>
        <w:t>Daniel FEREZ</w:t>
      </w:r>
    </w:p>
    <w:p w:rsidR="00994589" w:rsidRPr="00733CE7" w:rsidRDefault="00994589" w:rsidP="005734EE">
      <w:pPr>
        <w:pStyle w:val="PS"/>
        <w:jc w:val="both"/>
      </w:pPr>
    </w:p>
    <w:p w:rsidR="00994589" w:rsidRPr="00733CE7" w:rsidRDefault="00994589" w:rsidP="005734EE">
      <w:pPr>
        <w:pStyle w:val="PS"/>
        <w:jc w:val="both"/>
      </w:pPr>
    </w:p>
    <w:p w:rsidR="00994589" w:rsidRPr="00733CE7" w:rsidRDefault="00994589" w:rsidP="005734EE">
      <w:pPr>
        <w:pStyle w:val="PS"/>
        <w:jc w:val="both"/>
      </w:pPr>
      <w:r w:rsidRPr="00733CE7">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994589" w:rsidRPr="00733CE7" w:rsidSect="009C50CB">
      <w:headerReference w:type="default" r:id="rId7"/>
      <w:pgSz w:w="11907" w:h="16840"/>
      <w:pgMar w:top="1701" w:right="1134" w:bottom="1134" w:left="567"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589" w:rsidRDefault="00994589">
      <w:r>
        <w:separator/>
      </w:r>
    </w:p>
  </w:endnote>
  <w:endnote w:type="continuationSeparator" w:id="0">
    <w:p w:rsidR="00994589" w:rsidRDefault="009945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589" w:rsidRDefault="00994589">
      <w:r>
        <w:separator/>
      </w:r>
    </w:p>
  </w:footnote>
  <w:footnote w:type="continuationSeparator" w:id="0">
    <w:p w:rsidR="00994589" w:rsidRDefault="009945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89" w:rsidRDefault="00994589" w:rsidP="009C50C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00293"/>
    <w:multiLevelType w:val="hybridMultilevel"/>
    <w:tmpl w:val="E75668B0"/>
    <w:lvl w:ilvl="0" w:tplc="1C5AF0C2">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35C9B"/>
    <w:rsid w:val="00077F34"/>
    <w:rsid w:val="000C4A4D"/>
    <w:rsid w:val="00187771"/>
    <w:rsid w:val="00194E2F"/>
    <w:rsid w:val="001D6F67"/>
    <w:rsid w:val="002040D8"/>
    <w:rsid w:val="002202E0"/>
    <w:rsid w:val="00227AFF"/>
    <w:rsid w:val="00266717"/>
    <w:rsid w:val="00274F62"/>
    <w:rsid w:val="00296296"/>
    <w:rsid w:val="002B0244"/>
    <w:rsid w:val="002F77CE"/>
    <w:rsid w:val="00301BFD"/>
    <w:rsid w:val="00320E57"/>
    <w:rsid w:val="00327680"/>
    <w:rsid w:val="003C2806"/>
    <w:rsid w:val="003E1B75"/>
    <w:rsid w:val="0045111B"/>
    <w:rsid w:val="00451516"/>
    <w:rsid w:val="004C2B69"/>
    <w:rsid w:val="005007A4"/>
    <w:rsid w:val="0050116D"/>
    <w:rsid w:val="005273F7"/>
    <w:rsid w:val="005734EE"/>
    <w:rsid w:val="005F15CB"/>
    <w:rsid w:val="006858BA"/>
    <w:rsid w:val="006F314D"/>
    <w:rsid w:val="00713B5B"/>
    <w:rsid w:val="0071474C"/>
    <w:rsid w:val="00733CE7"/>
    <w:rsid w:val="00786B78"/>
    <w:rsid w:val="00842189"/>
    <w:rsid w:val="008473C4"/>
    <w:rsid w:val="008B61C0"/>
    <w:rsid w:val="008C07B8"/>
    <w:rsid w:val="008E269C"/>
    <w:rsid w:val="008F34BC"/>
    <w:rsid w:val="00994589"/>
    <w:rsid w:val="00994A18"/>
    <w:rsid w:val="009B3E08"/>
    <w:rsid w:val="009B4A3A"/>
    <w:rsid w:val="009C50CB"/>
    <w:rsid w:val="00A14CBF"/>
    <w:rsid w:val="00A50D6E"/>
    <w:rsid w:val="00A74E00"/>
    <w:rsid w:val="00A82450"/>
    <w:rsid w:val="00A93436"/>
    <w:rsid w:val="00AD38CA"/>
    <w:rsid w:val="00AF00FA"/>
    <w:rsid w:val="00AF5FAE"/>
    <w:rsid w:val="00B025EB"/>
    <w:rsid w:val="00B839D1"/>
    <w:rsid w:val="00BA249F"/>
    <w:rsid w:val="00BF651E"/>
    <w:rsid w:val="00C01606"/>
    <w:rsid w:val="00C02883"/>
    <w:rsid w:val="00C16EB0"/>
    <w:rsid w:val="00D0778E"/>
    <w:rsid w:val="00D07E3D"/>
    <w:rsid w:val="00D42A7B"/>
    <w:rsid w:val="00D50F17"/>
    <w:rsid w:val="00DE7479"/>
    <w:rsid w:val="00E01C74"/>
    <w:rsid w:val="00ED2958"/>
    <w:rsid w:val="00EF6DBC"/>
    <w:rsid w:val="00EF7499"/>
    <w:rsid w:val="00FB02FD"/>
    <w:rsid w:val="00FE6C01"/>
    <w:rsid w:val="00FE6CC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B75"/>
    <w:rPr>
      <w:sz w:val="20"/>
      <w:szCs w:val="20"/>
    </w:rPr>
  </w:style>
  <w:style w:type="paragraph" w:styleId="Heading1">
    <w:name w:val="heading 1"/>
    <w:basedOn w:val="Normal"/>
    <w:next w:val="Normal"/>
    <w:link w:val="Heading1Char"/>
    <w:uiPriority w:val="99"/>
    <w:qFormat/>
    <w:rsid w:val="003E1B75"/>
    <w:pPr>
      <w:spacing w:before="240"/>
      <w:outlineLvl w:val="0"/>
    </w:pPr>
    <w:rPr>
      <w:b/>
      <w:sz w:val="24"/>
      <w:u w:val="single"/>
    </w:rPr>
  </w:style>
  <w:style w:type="paragraph" w:styleId="Heading2">
    <w:name w:val="heading 2"/>
    <w:basedOn w:val="Normal"/>
    <w:next w:val="Normal"/>
    <w:link w:val="Heading2Char"/>
    <w:uiPriority w:val="99"/>
    <w:qFormat/>
    <w:rsid w:val="003E1B75"/>
    <w:pPr>
      <w:spacing w:before="120"/>
      <w:outlineLvl w:val="1"/>
    </w:pPr>
    <w:rPr>
      <w:b/>
      <w:sz w:val="24"/>
    </w:rPr>
  </w:style>
  <w:style w:type="paragraph" w:styleId="Heading3">
    <w:name w:val="heading 3"/>
    <w:basedOn w:val="Normal"/>
    <w:next w:val="NormalIndent"/>
    <w:link w:val="Heading3Char"/>
    <w:uiPriority w:val="99"/>
    <w:qFormat/>
    <w:rsid w:val="003E1B75"/>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F77CE"/>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2F77CE"/>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2F77CE"/>
    <w:rPr>
      <w:rFonts w:ascii="Cambria" w:hAnsi="Cambria" w:cs="Times New Roman"/>
      <w:b/>
      <w:bCs/>
      <w:sz w:val="26"/>
      <w:szCs w:val="26"/>
    </w:rPr>
  </w:style>
  <w:style w:type="paragraph" w:styleId="NormalIndent">
    <w:name w:val="Normal Indent"/>
    <w:basedOn w:val="Normal"/>
    <w:uiPriority w:val="99"/>
    <w:rsid w:val="003E1B75"/>
    <w:pPr>
      <w:ind w:left="708"/>
    </w:pPr>
  </w:style>
  <w:style w:type="paragraph" w:styleId="Header">
    <w:name w:val="header"/>
    <w:basedOn w:val="Normal"/>
    <w:link w:val="HeaderChar"/>
    <w:uiPriority w:val="99"/>
    <w:rsid w:val="003E1B75"/>
    <w:pPr>
      <w:tabs>
        <w:tab w:val="center" w:pos="4819"/>
        <w:tab w:val="right" w:pos="9071"/>
      </w:tabs>
    </w:pPr>
  </w:style>
  <w:style w:type="character" w:customStyle="1" w:styleId="HeaderChar">
    <w:name w:val="Header Char"/>
    <w:basedOn w:val="DefaultParagraphFont"/>
    <w:link w:val="Header"/>
    <w:uiPriority w:val="99"/>
    <w:semiHidden/>
    <w:locked/>
    <w:rsid w:val="002F77CE"/>
    <w:rPr>
      <w:rFonts w:cs="Times New Roman"/>
      <w:sz w:val="20"/>
      <w:szCs w:val="20"/>
    </w:rPr>
  </w:style>
  <w:style w:type="paragraph" w:customStyle="1" w:styleId="ET">
    <w:name w:val="ET"/>
    <w:basedOn w:val="Normal"/>
    <w:uiPriority w:val="99"/>
    <w:rsid w:val="003E1B75"/>
    <w:rPr>
      <w:b/>
      <w:caps/>
      <w:sz w:val="24"/>
    </w:rPr>
  </w:style>
  <w:style w:type="paragraph" w:customStyle="1" w:styleId="OR">
    <w:name w:val="OR"/>
    <w:basedOn w:val="ET"/>
    <w:uiPriority w:val="99"/>
    <w:rsid w:val="003E1B75"/>
    <w:pPr>
      <w:ind w:left="5670"/>
    </w:pPr>
    <w:rPr>
      <w:b w:val="0"/>
      <w:caps w:val="0"/>
    </w:rPr>
  </w:style>
  <w:style w:type="paragraph" w:customStyle="1" w:styleId="TI">
    <w:name w:val="TI"/>
    <w:basedOn w:val="OR"/>
    <w:uiPriority w:val="99"/>
    <w:rsid w:val="003E1B75"/>
    <w:pPr>
      <w:ind w:left="1701"/>
      <w:jc w:val="center"/>
    </w:pPr>
    <w:rPr>
      <w:caps/>
      <w:u w:val="single"/>
    </w:rPr>
  </w:style>
  <w:style w:type="paragraph" w:customStyle="1" w:styleId="P0">
    <w:name w:val="P0"/>
    <w:basedOn w:val="ET"/>
    <w:uiPriority w:val="99"/>
    <w:rsid w:val="003E1B75"/>
    <w:pPr>
      <w:ind w:left="1701"/>
      <w:jc w:val="both"/>
    </w:pPr>
    <w:rPr>
      <w:b w:val="0"/>
      <w:caps w:val="0"/>
    </w:rPr>
  </w:style>
  <w:style w:type="paragraph" w:customStyle="1" w:styleId="EL">
    <w:name w:val="EL"/>
    <w:basedOn w:val="P0"/>
    <w:uiPriority w:val="99"/>
    <w:rsid w:val="003E1B75"/>
    <w:pPr>
      <w:spacing w:after="240"/>
      <w:ind w:firstLine="1418"/>
    </w:pPr>
  </w:style>
  <w:style w:type="paragraph" w:customStyle="1" w:styleId="IN">
    <w:name w:val="IN"/>
    <w:basedOn w:val="P0"/>
    <w:uiPriority w:val="99"/>
    <w:rsid w:val="003E1B75"/>
    <w:pPr>
      <w:ind w:left="0"/>
      <w:jc w:val="left"/>
    </w:pPr>
    <w:rPr>
      <w:i/>
      <w:sz w:val="16"/>
    </w:rPr>
  </w:style>
  <w:style w:type="paragraph" w:customStyle="1" w:styleId="RE">
    <w:name w:val="RE"/>
    <w:basedOn w:val="P0"/>
    <w:uiPriority w:val="99"/>
    <w:rsid w:val="003E1B75"/>
    <w:pPr>
      <w:ind w:left="0"/>
    </w:pPr>
  </w:style>
  <w:style w:type="paragraph" w:customStyle="1" w:styleId="PE">
    <w:name w:val="PE"/>
    <w:basedOn w:val="IN"/>
    <w:uiPriority w:val="99"/>
    <w:rsid w:val="003E1B75"/>
    <w:pPr>
      <w:keepNext/>
      <w:ind w:left="1701"/>
      <w:jc w:val="both"/>
    </w:pPr>
    <w:rPr>
      <w:i w:val="0"/>
      <w:sz w:val="24"/>
    </w:rPr>
  </w:style>
  <w:style w:type="paragraph" w:customStyle="1" w:styleId="PC">
    <w:name w:val="PC"/>
    <w:basedOn w:val="IN"/>
    <w:uiPriority w:val="99"/>
    <w:rsid w:val="003E1B75"/>
    <w:pPr>
      <w:spacing w:after="480"/>
      <w:ind w:left="2268" w:firstLine="1134"/>
      <w:jc w:val="both"/>
    </w:pPr>
    <w:rPr>
      <w:i w:val="0"/>
      <w:sz w:val="24"/>
    </w:rPr>
  </w:style>
  <w:style w:type="paragraph" w:customStyle="1" w:styleId="PS">
    <w:name w:val="PS"/>
    <w:basedOn w:val="IN"/>
    <w:link w:val="PSCar"/>
    <w:autoRedefine/>
    <w:uiPriority w:val="99"/>
    <w:rsid w:val="0071474C"/>
    <w:pPr>
      <w:spacing w:after="360"/>
      <w:ind w:left="1701" w:firstLine="1134"/>
    </w:pPr>
    <w:rPr>
      <w:i w:val="0"/>
      <w:sz w:val="24"/>
    </w:rPr>
  </w:style>
  <w:style w:type="paragraph" w:customStyle="1" w:styleId="AR">
    <w:name w:val="AR"/>
    <w:basedOn w:val="IN"/>
    <w:uiPriority w:val="99"/>
    <w:rsid w:val="003E1B75"/>
    <w:pPr>
      <w:spacing w:before="720" w:after="720"/>
      <w:ind w:left="5103"/>
    </w:pPr>
    <w:rPr>
      <w:i w:val="0"/>
      <w:caps/>
      <w:sz w:val="24"/>
      <w:u w:val="single"/>
    </w:rPr>
  </w:style>
  <w:style w:type="paragraph" w:customStyle="1" w:styleId="ps0">
    <w:name w:val="ps"/>
    <w:basedOn w:val="Normal"/>
    <w:uiPriority w:val="99"/>
    <w:rsid w:val="00FB02FD"/>
    <w:pPr>
      <w:spacing w:before="100" w:beforeAutospacing="1" w:after="100" w:afterAutospacing="1"/>
    </w:pPr>
    <w:rPr>
      <w:sz w:val="24"/>
      <w:szCs w:val="24"/>
    </w:rPr>
  </w:style>
  <w:style w:type="paragraph" w:styleId="BodyText">
    <w:name w:val="Body Text"/>
    <w:aliases w:val="paragraphe,Corps de texte Car Car,Corps de texte Car Car Car Car,Corps de texte Car Car Car,Corps de texte Car Car C"/>
    <w:basedOn w:val="Normal"/>
    <w:link w:val="BodyTextChar"/>
    <w:uiPriority w:val="99"/>
    <w:rsid w:val="00FB02FD"/>
    <w:rPr>
      <w:b/>
      <w:smallCaps/>
    </w:rPr>
  </w:style>
  <w:style w:type="character" w:customStyle="1" w:styleId="BodyTextChar">
    <w:name w:val="Body Text Char"/>
    <w:aliases w:val="paragraphe Char,Corps de texte Car Car Char,Corps de texte Car Car Car Car Char,Corps de texte Car Car Car Char,Corps de texte Car Car C Char"/>
    <w:basedOn w:val="DefaultParagraphFont"/>
    <w:link w:val="BodyText"/>
    <w:uiPriority w:val="99"/>
    <w:semiHidden/>
    <w:locked/>
    <w:rsid w:val="002F77CE"/>
    <w:rPr>
      <w:rFonts w:cs="Times New Roman"/>
      <w:sz w:val="20"/>
      <w:szCs w:val="20"/>
    </w:rPr>
  </w:style>
  <w:style w:type="paragraph" w:customStyle="1" w:styleId="1pageCour">
    <w:name w:val="1°page Cour"/>
    <w:basedOn w:val="Normal"/>
    <w:uiPriority w:val="99"/>
    <w:rsid w:val="00FB02FD"/>
    <w:pPr>
      <w:jc w:val="center"/>
    </w:pPr>
    <w:rPr>
      <w:b/>
      <w:smallCaps/>
      <w:sz w:val="28"/>
    </w:rPr>
  </w:style>
  <w:style w:type="paragraph" w:customStyle="1" w:styleId="1pageChambre">
    <w:name w:val="1°page Chambre"/>
    <w:basedOn w:val="Normal"/>
    <w:uiPriority w:val="99"/>
    <w:rsid w:val="00FB02FD"/>
    <w:pPr>
      <w:keepNext/>
      <w:jc w:val="center"/>
      <w:outlineLvl w:val="5"/>
    </w:pPr>
    <w:rPr>
      <w:b/>
      <w:smallCaps/>
      <w:spacing w:val="6"/>
      <w:sz w:val="24"/>
    </w:rPr>
  </w:style>
  <w:style w:type="paragraph" w:customStyle="1" w:styleId="Style">
    <w:name w:val="Style"/>
    <w:basedOn w:val="Normal"/>
    <w:uiPriority w:val="99"/>
    <w:rsid w:val="00FB02FD"/>
    <w:pPr>
      <w:widowControl w:val="0"/>
      <w:overflowPunct w:val="0"/>
      <w:autoSpaceDE w:val="0"/>
      <w:autoSpaceDN w:val="0"/>
      <w:adjustRightInd w:val="0"/>
      <w:spacing w:after="160" w:line="240" w:lineRule="exact"/>
      <w:textAlignment w:val="baseline"/>
    </w:pPr>
    <w:rPr>
      <w:rFonts w:ascii="Tahoma" w:hAnsi="Tahoma"/>
      <w:lang w:val="en-US" w:eastAsia="en-US"/>
    </w:rPr>
  </w:style>
  <w:style w:type="character" w:customStyle="1" w:styleId="PSCar">
    <w:name w:val="PS Car"/>
    <w:basedOn w:val="DefaultParagraphFont"/>
    <w:link w:val="PS"/>
    <w:uiPriority w:val="99"/>
    <w:locked/>
    <w:rsid w:val="0071474C"/>
    <w:rPr>
      <w:rFonts w:cs="Times New Roman"/>
      <w:sz w:val="24"/>
      <w:lang w:val="fr-FR" w:eastAsia="fr-FR" w:bidi="ar-SA"/>
    </w:rPr>
  </w:style>
  <w:style w:type="paragraph" w:styleId="Footer">
    <w:name w:val="footer"/>
    <w:basedOn w:val="Normal"/>
    <w:link w:val="FooterChar"/>
    <w:uiPriority w:val="99"/>
    <w:rsid w:val="009C50CB"/>
    <w:pPr>
      <w:tabs>
        <w:tab w:val="center" w:pos="4536"/>
        <w:tab w:val="right" w:pos="9072"/>
      </w:tabs>
    </w:pPr>
  </w:style>
  <w:style w:type="character" w:customStyle="1" w:styleId="FooterChar">
    <w:name w:val="Footer Char"/>
    <w:basedOn w:val="DefaultParagraphFont"/>
    <w:link w:val="Footer"/>
    <w:uiPriority w:val="99"/>
    <w:semiHidden/>
    <w:locked/>
    <w:rsid w:val="002F77CE"/>
    <w:rPr>
      <w:rFonts w:cs="Times New Roman"/>
      <w:sz w:val="20"/>
      <w:szCs w:val="20"/>
    </w:rPr>
  </w:style>
  <w:style w:type="character" w:styleId="PageNumber">
    <w:name w:val="page number"/>
    <w:basedOn w:val="DefaultParagraphFont"/>
    <w:uiPriority w:val="99"/>
    <w:rsid w:val="009C50CB"/>
    <w:rPr>
      <w:rFonts w:cs="Times New Roman"/>
    </w:rPr>
  </w:style>
  <w:style w:type="paragraph" w:customStyle="1" w:styleId="CarCar1CarCarCarCarCarCar">
    <w:name w:val="Car Car1 Car Car Car Car Car Car"/>
    <w:basedOn w:val="Normal"/>
    <w:uiPriority w:val="99"/>
    <w:rsid w:val="00C16EB0"/>
    <w:pPr>
      <w:spacing w:after="160" w:line="240" w:lineRule="exact"/>
    </w:pPr>
    <w:rPr>
      <w:rFonts w:ascii="Tahoma" w:hAnsi="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1</TotalTime>
  <Pages>4</Pages>
  <Words>768</Words>
  <Characters>4230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2</cp:revision>
  <cp:lastPrinted>2011-01-18T10:30:00Z</cp:lastPrinted>
  <dcterms:created xsi:type="dcterms:W3CDTF">2011-02-02T08:48:00Z</dcterms:created>
  <dcterms:modified xsi:type="dcterms:W3CDTF">2011-02-02T08:48:00Z</dcterms:modified>
</cp:coreProperties>
</file>