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1C2" w:rsidRPr="00D247F6" w:rsidRDefault="001441C2" w:rsidP="00623CCC">
      <w:pPr>
        <w:rPr>
          <w:b/>
          <w:bCs/>
          <w:caps/>
          <w:sz w:val="24"/>
          <w:szCs w:val="24"/>
        </w:rPr>
      </w:pPr>
      <w:r>
        <w:rPr>
          <w:b/>
          <w:bCs/>
          <w:caps/>
        </w:rPr>
        <w:t xml:space="preserve"> </w:t>
      </w:r>
      <w:r w:rsidRPr="00D247F6">
        <w:rPr>
          <w:b/>
          <w:bCs/>
          <w:caps/>
          <w:sz w:val="24"/>
          <w:szCs w:val="24"/>
        </w:rPr>
        <w:t>COUR DES COMPTES</w:t>
      </w:r>
    </w:p>
    <w:p w:rsidR="001441C2" w:rsidRPr="00D247F6" w:rsidRDefault="001441C2" w:rsidP="00623CCC">
      <w:pPr>
        <w:rPr>
          <w:b/>
          <w:bCs/>
          <w:caps/>
          <w:sz w:val="24"/>
          <w:szCs w:val="24"/>
        </w:rPr>
      </w:pPr>
      <w:r w:rsidRPr="00D247F6">
        <w:rPr>
          <w:b/>
          <w:bCs/>
          <w:caps/>
          <w:sz w:val="24"/>
          <w:szCs w:val="24"/>
        </w:rPr>
        <w:t xml:space="preserve">               --------</w:t>
      </w:r>
    </w:p>
    <w:p w:rsidR="001441C2" w:rsidRPr="00D247F6" w:rsidRDefault="001441C2" w:rsidP="00623CCC">
      <w:pPr>
        <w:rPr>
          <w:b/>
          <w:bCs/>
          <w:caps/>
          <w:sz w:val="24"/>
          <w:szCs w:val="24"/>
        </w:rPr>
      </w:pPr>
      <w:r w:rsidRPr="00D247F6">
        <w:rPr>
          <w:b/>
          <w:bCs/>
          <w:caps/>
          <w:sz w:val="24"/>
          <w:szCs w:val="24"/>
        </w:rPr>
        <w:t>QUATRIEME CHAMBRE</w:t>
      </w:r>
    </w:p>
    <w:p w:rsidR="001441C2" w:rsidRPr="00D247F6" w:rsidRDefault="001441C2" w:rsidP="00623CCC">
      <w:pPr>
        <w:rPr>
          <w:b/>
          <w:bCs/>
          <w:caps/>
          <w:sz w:val="24"/>
          <w:szCs w:val="24"/>
        </w:rPr>
      </w:pPr>
      <w:r w:rsidRPr="00D247F6">
        <w:rPr>
          <w:b/>
          <w:bCs/>
          <w:caps/>
          <w:sz w:val="24"/>
          <w:szCs w:val="24"/>
        </w:rPr>
        <w:t xml:space="preserve">               --------</w:t>
      </w:r>
    </w:p>
    <w:p w:rsidR="001441C2" w:rsidRPr="00D247F6" w:rsidRDefault="001441C2" w:rsidP="00623CCC">
      <w:pPr>
        <w:rPr>
          <w:b/>
          <w:bCs/>
          <w:caps/>
          <w:sz w:val="24"/>
          <w:szCs w:val="24"/>
        </w:rPr>
      </w:pPr>
      <w:r w:rsidRPr="00D247F6">
        <w:rPr>
          <w:b/>
          <w:bCs/>
          <w:caps/>
          <w:sz w:val="24"/>
          <w:szCs w:val="24"/>
        </w:rPr>
        <w:t>PREMIERE SECTION</w:t>
      </w:r>
    </w:p>
    <w:p w:rsidR="001441C2" w:rsidRPr="00D247F6" w:rsidRDefault="001441C2" w:rsidP="00623CCC">
      <w:pPr>
        <w:rPr>
          <w:b/>
          <w:bCs/>
          <w:caps/>
          <w:sz w:val="24"/>
          <w:szCs w:val="24"/>
        </w:rPr>
      </w:pPr>
      <w:r w:rsidRPr="00D247F6">
        <w:rPr>
          <w:b/>
          <w:bCs/>
          <w:caps/>
          <w:sz w:val="24"/>
          <w:szCs w:val="24"/>
        </w:rPr>
        <w:t xml:space="preserve">               -------- </w:t>
      </w:r>
    </w:p>
    <w:p w:rsidR="001441C2" w:rsidRPr="00D247F6" w:rsidRDefault="001441C2" w:rsidP="00F642DF">
      <w:pPr>
        <w:pStyle w:val="BodyText"/>
        <w:ind w:firstLine="284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 xml:space="preserve">     </w:t>
      </w:r>
      <w:r w:rsidRPr="00D247F6">
        <w:rPr>
          <w:b/>
          <w:bCs/>
          <w:i/>
          <w:iCs/>
          <w:sz w:val="22"/>
          <w:szCs w:val="22"/>
        </w:rPr>
        <w:t>Arrêt n° 60131</w:t>
      </w:r>
    </w:p>
    <w:p w:rsidR="001441C2" w:rsidRPr="00042DE1" w:rsidRDefault="001441C2" w:rsidP="00623CCC"/>
    <w:p w:rsidR="001441C2" w:rsidRDefault="001441C2" w:rsidP="009862EE">
      <w:pPr>
        <w:pStyle w:val="OR"/>
        <w:jc w:val="both"/>
      </w:pPr>
      <w:r>
        <w:t>GESTION DE FAIT DES DENIERS</w:t>
      </w:r>
    </w:p>
    <w:p w:rsidR="001441C2" w:rsidRDefault="001441C2" w:rsidP="009862EE">
      <w:pPr>
        <w:pStyle w:val="OR"/>
        <w:jc w:val="both"/>
      </w:pPr>
      <w:r>
        <w:t xml:space="preserve">DE L’ESAT </w:t>
      </w:r>
      <w:r w:rsidRPr="00D247F6">
        <w:rPr>
          <w:caps/>
        </w:rPr>
        <w:t>de la Bréotière</w:t>
      </w:r>
      <w:r>
        <w:t xml:space="preserve"> </w:t>
      </w:r>
    </w:p>
    <w:p w:rsidR="001441C2" w:rsidRDefault="001441C2" w:rsidP="00D247F6">
      <w:pPr>
        <w:pStyle w:val="OR"/>
        <w:jc w:val="both"/>
      </w:pPr>
      <w:r>
        <w:t>(Maine et Loire)</w:t>
      </w:r>
    </w:p>
    <w:p w:rsidR="001441C2" w:rsidRPr="00042DE1" w:rsidRDefault="001441C2" w:rsidP="00D247F6">
      <w:pPr>
        <w:pStyle w:val="OR"/>
        <w:jc w:val="both"/>
      </w:pPr>
    </w:p>
    <w:p w:rsidR="001441C2" w:rsidRDefault="001441C2" w:rsidP="00D247F6">
      <w:pPr>
        <w:pStyle w:val="OR"/>
        <w:jc w:val="both"/>
      </w:pPr>
      <w:r w:rsidRPr="00D247F6">
        <w:t>Appel d’un jugement de la chambre régionale des comptes des Pays de la Loire</w:t>
      </w:r>
    </w:p>
    <w:p w:rsidR="001441C2" w:rsidRPr="00D247F6" w:rsidRDefault="001441C2" w:rsidP="00D247F6">
      <w:pPr>
        <w:pStyle w:val="OR"/>
        <w:jc w:val="both"/>
      </w:pPr>
    </w:p>
    <w:p w:rsidR="001441C2" w:rsidRPr="00D247F6" w:rsidRDefault="001441C2" w:rsidP="00D247F6">
      <w:pPr>
        <w:pStyle w:val="OR"/>
        <w:jc w:val="both"/>
      </w:pPr>
      <w:r w:rsidRPr="00D247F6">
        <w:t>Rapport n° 2010-802-0</w:t>
      </w:r>
    </w:p>
    <w:p w:rsidR="001441C2" w:rsidRPr="00CE299A" w:rsidRDefault="001441C2" w:rsidP="00D247F6">
      <w:pPr>
        <w:pStyle w:val="OR"/>
        <w:jc w:val="both"/>
        <w:rPr>
          <w:b/>
          <w:bCs/>
        </w:rPr>
      </w:pPr>
    </w:p>
    <w:p w:rsidR="001441C2" w:rsidRDefault="001441C2" w:rsidP="00D247F6">
      <w:pPr>
        <w:pStyle w:val="OR"/>
        <w:jc w:val="both"/>
      </w:pPr>
      <w:r>
        <w:t xml:space="preserve">Audience </w:t>
      </w:r>
      <w:r w:rsidRPr="00CE299A">
        <w:t xml:space="preserve">publique </w:t>
      </w:r>
      <w:r>
        <w:t>du 13 janvier 2011</w:t>
      </w:r>
    </w:p>
    <w:p w:rsidR="001441C2" w:rsidRDefault="001441C2" w:rsidP="00D247F6">
      <w:pPr>
        <w:pStyle w:val="OR"/>
        <w:jc w:val="both"/>
      </w:pPr>
      <w:r w:rsidRPr="00CE299A">
        <w:t>et délibéré du</w:t>
      </w:r>
      <w:r>
        <w:t xml:space="preserve"> 26 janvier 2011</w:t>
      </w:r>
    </w:p>
    <w:p w:rsidR="001441C2" w:rsidRDefault="001441C2" w:rsidP="00D247F6">
      <w:pPr>
        <w:pStyle w:val="OR"/>
        <w:jc w:val="both"/>
      </w:pPr>
    </w:p>
    <w:p w:rsidR="001441C2" w:rsidRDefault="001441C2" w:rsidP="00D247F6">
      <w:pPr>
        <w:pStyle w:val="OR"/>
        <w:jc w:val="both"/>
      </w:pPr>
      <w:r>
        <w:t xml:space="preserve">Lecture publique du 9 mars 2011 </w:t>
      </w:r>
    </w:p>
    <w:p w:rsidR="001441C2" w:rsidRDefault="001441C2" w:rsidP="00D247F6">
      <w:pPr>
        <w:pStyle w:val="PS"/>
      </w:pPr>
    </w:p>
    <w:p w:rsidR="001441C2" w:rsidRDefault="001441C2" w:rsidP="00D247F6">
      <w:pPr>
        <w:pStyle w:val="PS"/>
      </w:pPr>
      <w:r>
        <w:t>LA COUR DES COMPTES a rendu l’arrêt suivant :</w:t>
      </w:r>
    </w:p>
    <w:p w:rsidR="001441C2" w:rsidRPr="00B82C1D" w:rsidRDefault="001441C2" w:rsidP="00D247F6">
      <w:pPr>
        <w:pStyle w:val="PS"/>
      </w:pPr>
      <w:r>
        <w:t>LA</w:t>
      </w:r>
      <w:r w:rsidRPr="00B82C1D">
        <w:t xml:space="preserve"> COUR,</w:t>
      </w:r>
    </w:p>
    <w:p w:rsidR="001441C2" w:rsidRDefault="001441C2" w:rsidP="00FE6DE4">
      <w:pPr>
        <w:pStyle w:val="PS"/>
      </w:pPr>
      <w:r>
        <w:t>Vu les</w:t>
      </w:r>
      <w:r w:rsidRPr="00B82C1D">
        <w:t xml:space="preserve"> requête</w:t>
      </w:r>
      <w:r>
        <w:t>s,</w:t>
      </w:r>
      <w:r w:rsidRPr="00B82C1D">
        <w:t xml:space="preserve"> enregistrée</w:t>
      </w:r>
      <w:r>
        <w:t>s</w:t>
      </w:r>
      <w:r w:rsidRPr="00B82C1D">
        <w:t xml:space="preserve"> le</w:t>
      </w:r>
      <w:r>
        <w:t>s</w:t>
      </w:r>
      <w:r w:rsidRPr="00B82C1D">
        <w:t xml:space="preserve"> </w:t>
      </w:r>
      <w:r>
        <w:t xml:space="preserve">4 et 17 mai 2010 </w:t>
      </w:r>
      <w:r w:rsidRPr="00B82C1D">
        <w:t xml:space="preserve">au greffe de la chambre </w:t>
      </w:r>
      <w:r w:rsidRPr="00CE299A">
        <w:t>régionale</w:t>
      </w:r>
      <w:r w:rsidRPr="00B82C1D">
        <w:t xml:space="preserve"> des comptes de</w:t>
      </w:r>
      <w:r>
        <w:t xml:space="preserve">s Pays de la Loire, </w:t>
      </w:r>
      <w:r w:rsidRPr="00B82C1D">
        <w:t>par l</w:t>
      </w:r>
      <w:r>
        <w:t>esquelles</w:t>
      </w:r>
      <w:r w:rsidRPr="00065A05">
        <w:t xml:space="preserve"> </w:t>
      </w:r>
      <w:r>
        <w:t>M. X, solidairement avec l'association "</w:t>
      </w:r>
      <w:r w:rsidRPr="006232D9">
        <w:rPr>
          <w:caps/>
        </w:rPr>
        <w:t>L'étrier baugeois</w:t>
      </w:r>
      <w:r>
        <w:t xml:space="preserve">", </w:t>
      </w:r>
      <w:r w:rsidRPr="00B82C1D">
        <w:t>a élevé appel du jugement</w:t>
      </w:r>
      <w:r>
        <w:t xml:space="preserve"> n° 2010-0002</w:t>
      </w:r>
      <w:r w:rsidRPr="00B82C1D">
        <w:t xml:space="preserve"> du </w:t>
      </w:r>
      <w:r>
        <w:t>15 mars 2010 ;</w:t>
      </w:r>
    </w:p>
    <w:p w:rsidR="001441C2" w:rsidRDefault="001441C2" w:rsidP="00F93FAB">
      <w:pPr>
        <w:pStyle w:val="PS"/>
      </w:pPr>
      <w:r>
        <w:t>Vu ledit jugement</w:t>
      </w:r>
      <w:r w:rsidRPr="00B82C1D">
        <w:t xml:space="preserve"> </w:t>
      </w:r>
      <w:r>
        <w:t>par lequel</w:t>
      </w:r>
      <w:r w:rsidRPr="00B82C1D">
        <w:t xml:space="preserve"> ladit</w:t>
      </w:r>
      <w:r>
        <w:t>e chambre les a constitués solidairement débiteurs envers l’ESAT de La Bréotière pour la somme de 103 126,14 € augmentée des intérêts de droit, et a prononcé une amende de 5 000 € à l'encontre de M. X et de 2 000 € à l'encontre de l’association "L'étrier baugeois" ;</w:t>
      </w:r>
    </w:p>
    <w:p w:rsidR="001441C2" w:rsidRDefault="001441C2" w:rsidP="006232D9">
      <w:pPr>
        <w:pStyle w:val="PS"/>
      </w:pPr>
      <w:r w:rsidRPr="00497A94">
        <w:t xml:space="preserve">Vu le réquisitoire </w:t>
      </w:r>
      <w:r>
        <w:t xml:space="preserve">n° 2010-68 </w:t>
      </w:r>
      <w:r w:rsidRPr="00497A94">
        <w:t xml:space="preserve">du </w:t>
      </w:r>
      <w:r>
        <w:t>procureur général</w:t>
      </w:r>
      <w:r w:rsidRPr="00497A94">
        <w:t xml:space="preserve"> du</w:t>
      </w:r>
      <w:r>
        <w:t xml:space="preserve"> 24 août 2010 transmettant</w:t>
      </w:r>
      <w:r w:rsidRPr="00497A94">
        <w:t xml:space="preserve"> la requête précitée ;</w:t>
      </w:r>
    </w:p>
    <w:p w:rsidR="001441C2" w:rsidRDefault="001441C2" w:rsidP="00D247F6">
      <w:pPr>
        <w:pStyle w:val="PS"/>
      </w:pPr>
      <w:r w:rsidRPr="00B82C1D">
        <w:t>Vu les pièces de la procédure suivie en première instance</w:t>
      </w:r>
      <w:r>
        <w:t xml:space="preserve"> </w:t>
      </w:r>
      <w:r w:rsidRPr="00B82C1D">
        <w:t>;</w:t>
      </w:r>
    </w:p>
    <w:p w:rsidR="001441C2" w:rsidRDefault="001441C2" w:rsidP="006232D9">
      <w:pPr>
        <w:pStyle w:val="PS"/>
      </w:pPr>
      <w:r w:rsidRPr="00B82C1D">
        <w:t>Vu le code des juridictions financières</w:t>
      </w:r>
      <w:r>
        <w:t>, notamment son article R. 243-4 ;</w:t>
      </w:r>
    </w:p>
    <w:p w:rsidR="001441C2" w:rsidRPr="006232D9" w:rsidRDefault="001441C2" w:rsidP="006232D9">
      <w:pPr>
        <w:pStyle w:val="PS"/>
        <w:ind w:hanging="1134"/>
        <w:rPr>
          <w:sz w:val="16"/>
          <w:szCs w:val="16"/>
        </w:rPr>
      </w:pPr>
      <w:r>
        <w:fldChar w:fldCharType="begin"/>
      </w:r>
      <w:r>
        <w:fldChar w:fldCharType="end"/>
      </w:r>
    </w:p>
    <w:p w:rsidR="001441C2" w:rsidRDefault="001441C2">
      <w:pPr>
        <w:pStyle w:val="P0"/>
        <w:sectPr w:rsidR="001441C2">
          <w:pgSz w:w="11907" w:h="16840"/>
          <w:pgMar w:top="1134" w:right="1134" w:bottom="1134" w:left="567" w:header="720" w:footer="720" w:gutter="0"/>
          <w:cols w:space="720"/>
        </w:sectPr>
      </w:pPr>
    </w:p>
    <w:p w:rsidR="001441C2" w:rsidRDefault="001441C2" w:rsidP="00580643">
      <w:pPr>
        <w:pStyle w:val="PS"/>
      </w:pPr>
      <w:r>
        <w:t>Vu</w:t>
      </w:r>
      <w:r w:rsidRPr="00B82C1D">
        <w:t xml:space="preserve"> le rapport de M</w:t>
      </w:r>
      <w:r>
        <w:t>adame Catherine Démier, conseillère maître</w:t>
      </w:r>
      <w:r w:rsidRPr="00B82C1D">
        <w:t> ;</w:t>
      </w:r>
    </w:p>
    <w:p w:rsidR="001441C2" w:rsidRDefault="001441C2" w:rsidP="006232D9">
      <w:pPr>
        <w:pStyle w:val="PS"/>
      </w:pPr>
      <w:r w:rsidRPr="00B82C1D">
        <w:t xml:space="preserve">Vu les conclusions </w:t>
      </w:r>
      <w:r>
        <w:t xml:space="preserve">n° 827 </w:t>
      </w:r>
      <w:r w:rsidRPr="00B82C1D">
        <w:t xml:space="preserve">du </w:t>
      </w:r>
      <w:r>
        <w:t>p</w:t>
      </w:r>
      <w:r w:rsidRPr="00B82C1D">
        <w:t>rocureur général</w:t>
      </w:r>
      <w:r>
        <w:t xml:space="preserve"> en date du 30 novembre 2010 ;</w:t>
      </w:r>
    </w:p>
    <w:p w:rsidR="001441C2" w:rsidRDefault="001441C2" w:rsidP="006232D9">
      <w:pPr>
        <w:pStyle w:val="PS"/>
      </w:pPr>
      <w:r w:rsidRPr="00B82C1D">
        <w:t xml:space="preserve">Entendu, lors de l’audience publique, </w:t>
      </w:r>
      <w:r>
        <w:t>M</w:t>
      </w:r>
      <w:r w:rsidRPr="007F5DB0">
        <w:rPr>
          <w:vertAlign w:val="superscript"/>
        </w:rPr>
        <w:t>me</w:t>
      </w:r>
      <w:r>
        <w:t xml:space="preserve"> Démier,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>, M.</w:t>
      </w:r>
      <w:r>
        <w:t> Maistre</w:t>
      </w:r>
      <w:r w:rsidRPr="00B82C1D">
        <w:t xml:space="preserve">, </w:t>
      </w:r>
      <w:r>
        <w:t xml:space="preserve">premier </w:t>
      </w:r>
      <w:r w:rsidRPr="00B82C1D">
        <w:t xml:space="preserve">avocat général, en </w:t>
      </w:r>
      <w:r w:rsidRPr="00CE299A">
        <w:t>l</w:t>
      </w:r>
      <w:r w:rsidRPr="00AA35D6">
        <w:t>es</w:t>
      </w:r>
      <w:r w:rsidRPr="00B82C1D">
        <w:t xml:space="preserve"> conclusions</w:t>
      </w:r>
      <w:r>
        <w:t xml:space="preserve"> </w:t>
      </w:r>
      <w:r w:rsidRPr="00CE299A">
        <w:t>du parquet</w:t>
      </w:r>
      <w:r w:rsidRPr="00B82C1D">
        <w:t xml:space="preserve">, l’appelant, informé de l’audience, </w:t>
      </w:r>
      <w:r w:rsidRPr="00C30C0B">
        <w:t>étant présent et étant intervenu en dernier</w:t>
      </w:r>
      <w:r w:rsidRPr="00B82C1D">
        <w:t> ;</w:t>
      </w:r>
    </w:p>
    <w:p w:rsidR="001441C2" w:rsidRDefault="001441C2" w:rsidP="006232D9">
      <w:pPr>
        <w:pStyle w:val="PS"/>
      </w:pPr>
      <w:r>
        <w:t>Après avoir e</w:t>
      </w:r>
      <w:r w:rsidRPr="00B82C1D">
        <w:t xml:space="preserve">ntendu, </w:t>
      </w:r>
      <w:r>
        <w:t>en délibéré</w:t>
      </w:r>
      <w:r w:rsidRPr="00B82C1D">
        <w:t>, M.</w:t>
      </w:r>
      <w:r>
        <w:t> Geoffroy, conseiller maître, en ses observations ;</w:t>
      </w:r>
    </w:p>
    <w:p w:rsidR="001441C2" w:rsidRDefault="001441C2" w:rsidP="006232D9">
      <w:pPr>
        <w:pStyle w:val="PS"/>
      </w:pPr>
      <w:r>
        <w:t>Attendu que l'article R. 243-4 du code des juridictions financières susvisé dispose que la requête en appel « doit contenir, à peine de nullité, l'exposé des faits et moyens, ainsi que les conclusions du requérant » ;</w:t>
      </w:r>
    </w:p>
    <w:p w:rsidR="001441C2" w:rsidRDefault="001441C2" w:rsidP="00D247F6">
      <w:pPr>
        <w:pStyle w:val="PS"/>
      </w:pPr>
      <w:r>
        <w:t>Attendu que les requêtes formées par les appelants ne comportent ni exposé des faits et moyens, ni conclusions ;</w:t>
      </w:r>
    </w:p>
    <w:p w:rsidR="001441C2" w:rsidRPr="00660A6D" w:rsidRDefault="001441C2" w:rsidP="006232D9">
      <w:pPr>
        <w:pStyle w:val="PS"/>
        <w:ind w:firstLine="0"/>
        <w:jc w:val="center"/>
      </w:pPr>
      <w:r w:rsidRPr="00660A6D">
        <w:t>ORDONNE :</w:t>
      </w:r>
    </w:p>
    <w:p w:rsidR="001441C2" w:rsidRDefault="001441C2" w:rsidP="00A54730">
      <w:pPr>
        <w:pStyle w:val="PS"/>
      </w:pPr>
      <w:r>
        <w:t>Les</w:t>
      </w:r>
      <w:r w:rsidRPr="00660A6D">
        <w:t xml:space="preserve"> requête</w:t>
      </w:r>
      <w:r>
        <w:t>s</w:t>
      </w:r>
      <w:r w:rsidRPr="00660A6D">
        <w:t xml:space="preserve"> </w:t>
      </w:r>
      <w:r>
        <w:t>formées solidairement par M. X et l'association "L'étrier baugeois" sont irrecevables.</w:t>
      </w:r>
    </w:p>
    <w:p w:rsidR="001441C2" w:rsidRDefault="001441C2" w:rsidP="00A54730">
      <w:pPr>
        <w:pStyle w:val="PS"/>
        <w:ind w:firstLine="0"/>
        <w:jc w:val="center"/>
      </w:pPr>
      <w:r>
        <w:t>--------</w:t>
      </w:r>
    </w:p>
    <w:p w:rsidR="001441C2" w:rsidRDefault="001441C2" w:rsidP="00BC58B6">
      <w:pPr>
        <w:pStyle w:val="PS"/>
      </w:pPr>
      <w:r w:rsidRPr="00660A6D">
        <w:t>Fait et jugé en la Cour des comptes, quatrième chambre, première section</w:t>
      </w:r>
      <w:r>
        <w:t>, le vingt-six janvier deux mil onze</w:t>
      </w:r>
      <w:r w:rsidRPr="00660A6D">
        <w:t>. Présents</w:t>
      </w:r>
      <w:r>
        <w:t> : </w:t>
      </w:r>
      <w:r w:rsidRPr="00660A6D">
        <w:t>M</w:t>
      </w:r>
      <w:r>
        <w:t>. Bayle</w:t>
      </w:r>
      <w:r w:rsidRPr="00660A6D">
        <w:t xml:space="preserve">, président, </w:t>
      </w:r>
      <w:r>
        <w:t>MM. Ganser, Thérond, Lafaure, Vermeulen, M</w:t>
      </w:r>
      <w:r w:rsidRPr="007F5DB0">
        <w:rPr>
          <w:vertAlign w:val="superscript"/>
        </w:rPr>
        <w:t>me</w:t>
      </w:r>
      <w:r>
        <w:t> Gadriot-Renard, MM. Léna, Geoffroy</w:t>
      </w:r>
      <w:r w:rsidRPr="00660A6D">
        <w:t>, conseille</w:t>
      </w:r>
      <w:r>
        <w:t>rs maîtres</w:t>
      </w:r>
      <w:r w:rsidRPr="00660A6D">
        <w:t>.</w:t>
      </w:r>
    </w:p>
    <w:p w:rsidR="001441C2" w:rsidRDefault="001441C2" w:rsidP="00D401A0">
      <w:pPr>
        <w:pStyle w:val="PS"/>
      </w:pPr>
      <w:r>
        <w:br w:type="page"/>
        <w:t>Signé : Bayle, président, et Reynaud, greffier.</w:t>
      </w:r>
    </w:p>
    <w:p w:rsidR="001441C2" w:rsidRDefault="001441C2" w:rsidP="00F642DF">
      <w:pPr>
        <w:pStyle w:val="PS"/>
      </w:pPr>
      <w:r>
        <w:t>Collationné, certifié conforme à la minute étant au greffe de la Cour des comptes et délivré par moi, secrétaire général.</w:t>
      </w:r>
    </w:p>
    <w:p w:rsidR="001441C2" w:rsidRPr="003A38BA" w:rsidRDefault="001441C2" w:rsidP="00D401A0">
      <w:pPr>
        <w:pStyle w:val="PS"/>
        <w:spacing w:after="0"/>
        <w:ind w:firstLine="4536"/>
        <w:jc w:val="center"/>
        <w:rPr>
          <w:b/>
          <w:bCs/>
        </w:rPr>
      </w:pPr>
      <w:r w:rsidRPr="003A38BA">
        <w:rPr>
          <w:b/>
          <w:bCs/>
        </w:rPr>
        <w:t>Pour le Secrétaire général</w:t>
      </w:r>
    </w:p>
    <w:p w:rsidR="001441C2" w:rsidRPr="003A38BA" w:rsidRDefault="001441C2" w:rsidP="00D401A0">
      <w:pPr>
        <w:pStyle w:val="PS"/>
        <w:spacing w:after="0"/>
        <w:ind w:firstLine="4536"/>
        <w:jc w:val="center"/>
        <w:rPr>
          <w:b/>
          <w:bCs/>
        </w:rPr>
      </w:pPr>
      <w:r w:rsidRPr="003A38BA">
        <w:rPr>
          <w:b/>
          <w:bCs/>
        </w:rPr>
        <w:t>et par délégation,</w:t>
      </w:r>
    </w:p>
    <w:p w:rsidR="001441C2" w:rsidRPr="003A38BA" w:rsidRDefault="001441C2" w:rsidP="00A52AD8">
      <w:pPr>
        <w:pStyle w:val="PS"/>
        <w:spacing w:after="1440"/>
        <w:ind w:firstLine="4536"/>
        <w:jc w:val="center"/>
        <w:rPr>
          <w:b/>
          <w:bCs/>
        </w:rPr>
      </w:pPr>
      <w:r w:rsidRPr="003A38BA">
        <w:rPr>
          <w:b/>
          <w:bCs/>
        </w:rPr>
        <w:t>le Chef du greffe contentieux</w:t>
      </w:r>
    </w:p>
    <w:p w:rsidR="001441C2" w:rsidRPr="003A38BA" w:rsidRDefault="001441C2" w:rsidP="00D401A0">
      <w:pPr>
        <w:pStyle w:val="PS"/>
        <w:ind w:firstLine="4820"/>
        <w:jc w:val="center"/>
        <w:rPr>
          <w:b/>
          <w:bCs/>
        </w:rPr>
      </w:pPr>
      <w:r w:rsidRPr="003A38BA">
        <w:rPr>
          <w:b/>
          <w:bCs/>
        </w:rPr>
        <w:t>Daniel FEREZ</w:t>
      </w:r>
    </w:p>
    <w:p w:rsidR="001441C2" w:rsidRPr="003A38BA" w:rsidRDefault="001441C2" w:rsidP="00D401A0">
      <w:pPr>
        <w:pStyle w:val="PS"/>
      </w:pPr>
    </w:p>
    <w:p w:rsidR="001441C2" w:rsidRPr="003A38BA" w:rsidRDefault="001441C2" w:rsidP="00D401A0">
      <w:pPr>
        <w:pStyle w:val="PS"/>
      </w:pPr>
      <w:r w:rsidRPr="003A38BA">
        <w:t>La présente décision juridictionnelle est susceptible d’un pourvoi devant le Conseil d’Etat qui doit, à peine d’irrecevabilité, être introduit dans un délai de deux mois à compter de la date de sa notification (article R. 143-3 du code des juridictions financières).</w:t>
      </w:r>
    </w:p>
    <w:sectPr w:rsidR="001441C2" w:rsidRPr="003A38BA" w:rsidSect="000E308F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1C2" w:rsidRDefault="001441C2">
      <w:r>
        <w:separator/>
      </w:r>
    </w:p>
  </w:endnote>
  <w:endnote w:type="continuationSeparator" w:id="0">
    <w:p w:rsidR="001441C2" w:rsidRDefault="00144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1C2" w:rsidRDefault="001441C2">
      <w:r>
        <w:separator/>
      </w:r>
    </w:p>
  </w:footnote>
  <w:footnote w:type="continuationSeparator" w:id="0">
    <w:p w:rsidR="001441C2" w:rsidRDefault="00144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1C2" w:rsidRDefault="001441C2">
    <w:pPr>
      <w:pStyle w:val="Header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>
      <w:rPr>
        <w:rFonts w:ascii="CG Times (WN)" w:hAnsi="CG Times (WN)" w:cs="CG Times (WN)"/>
        <w:noProof/>
        <w:sz w:val="24"/>
        <w:szCs w:val="24"/>
      </w:rPr>
      <w:t>3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6D0"/>
    <w:rsid w:val="00042DE1"/>
    <w:rsid w:val="00065A05"/>
    <w:rsid w:val="000E308F"/>
    <w:rsid w:val="001441C2"/>
    <w:rsid w:val="001F3C7F"/>
    <w:rsid w:val="00297A08"/>
    <w:rsid w:val="0037382D"/>
    <w:rsid w:val="003A38BA"/>
    <w:rsid w:val="00497A94"/>
    <w:rsid w:val="00580643"/>
    <w:rsid w:val="00587F3A"/>
    <w:rsid w:val="005D259C"/>
    <w:rsid w:val="006029B9"/>
    <w:rsid w:val="006232D9"/>
    <w:rsid w:val="00623CCC"/>
    <w:rsid w:val="00637390"/>
    <w:rsid w:val="00642382"/>
    <w:rsid w:val="00660A6D"/>
    <w:rsid w:val="00671485"/>
    <w:rsid w:val="0077350A"/>
    <w:rsid w:val="00785801"/>
    <w:rsid w:val="007F5DB0"/>
    <w:rsid w:val="00826502"/>
    <w:rsid w:val="00886528"/>
    <w:rsid w:val="008A2DBF"/>
    <w:rsid w:val="008A7768"/>
    <w:rsid w:val="008F15F4"/>
    <w:rsid w:val="00933695"/>
    <w:rsid w:val="009862EE"/>
    <w:rsid w:val="00991852"/>
    <w:rsid w:val="009A5E8C"/>
    <w:rsid w:val="009D46D0"/>
    <w:rsid w:val="00A52AD8"/>
    <w:rsid w:val="00A54730"/>
    <w:rsid w:val="00AA35D6"/>
    <w:rsid w:val="00B50FFC"/>
    <w:rsid w:val="00B57E7E"/>
    <w:rsid w:val="00B82C1D"/>
    <w:rsid w:val="00BC58B6"/>
    <w:rsid w:val="00C0373D"/>
    <w:rsid w:val="00C30C0B"/>
    <w:rsid w:val="00CB5BD2"/>
    <w:rsid w:val="00CE299A"/>
    <w:rsid w:val="00D247F6"/>
    <w:rsid w:val="00D401A0"/>
    <w:rsid w:val="00E45C4C"/>
    <w:rsid w:val="00E9782D"/>
    <w:rsid w:val="00EA73FB"/>
    <w:rsid w:val="00EF0F1D"/>
    <w:rsid w:val="00F3581E"/>
    <w:rsid w:val="00F60E51"/>
    <w:rsid w:val="00F642DF"/>
    <w:rsid w:val="00F93FAB"/>
    <w:rsid w:val="00FB5DC2"/>
    <w:rsid w:val="00FD755B"/>
    <w:rsid w:val="00FE6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B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A2DBF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A2DBF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8A2DBF"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23CCC"/>
    <w:pPr>
      <w:keepNext/>
      <w:keepLines/>
      <w:tabs>
        <w:tab w:val="num" w:pos="879"/>
      </w:tabs>
      <w:spacing w:before="240" w:after="120"/>
      <w:ind w:left="879" w:hanging="879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623CCC"/>
    <w:pPr>
      <w:keepNext/>
      <w:keepLines/>
      <w:tabs>
        <w:tab w:val="num" w:pos="992"/>
      </w:tabs>
      <w:spacing w:before="240" w:after="120"/>
      <w:ind w:left="992" w:hanging="992"/>
      <w:outlineLvl w:val="4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42382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42382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42382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42382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42382"/>
    <w:rPr>
      <w:rFonts w:ascii="Calibri" w:hAnsi="Calibri" w:cs="Calibri"/>
      <w:b/>
      <w:bCs/>
      <w:i/>
      <w:iCs/>
      <w:sz w:val="26"/>
      <w:szCs w:val="26"/>
    </w:rPr>
  </w:style>
  <w:style w:type="paragraph" w:styleId="NormalIndent">
    <w:name w:val="Normal Indent"/>
    <w:basedOn w:val="Normal"/>
    <w:uiPriority w:val="99"/>
    <w:rsid w:val="008A2DBF"/>
    <w:pPr>
      <w:ind w:left="708"/>
    </w:pPr>
  </w:style>
  <w:style w:type="paragraph" w:styleId="Header">
    <w:name w:val="header"/>
    <w:basedOn w:val="Normal"/>
    <w:link w:val="HeaderChar"/>
    <w:uiPriority w:val="99"/>
    <w:rsid w:val="008A2DBF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42382"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8A2DBF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8A2DBF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8A2DBF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8A2DBF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8A2DBF"/>
    <w:pPr>
      <w:spacing w:after="240"/>
      <w:ind w:firstLine="1418"/>
    </w:pPr>
  </w:style>
  <w:style w:type="paragraph" w:customStyle="1" w:styleId="IN">
    <w:name w:val="IN"/>
    <w:basedOn w:val="P0"/>
    <w:uiPriority w:val="99"/>
    <w:rsid w:val="008A2DBF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8A2DBF"/>
    <w:pPr>
      <w:ind w:left="0"/>
    </w:pPr>
  </w:style>
  <w:style w:type="paragraph" w:customStyle="1" w:styleId="PE">
    <w:name w:val="PE"/>
    <w:basedOn w:val="IN"/>
    <w:uiPriority w:val="99"/>
    <w:rsid w:val="008A2DBF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8A2DBF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8A2DBF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8A2DBF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623CCC"/>
    <w:pPr>
      <w:spacing w:before="120" w:after="120"/>
      <w:ind w:firstLine="709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42382"/>
    <w:rPr>
      <w:rFonts w:cs="Times New Roman"/>
      <w:sz w:val="20"/>
      <w:szCs w:val="20"/>
    </w:rPr>
  </w:style>
  <w:style w:type="paragraph" w:customStyle="1" w:styleId="Style">
    <w:name w:val="Style"/>
    <w:basedOn w:val="Normal"/>
    <w:uiPriority w:val="99"/>
    <w:rsid w:val="00623CCC"/>
    <w:pPr>
      <w:spacing w:after="160" w:line="240" w:lineRule="exact"/>
    </w:pPr>
    <w:rPr>
      <w:rFonts w:ascii="Tahoma" w:hAnsi="Tahoma" w:cs="Tahoma"/>
      <w:lang w:val="en-US" w:eastAsia="en-US"/>
    </w:rPr>
  </w:style>
  <w:style w:type="character" w:customStyle="1" w:styleId="PSCar">
    <w:name w:val="PS Car"/>
    <w:basedOn w:val="DefaultParagraphFont"/>
    <w:link w:val="PS"/>
    <w:uiPriority w:val="99"/>
    <w:locked/>
    <w:rsid w:val="00623CCC"/>
    <w:rPr>
      <w:rFonts w:cs="Times New Roman"/>
      <w:sz w:val="24"/>
      <w:szCs w:val="24"/>
      <w:lang w:val="fr-FR" w:eastAsia="fr-FR"/>
    </w:rPr>
  </w:style>
  <w:style w:type="paragraph" w:customStyle="1" w:styleId="CarCar1CarCarCar">
    <w:name w:val="Car Car1 Car Car Car"/>
    <w:basedOn w:val="Normal"/>
    <w:uiPriority w:val="99"/>
    <w:rsid w:val="00D401A0"/>
    <w:pPr>
      <w:spacing w:after="160" w:line="240" w:lineRule="exact"/>
    </w:pPr>
    <w:rPr>
      <w:rFonts w:ascii="Tahoma" w:hAnsi="Tahoma" w:cs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tlecroisey\Local%20Settings\Temporary%20Internet%20Files\Content.MSO\F6DF4C1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F6DF4C1E</Template>
  <TotalTime>4</TotalTime>
  <Pages>3</Pages>
  <Words>451</Words>
  <Characters>2484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mtlecroisey</cp:lastModifiedBy>
  <cp:revision>5</cp:revision>
  <cp:lastPrinted>2011-02-25T15:21:00Z</cp:lastPrinted>
  <dcterms:created xsi:type="dcterms:W3CDTF">2011-03-24T11:11:00Z</dcterms:created>
  <dcterms:modified xsi:type="dcterms:W3CDTF">2011-04-13T14:18:00Z</dcterms:modified>
</cp:coreProperties>
</file>