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9BA" w:rsidRPr="00EF7499" w:rsidRDefault="00C249BA" w:rsidP="00697C8E">
      <w:pPr>
        <w:pStyle w:val="ET"/>
        <w:outlineLvl w:val="0"/>
        <w:rPr>
          <w:caps w:val="0"/>
        </w:rPr>
      </w:pPr>
      <w:r w:rsidRPr="00EF7499">
        <w:rPr>
          <w:caps w:val="0"/>
        </w:rPr>
        <w:t xml:space="preserve">COUR </w:t>
      </w:r>
      <w:r w:rsidRPr="00234423">
        <w:rPr>
          <w:caps w:val="0"/>
        </w:rPr>
        <w:t>DES</w:t>
      </w:r>
      <w:r w:rsidRPr="00EF7499">
        <w:rPr>
          <w:caps w:val="0"/>
        </w:rPr>
        <w:t xml:space="preserve"> COMPTES</w:t>
      </w:r>
    </w:p>
    <w:p w:rsidR="00C249BA" w:rsidRDefault="00C249BA" w:rsidP="00697C8E">
      <w:pPr>
        <w:pStyle w:val="ET"/>
      </w:pPr>
      <w:r>
        <w:tab/>
        <w:t>----------</w:t>
      </w:r>
    </w:p>
    <w:p w:rsidR="00C249BA" w:rsidRPr="00EF7499" w:rsidRDefault="00C249BA" w:rsidP="00697C8E">
      <w:pPr>
        <w:pStyle w:val="ET"/>
        <w:outlineLvl w:val="0"/>
        <w:rPr>
          <w:caps w:val="0"/>
        </w:rPr>
      </w:pPr>
      <w:r w:rsidRPr="00234423">
        <w:rPr>
          <w:caps w:val="0"/>
        </w:rPr>
        <w:t>PREMIERE</w:t>
      </w:r>
      <w:r w:rsidRPr="00EF7499">
        <w:rPr>
          <w:caps w:val="0"/>
        </w:rPr>
        <w:t xml:space="preserve"> CHAMBRE</w:t>
      </w:r>
    </w:p>
    <w:p w:rsidR="00C249BA" w:rsidRDefault="00C249BA" w:rsidP="00697C8E">
      <w:pPr>
        <w:pStyle w:val="ET"/>
      </w:pPr>
      <w:r>
        <w:tab/>
        <w:t>----------</w:t>
      </w:r>
    </w:p>
    <w:p w:rsidR="00C249BA" w:rsidRPr="00EF7499" w:rsidRDefault="00C249BA" w:rsidP="00697C8E">
      <w:pPr>
        <w:pStyle w:val="ET"/>
        <w:outlineLvl w:val="0"/>
        <w:rPr>
          <w:caps w:val="0"/>
        </w:rPr>
      </w:pPr>
      <w:r w:rsidRPr="00234423">
        <w:rPr>
          <w:caps w:val="0"/>
        </w:rPr>
        <w:t>PREMIERE</w:t>
      </w:r>
      <w:r w:rsidRPr="00EF7499">
        <w:rPr>
          <w:caps w:val="0"/>
        </w:rPr>
        <w:t xml:space="preserve"> SECTION</w:t>
      </w:r>
    </w:p>
    <w:p w:rsidR="00C249BA" w:rsidRDefault="00C249BA" w:rsidP="00697C8E">
      <w:pPr>
        <w:pStyle w:val="ET"/>
        <w:spacing w:after="120"/>
      </w:pPr>
      <w:r>
        <w:tab/>
        <w:t>----------</w:t>
      </w:r>
    </w:p>
    <w:p w:rsidR="00C249BA" w:rsidRPr="001629DB" w:rsidRDefault="00C249BA" w:rsidP="00697C8E">
      <w:pPr>
        <w:pStyle w:val="Header"/>
        <w:ind w:left="426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</w:t>
      </w:r>
      <w:r w:rsidRPr="001629DB">
        <w:rPr>
          <w:b/>
          <w:bCs/>
          <w:i/>
          <w:iCs/>
          <w:sz w:val="22"/>
          <w:szCs w:val="22"/>
        </w:rPr>
        <w:t>Arrêt n° </w:t>
      </w:r>
      <w:r>
        <w:rPr>
          <w:b/>
          <w:bCs/>
          <w:i/>
          <w:iCs/>
          <w:sz w:val="22"/>
          <w:szCs w:val="22"/>
        </w:rPr>
        <w:t>60450</w:t>
      </w:r>
    </w:p>
    <w:p w:rsidR="00C249BA" w:rsidRDefault="00C249BA" w:rsidP="00697C8E">
      <w:pPr>
        <w:pStyle w:val="OR"/>
      </w:pPr>
    </w:p>
    <w:p w:rsidR="00C249BA" w:rsidRDefault="00C249BA" w:rsidP="00697C8E">
      <w:pPr>
        <w:pStyle w:val="OR"/>
      </w:pPr>
      <w:r>
        <w:t>TRESORIER-PAYEUR GENERAL</w:t>
      </w:r>
    </w:p>
    <w:p w:rsidR="00C249BA" w:rsidRDefault="00C249BA" w:rsidP="00697C8E">
      <w:pPr>
        <w:pStyle w:val="OR"/>
      </w:pPr>
      <w:r>
        <w:t>DE LA HAUTE-MARNE</w:t>
      </w:r>
    </w:p>
    <w:p w:rsidR="00C249BA" w:rsidRPr="00C34065" w:rsidRDefault="00C249BA" w:rsidP="00697C8E">
      <w:pPr>
        <w:pStyle w:val="OR"/>
      </w:pPr>
    </w:p>
    <w:p w:rsidR="00C249BA" w:rsidRDefault="00C249BA" w:rsidP="00697C8E">
      <w:pPr>
        <w:pStyle w:val="OR"/>
      </w:pPr>
      <w:r>
        <w:t>Exercice</w:t>
      </w:r>
      <w:r w:rsidRPr="00C34065">
        <w:t xml:space="preserve"> 200</w:t>
      </w:r>
      <w:r>
        <w:t>6</w:t>
      </w:r>
    </w:p>
    <w:p w:rsidR="00C249BA" w:rsidRPr="00C34065" w:rsidRDefault="00C249BA" w:rsidP="00697C8E">
      <w:pPr>
        <w:pStyle w:val="OR"/>
      </w:pPr>
    </w:p>
    <w:p w:rsidR="00C249BA" w:rsidRPr="00C34065" w:rsidRDefault="00C249BA" w:rsidP="00697C8E">
      <w:pPr>
        <w:pStyle w:val="OR"/>
      </w:pPr>
      <w:r w:rsidRPr="00C34065">
        <w:t>Rapport n°</w:t>
      </w:r>
      <w:r>
        <w:t> </w:t>
      </w:r>
      <w:r w:rsidRPr="00C34065">
        <w:t>20</w:t>
      </w:r>
      <w:r>
        <w:t>10-498</w:t>
      </w:r>
      <w:r w:rsidRPr="00C34065">
        <w:t>-0</w:t>
      </w:r>
    </w:p>
    <w:p w:rsidR="00C249BA" w:rsidRDefault="00C249BA" w:rsidP="00697C8E">
      <w:pPr>
        <w:pStyle w:val="OR"/>
      </w:pPr>
    </w:p>
    <w:p w:rsidR="00C249BA" w:rsidRPr="00C34065" w:rsidRDefault="00C249BA" w:rsidP="00697C8E">
      <w:pPr>
        <w:pStyle w:val="OR"/>
      </w:pPr>
      <w:r>
        <w:t>Audience publique du 21 septembre</w:t>
      </w:r>
      <w:r w:rsidRPr="00C34065">
        <w:t xml:space="preserve"> 2010</w:t>
      </w:r>
    </w:p>
    <w:p w:rsidR="00C249BA" w:rsidRPr="00C34065" w:rsidRDefault="00C249BA" w:rsidP="00697C8E">
      <w:pPr>
        <w:pStyle w:val="OR"/>
      </w:pPr>
    </w:p>
    <w:p w:rsidR="00C249BA" w:rsidRPr="00C34065" w:rsidRDefault="00C249BA" w:rsidP="00697C8E">
      <w:pPr>
        <w:pStyle w:val="OR"/>
      </w:pPr>
      <w:r>
        <w:t>Lecture publique du 25 mai 2011</w:t>
      </w:r>
    </w:p>
    <w:p w:rsidR="00C249BA" w:rsidRPr="00697C8E" w:rsidRDefault="00C249BA" w:rsidP="00697C8E">
      <w:pPr>
        <w:pStyle w:val="AR"/>
        <w:spacing w:before="360" w:after="0"/>
        <w:ind w:left="1701"/>
        <w:jc w:val="center"/>
        <w:rPr>
          <w:u w:val="none"/>
        </w:rPr>
      </w:pPr>
    </w:p>
    <w:p w:rsidR="00C249BA" w:rsidRDefault="00C249BA" w:rsidP="00AF26A1">
      <w:pPr>
        <w:pStyle w:val="P0"/>
        <w:ind w:left="1080"/>
        <w:jc w:val="center"/>
      </w:pPr>
      <w:r>
        <w:t>REPUBLIQUE FRANÇAISE</w:t>
      </w:r>
    </w:p>
    <w:p w:rsidR="00C249BA" w:rsidRDefault="00C249BA" w:rsidP="00AF26A1">
      <w:pPr>
        <w:pStyle w:val="P0"/>
        <w:ind w:left="1080"/>
        <w:jc w:val="center"/>
      </w:pPr>
    </w:p>
    <w:p w:rsidR="00C249BA" w:rsidRDefault="00C249BA" w:rsidP="00AF26A1">
      <w:pPr>
        <w:pStyle w:val="P0"/>
        <w:spacing w:after="120"/>
        <w:ind w:left="1080"/>
        <w:jc w:val="center"/>
      </w:pPr>
      <w:r>
        <w:t>AU NOM DU PEUPLE FRANÇAIS</w:t>
      </w:r>
    </w:p>
    <w:p w:rsidR="00C249BA" w:rsidRDefault="00C249BA" w:rsidP="00AF26A1">
      <w:pPr>
        <w:pStyle w:val="P0"/>
        <w:ind w:left="1080"/>
        <w:jc w:val="center"/>
      </w:pPr>
    </w:p>
    <w:p w:rsidR="00C249BA" w:rsidRDefault="00C249BA" w:rsidP="00AF26A1">
      <w:pPr>
        <w:pStyle w:val="P0"/>
        <w:spacing w:after="480"/>
        <w:ind w:left="1077"/>
        <w:jc w:val="center"/>
      </w:pPr>
      <w:r>
        <w:t>LA COUR DES COMPTES a rendu l’arrêt suivant :</w:t>
      </w:r>
    </w:p>
    <w:p w:rsidR="00C249BA" w:rsidRPr="00080706" w:rsidRDefault="00C249BA" w:rsidP="00697C8E">
      <w:pPr>
        <w:pStyle w:val="PS"/>
      </w:pPr>
      <w:r w:rsidRPr="00080706">
        <w:t>LA COUR,</w:t>
      </w:r>
    </w:p>
    <w:p w:rsidR="00C249BA" w:rsidRPr="00080706" w:rsidRDefault="00C249BA" w:rsidP="00697C8E">
      <w:pPr>
        <w:pStyle w:val="PS"/>
      </w:pPr>
      <w:r w:rsidRPr="00080706">
        <w:t>Vu le code des juridictions financières</w:t>
      </w:r>
      <w:r>
        <w:t xml:space="preserve"> ;</w:t>
      </w:r>
    </w:p>
    <w:p w:rsidR="00C249BA" w:rsidRPr="00080706" w:rsidRDefault="00C249BA" w:rsidP="00697C8E">
      <w:pPr>
        <w:pStyle w:val="PS"/>
      </w:pPr>
      <w:r w:rsidRPr="00080706">
        <w:t>Vu l’article 60 modifié de la loi de finances n° 63-156 du 23 février 1963 ;</w:t>
      </w:r>
    </w:p>
    <w:p w:rsidR="00C249BA" w:rsidRPr="00080706" w:rsidRDefault="00C249BA" w:rsidP="00AF26A1">
      <w:pPr>
        <w:pStyle w:val="PS"/>
        <w:spacing w:after="240"/>
      </w:pPr>
      <w:r w:rsidRPr="00080706">
        <w:t>Vu les lois et règlements applicables à la comptabilité des comptables du</w:t>
      </w:r>
      <w:r>
        <w:t> </w:t>
      </w:r>
      <w:r w:rsidRPr="00080706">
        <w:t>Trésor, notamment l’ordonnance n°</w:t>
      </w:r>
      <w:r>
        <w:t> </w:t>
      </w:r>
      <w:r w:rsidRPr="00080706">
        <w:t>59-2 du 2</w:t>
      </w:r>
      <w:r>
        <w:t> </w:t>
      </w:r>
      <w:r w:rsidRPr="00080706">
        <w:t>janvier</w:t>
      </w:r>
      <w:r>
        <w:t> </w:t>
      </w:r>
      <w:r w:rsidRPr="00080706">
        <w:t>1959 portant loi organique relative aux lois de finances, la loi organique n° 2001-692 du 1</w:t>
      </w:r>
      <w:r w:rsidRPr="00080706">
        <w:rPr>
          <w:vertAlign w:val="superscript"/>
        </w:rPr>
        <w:t>er</w:t>
      </w:r>
      <w:r w:rsidRPr="00080706">
        <w:t xml:space="preserve"> août 2001 relative au</w:t>
      </w:r>
      <w:r>
        <w:t>x</w:t>
      </w:r>
      <w:r w:rsidRPr="00080706">
        <w:t xml:space="preserve"> lois de finances, le décret n°</w:t>
      </w:r>
      <w:r>
        <w:t> </w:t>
      </w:r>
      <w:r w:rsidRPr="00080706">
        <w:t>62-1587 du 29 décembre 1962 portant règlement général sur la comptabilité publique</w:t>
      </w:r>
      <w:r>
        <w:t xml:space="preserve"> et l’instruction n° 87-128 P</w:t>
      </w:r>
      <w:r w:rsidRPr="00080706">
        <w:t xml:space="preserve">R du 29 octobre 1987 sur la comptabilité générale de l’État ; </w:t>
      </w:r>
    </w:p>
    <w:p w:rsidR="00C249BA" w:rsidRPr="00080706" w:rsidRDefault="00C249BA" w:rsidP="00697C8E">
      <w:pPr>
        <w:pStyle w:val="PS"/>
      </w:pPr>
      <w:r w:rsidRPr="00080706">
        <w:t>Vu la loi de finances de l’exercice 2006</w:t>
      </w:r>
      <w:r>
        <w:t xml:space="preserve"> </w:t>
      </w:r>
      <w:r w:rsidRPr="00080706">
        <w:t>;</w:t>
      </w:r>
    </w:p>
    <w:p w:rsidR="00C249BA" w:rsidRPr="00080706" w:rsidRDefault="00C249BA" w:rsidP="00697C8E">
      <w:pPr>
        <w:pStyle w:val="PS"/>
      </w:pPr>
      <w:r w:rsidRPr="00080706">
        <w:t>Vu l’article 34-2° alinéa de la loi n° 2008-1091 du 28 octobre 2008 relative à la Cour des comptes et aux chambres régionales des comptes</w:t>
      </w:r>
      <w:r>
        <w:t xml:space="preserve"> </w:t>
      </w:r>
      <w:r w:rsidRPr="00080706">
        <w:t xml:space="preserve">; </w:t>
      </w:r>
    </w:p>
    <w:p w:rsidR="00C249BA" w:rsidRDefault="00C249BA" w:rsidP="00EA1C13">
      <w:pPr>
        <w:pStyle w:val="PS"/>
        <w:spacing w:after="240"/>
      </w:pPr>
      <w:r w:rsidRPr="00080706">
        <w:t>Vu le code général des impôts et le livre des procédures fiscales</w:t>
      </w:r>
      <w:r>
        <w:t xml:space="preserve"> </w:t>
      </w:r>
      <w:r w:rsidRPr="00080706">
        <w:t>;</w:t>
      </w:r>
    </w:p>
    <w:p w:rsidR="00C249BA" w:rsidRDefault="00C249BA">
      <w:pPr>
        <w:pStyle w:val="P0"/>
        <w:sectPr w:rsidR="00C249BA">
          <w:pgSz w:w="11907" w:h="16840"/>
          <w:pgMar w:top="1134" w:right="1134" w:bottom="1134" w:left="567" w:header="720" w:footer="720" w:gutter="0"/>
          <w:cols w:space="720"/>
        </w:sectPr>
      </w:pPr>
    </w:p>
    <w:p w:rsidR="00C249BA" w:rsidRPr="00080706" w:rsidRDefault="00C249BA" w:rsidP="00946C43">
      <w:pPr>
        <w:pStyle w:val="PS"/>
        <w:spacing w:after="360"/>
      </w:pPr>
      <w:r w:rsidRPr="00080706">
        <w:t>Vu l’arrêté du Premier président du 2 janvier 2007 modifié portant répartition des attributions entre les chambres de la Cour ;</w:t>
      </w:r>
    </w:p>
    <w:p w:rsidR="00C249BA" w:rsidRPr="00080706" w:rsidRDefault="00C249BA" w:rsidP="00946C43">
      <w:pPr>
        <w:pStyle w:val="PS"/>
        <w:spacing w:after="360"/>
      </w:pPr>
      <w:r w:rsidRPr="00080706">
        <w:t>Vu l'arrêté n°</w:t>
      </w:r>
      <w:r>
        <w:t> </w:t>
      </w:r>
      <w:r w:rsidRPr="00080706">
        <w:t>10-030 du Doyen des présidents de chambre, Premier président par intérim, du 8 janvier 2010, portant répartition des attributions entre les chambres de la Cour des comptes ;</w:t>
      </w:r>
    </w:p>
    <w:p w:rsidR="00C249BA" w:rsidRPr="00080706" w:rsidRDefault="00C249BA" w:rsidP="00946C43">
      <w:pPr>
        <w:pStyle w:val="PS"/>
        <w:spacing w:after="360"/>
      </w:pPr>
      <w:r w:rsidRPr="00080706">
        <w:t>Vu l’arrêté modifié n° 06-346 du 10 octobre 2006 du Premier président de la Cour des comptes portant création et fixant la composition des sections au sein de la première chambre ;</w:t>
      </w:r>
    </w:p>
    <w:p w:rsidR="00C249BA" w:rsidRPr="00080706" w:rsidRDefault="00C249BA" w:rsidP="00946C43">
      <w:pPr>
        <w:pStyle w:val="PS"/>
        <w:spacing w:after="360"/>
      </w:pPr>
      <w:r>
        <w:t>Vu l’arrêt n° 53</w:t>
      </w:r>
      <w:r w:rsidRPr="00080706">
        <w:t xml:space="preserve">185 portant dispositions provisoires en date du </w:t>
      </w:r>
      <w:r>
        <w:br/>
      </w:r>
      <w:r w:rsidRPr="00080706">
        <w:t>30</w:t>
      </w:r>
      <w:r>
        <w:t> </w:t>
      </w:r>
      <w:r w:rsidRPr="00080706">
        <w:t>septembre</w:t>
      </w:r>
      <w:r>
        <w:t> </w:t>
      </w:r>
      <w:r w:rsidRPr="00080706">
        <w:t xml:space="preserve">2008 </w:t>
      </w:r>
      <w:r w:rsidRPr="00307CD0">
        <w:t>notifié</w:t>
      </w:r>
      <w:r>
        <w:t xml:space="preserve"> le 10 </w:t>
      </w:r>
      <w:r w:rsidRPr="00080706">
        <w:t>décembre</w:t>
      </w:r>
      <w:r>
        <w:t> </w:t>
      </w:r>
      <w:r w:rsidRPr="00080706">
        <w:t>2008, dont MM.</w:t>
      </w:r>
      <w:r>
        <w:t> </w:t>
      </w:r>
      <w:r w:rsidRPr="00080706">
        <w:t>X et Y ont respectivement accusé réception les 16 et 12 décembre 2008,  par lequel la Cour a statué sur les comptes rendus par ces derniers pour l’exercice 200</w:t>
      </w:r>
      <w:r w:rsidRPr="000D0356">
        <w:t>6</w:t>
      </w:r>
      <w:r>
        <w:t xml:space="preserve"> </w:t>
      </w:r>
      <w:r w:rsidRPr="00080706">
        <w:t>;</w:t>
      </w:r>
    </w:p>
    <w:p w:rsidR="00C249BA" w:rsidRPr="007332A9" w:rsidRDefault="00C249BA" w:rsidP="00946C43">
      <w:pPr>
        <w:pStyle w:val="PS"/>
        <w:spacing w:after="360"/>
      </w:pPr>
      <w:r w:rsidRPr="007332A9">
        <w:t>Vu la procuration signée par M. X le 1</w:t>
      </w:r>
      <w:r w:rsidRPr="007332A9">
        <w:rPr>
          <w:vertAlign w:val="superscript"/>
        </w:rPr>
        <w:t>er</w:t>
      </w:r>
      <w:r w:rsidRPr="007332A9">
        <w:t> décembre 2006 à M.</w:t>
      </w:r>
      <w:r>
        <w:t> </w:t>
      </w:r>
      <w:r w:rsidRPr="007332A9">
        <w:t>Y, transmissible à ses successeurs, pour répondre aux injonctions qui pourraient être prononcées sur les comptes de la trésorerie générale de la Haute-Marne antérieurement signés par ses soins ;</w:t>
      </w:r>
    </w:p>
    <w:p w:rsidR="00C249BA" w:rsidRPr="007332A9" w:rsidRDefault="00C249BA" w:rsidP="00946C43">
      <w:pPr>
        <w:pStyle w:val="PS"/>
        <w:spacing w:after="360"/>
      </w:pPr>
      <w:r w:rsidRPr="007332A9">
        <w:t>Vu la procuration signée par M. Y le 18</w:t>
      </w:r>
      <w:r>
        <w:t> </w:t>
      </w:r>
      <w:r w:rsidRPr="007332A9">
        <w:t>août</w:t>
      </w:r>
      <w:r>
        <w:t> </w:t>
      </w:r>
      <w:r w:rsidRPr="007332A9">
        <w:t xml:space="preserve">2008 à M. Z, transmissible à ses successeurs, pour répondre aux injonctions qui pourraient être prononcées sur les comptes de la trésorerie générale </w:t>
      </w:r>
      <w:r>
        <w:t xml:space="preserve">de </w:t>
      </w:r>
      <w:r w:rsidRPr="007332A9">
        <w:t>la Haute-Marne antérieurement signés par ses soins ;</w:t>
      </w:r>
    </w:p>
    <w:p w:rsidR="00C249BA" w:rsidRPr="007332A9" w:rsidRDefault="00C249BA" w:rsidP="00946C43">
      <w:pPr>
        <w:pStyle w:val="PS"/>
        <w:spacing w:after="360"/>
      </w:pPr>
      <w:r w:rsidRPr="007332A9">
        <w:t xml:space="preserve">Vu les justifications produites en exécution dudit arrêt et les réponses </w:t>
      </w:r>
      <w:r>
        <w:t>des</w:t>
      </w:r>
      <w:r>
        <w:br/>
      </w:r>
      <w:r w:rsidRPr="007332A9">
        <w:t>29 janvier 2009 et 12 août 2010 de M. Z, comptable en poste ;</w:t>
      </w:r>
    </w:p>
    <w:p w:rsidR="00C249BA" w:rsidRPr="00080706" w:rsidRDefault="00C249BA" w:rsidP="00946C43">
      <w:pPr>
        <w:pStyle w:val="PS"/>
        <w:spacing w:after="360"/>
      </w:pPr>
      <w:r w:rsidRPr="007332A9">
        <w:t>Vu</w:t>
      </w:r>
      <w:r w:rsidRPr="00080706">
        <w:t xml:space="preserve"> le rapport n° 2010-498-0 de M. Jean-Michel Lair, conseiller-maître ;</w:t>
      </w:r>
    </w:p>
    <w:p w:rsidR="00C249BA" w:rsidRPr="00080706" w:rsidRDefault="00C249BA" w:rsidP="00946C43">
      <w:pPr>
        <w:pStyle w:val="PS"/>
        <w:spacing w:after="360"/>
      </w:pPr>
      <w:r w:rsidRPr="00080706">
        <w:t>Vu les conclusions n°</w:t>
      </w:r>
      <w:r>
        <w:t> </w:t>
      </w:r>
      <w:r w:rsidRPr="00080706">
        <w:t>548 du 5</w:t>
      </w:r>
      <w:r>
        <w:t> </w:t>
      </w:r>
      <w:r w:rsidRPr="00080706">
        <w:t>juillet</w:t>
      </w:r>
      <w:r>
        <w:t> </w:t>
      </w:r>
      <w:r w:rsidRPr="00080706">
        <w:t>2010 du Procureur général près la Cour des comptes ;</w:t>
      </w:r>
    </w:p>
    <w:p w:rsidR="00C249BA" w:rsidRPr="00080706" w:rsidRDefault="00C249BA" w:rsidP="00946C43">
      <w:pPr>
        <w:pStyle w:val="PS"/>
        <w:spacing w:after="360"/>
      </w:pPr>
      <w:r w:rsidRPr="00080706">
        <w:t>Vu les lettres du 30</w:t>
      </w:r>
      <w:r>
        <w:t> </w:t>
      </w:r>
      <w:r w:rsidRPr="00080706">
        <w:t>juillet</w:t>
      </w:r>
      <w:r>
        <w:t> </w:t>
      </w:r>
      <w:r w:rsidRPr="00080706">
        <w:t>2010 informant MM.</w:t>
      </w:r>
      <w:r>
        <w:t> </w:t>
      </w:r>
      <w:r w:rsidRPr="00080706">
        <w:t>X et Y de leur possibilité d’assister à l’audience publique du 21 septembre 2010 et d’y être entendu</w:t>
      </w:r>
      <w:r>
        <w:t>s</w:t>
      </w:r>
      <w:r w:rsidRPr="00080706">
        <w:t>, ensemble l’accusé de réception de cette lettre en date du 2 août 2010 ;</w:t>
      </w:r>
    </w:p>
    <w:p w:rsidR="00C249BA" w:rsidRPr="00080706" w:rsidRDefault="00C249BA" w:rsidP="00946C43">
      <w:pPr>
        <w:pStyle w:val="PS"/>
        <w:spacing w:after="360"/>
      </w:pPr>
      <w:r w:rsidRPr="00080706">
        <w:t>Entendu</w:t>
      </w:r>
      <w:r>
        <w:t>s</w:t>
      </w:r>
      <w:r w:rsidRPr="00080706">
        <w:t xml:space="preserve"> en audience publique, M.</w:t>
      </w:r>
      <w:r>
        <w:t> </w:t>
      </w:r>
      <w:r w:rsidRPr="00080706">
        <w:t>Jean</w:t>
      </w:r>
      <w:r>
        <w:t>-</w:t>
      </w:r>
      <w:r w:rsidRPr="00080706">
        <w:t>Michel Lair, conseiller maître, en son rapport oral, M. Yves Perrin, avocat général, en ses conclusions orales ;</w:t>
      </w:r>
    </w:p>
    <w:p w:rsidR="00C249BA" w:rsidRPr="00080706" w:rsidRDefault="00C249BA" w:rsidP="00946C43">
      <w:pPr>
        <w:pStyle w:val="PS"/>
        <w:spacing w:after="360"/>
      </w:pPr>
      <w:r w:rsidRPr="00080706">
        <w:t xml:space="preserve">Entendu </w:t>
      </w:r>
      <w:r>
        <w:t>M. Y</w:t>
      </w:r>
      <w:r w:rsidRPr="00080706">
        <w:t xml:space="preserve"> en audience publique ;</w:t>
      </w:r>
    </w:p>
    <w:p w:rsidR="00C249BA" w:rsidRDefault="00C249BA" w:rsidP="00441F47">
      <w:pPr>
        <w:pStyle w:val="PS"/>
      </w:pPr>
      <w:r w:rsidRPr="00080706">
        <w:t>Entendu</w:t>
      </w:r>
      <w:r>
        <w:t>e</w:t>
      </w:r>
      <w:r w:rsidRPr="00080706">
        <w:t xml:space="preserve"> à huis clos, le ministère public et le rapporteur s’éta</w:t>
      </w:r>
      <w:r>
        <w:t>nt retirés, M</w:t>
      </w:r>
      <w:r w:rsidRPr="001340F3">
        <w:rPr>
          <w:vertAlign w:val="superscript"/>
        </w:rPr>
        <w:t>me</w:t>
      </w:r>
      <w:r>
        <w:t> Marie-Hélène Dos Reis</w:t>
      </w:r>
      <w:r w:rsidRPr="00080706">
        <w:t>, conseiller maître, en ses observations ;</w:t>
      </w:r>
    </w:p>
    <w:p w:rsidR="00C249BA" w:rsidRPr="00080706" w:rsidRDefault="00C249BA" w:rsidP="00441F47">
      <w:pPr>
        <w:pStyle w:val="PS"/>
        <w:ind w:firstLine="0"/>
        <w:jc w:val="center"/>
      </w:pPr>
      <w:r w:rsidRPr="00080706">
        <w:t>STATUANT DEFINITIVEMENT,</w:t>
      </w:r>
    </w:p>
    <w:p w:rsidR="00C249BA" w:rsidRPr="00080706" w:rsidRDefault="00C249BA" w:rsidP="00441F47">
      <w:pPr>
        <w:pStyle w:val="PS"/>
        <w:ind w:firstLine="0"/>
        <w:jc w:val="center"/>
      </w:pPr>
      <w:r w:rsidRPr="00080706">
        <w:t>ORDONNE :</w:t>
      </w:r>
    </w:p>
    <w:p w:rsidR="00C249BA" w:rsidRPr="00080706" w:rsidRDefault="00C249BA" w:rsidP="00441F47">
      <w:pPr>
        <w:pStyle w:val="PS"/>
      </w:pPr>
      <w:r w:rsidRPr="00080706">
        <w:t>A l’égard de M. X</w:t>
      </w:r>
    </w:p>
    <w:p w:rsidR="00C249BA" w:rsidRPr="00CD64C7" w:rsidRDefault="00C249BA" w:rsidP="00441F47">
      <w:pPr>
        <w:pStyle w:val="PS"/>
      </w:pPr>
      <w:r w:rsidRPr="00CD64C7">
        <w:rPr>
          <w:u w:val="single"/>
        </w:rPr>
        <w:t>Au titre de l’exercice 2006</w:t>
      </w:r>
    </w:p>
    <w:p w:rsidR="00C249BA" w:rsidRPr="006D6E50" w:rsidRDefault="00C249BA" w:rsidP="00441F47">
      <w:pPr>
        <w:pStyle w:val="PS"/>
        <w:rPr>
          <w:u w:val="single"/>
        </w:rPr>
      </w:pPr>
      <w:r w:rsidRPr="006D6E50">
        <w:rPr>
          <w:u w:val="single"/>
        </w:rPr>
        <w:t>Suite donnée à l’injonction unique – Mandat n°</w:t>
      </w:r>
      <w:r>
        <w:rPr>
          <w:u w:val="single"/>
        </w:rPr>
        <w:t> </w:t>
      </w:r>
      <w:r w:rsidRPr="006D6E50">
        <w:rPr>
          <w:u w:val="single"/>
        </w:rPr>
        <w:t>49 – Société Parisot électricité</w:t>
      </w:r>
    </w:p>
    <w:p w:rsidR="00C249BA" w:rsidRDefault="00C249BA" w:rsidP="00441F47">
      <w:pPr>
        <w:autoSpaceDE w:val="0"/>
        <w:autoSpaceDN w:val="0"/>
        <w:adjustRightInd w:val="0"/>
        <w:spacing w:after="360"/>
        <w:ind w:left="1701" w:firstLine="1134"/>
        <w:jc w:val="both"/>
        <w:rPr>
          <w:sz w:val="24"/>
          <w:szCs w:val="24"/>
        </w:rPr>
      </w:pPr>
      <w:r w:rsidRPr="00320A6E">
        <w:rPr>
          <w:sz w:val="24"/>
          <w:szCs w:val="24"/>
        </w:rPr>
        <w:t>Attendu que M.</w:t>
      </w:r>
      <w:r>
        <w:rPr>
          <w:sz w:val="24"/>
          <w:szCs w:val="24"/>
        </w:rPr>
        <w:t> X</w:t>
      </w:r>
      <w:r w:rsidRPr="00320A6E">
        <w:rPr>
          <w:sz w:val="24"/>
          <w:szCs w:val="24"/>
        </w:rPr>
        <w:t>,</w:t>
      </w:r>
      <w:r>
        <w:rPr>
          <w:sz w:val="24"/>
          <w:szCs w:val="24"/>
        </w:rPr>
        <w:t xml:space="preserve"> sur présentation d’un mandat émis par la </w:t>
      </w:r>
      <w:r w:rsidRPr="00307CD0">
        <w:rPr>
          <w:sz w:val="24"/>
          <w:szCs w:val="24"/>
        </w:rPr>
        <w:t>direction départementale de l’équipement</w:t>
      </w:r>
      <w:r>
        <w:rPr>
          <w:sz w:val="24"/>
          <w:szCs w:val="24"/>
        </w:rPr>
        <w:t xml:space="preserve"> (DDE),</w:t>
      </w:r>
      <w:r w:rsidRPr="00320A6E">
        <w:rPr>
          <w:sz w:val="24"/>
          <w:szCs w:val="24"/>
        </w:rPr>
        <w:t xml:space="preserve"> a réglé le 11</w:t>
      </w:r>
      <w:r>
        <w:rPr>
          <w:sz w:val="24"/>
          <w:szCs w:val="24"/>
        </w:rPr>
        <w:t> </w:t>
      </w:r>
      <w:r w:rsidRPr="00320A6E">
        <w:rPr>
          <w:sz w:val="24"/>
          <w:szCs w:val="24"/>
        </w:rPr>
        <w:t>octobre</w:t>
      </w:r>
      <w:r>
        <w:rPr>
          <w:sz w:val="24"/>
          <w:szCs w:val="24"/>
        </w:rPr>
        <w:t xml:space="preserve"> 2006 pour un montant </w:t>
      </w:r>
      <w:r w:rsidRPr="00320A6E">
        <w:rPr>
          <w:sz w:val="24"/>
          <w:szCs w:val="24"/>
        </w:rPr>
        <w:t>de 33 290,66</w:t>
      </w:r>
      <w:r>
        <w:rPr>
          <w:sz w:val="24"/>
          <w:szCs w:val="24"/>
        </w:rPr>
        <w:t> </w:t>
      </w:r>
      <w:r w:rsidRPr="00320A6E">
        <w:rPr>
          <w:sz w:val="24"/>
          <w:szCs w:val="24"/>
        </w:rPr>
        <w:t>€</w:t>
      </w:r>
      <w:r>
        <w:rPr>
          <w:sz w:val="24"/>
          <w:szCs w:val="24"/>
        </w:rPr>
        <w:t>,</w:t>
      </w:r>
      <w:r w:rsidRPr="00320A6E">
        <w:rPr>
          <w:sz w:val="24"/>
          <w:szCs w:val="24"/>
        </w:rPr>
        <w:t xml:space="preserve"> </w:t>
      </w:r>
      <w:r>
        <w:rPr>
          <w:sz w:val="24"/>
          <w:szCs w:val="24"/>
        </w:rPr>
        <w:t>des travaux d’électricité à la S</w:t>
      </w:r>
      <w:r w:rsidRPr="00320A6E">
        <w:rPr>
          <w:sz w:val="24"/>
          <w:szCs w:val="24"/>
        </w:rPr>
        <w:t>ociété Parisot électricité ;</w:t>
      </w:r>
      <w:r>
        <w:rPr>
          <w:sz w:val="24"/>
          <w:szCs w:val="24"/>
        </w:rPr>
        <w:t xml:space="preserve"> qu’étaient joints </w:t>
      </w:r>
      <w:r w:rsidRPr="00307CD0">
        <w:rPr>
          <w:sz w:val="24"/>
          <w:szCs w:val="24"/>
        </w:rPr>
        <w:t>à ce mandat</w:t>
      </w:r>
      <w:r>
        <w:rPr>
          <w:sz w:val="24"/>
          <w:szCs w:val="24"/>
        </w:rPr>
        <w:t xml:space="preserve"> un certificat de paiement fourni par l’architecte et un état liquidatif de dépense, sans mention ni référence à un marché ou à un contrat ; </w:t>
      </w:r>
      <w:r w:rsidRPr="00307CD0">
        <w:rPr>
          <w:sz w:val="24"/>
          <w:szCs w:val="24"/>
        </w:rPr>
        <w:t>qu’</w:t>
      </w:r>
      <w:r>
        <w:rPr>
          <w:sz w:val="24"/>
          <w:szCs w:val="24"/>
        </w:rPr>
        <w:t>aucune facture ou mémoire ne figurait parmi les pièces justificatives ;</w:t>
      </w:r>
    </w:p>
    <w:p w:rsidR="00C249BA" w:rsidRPr="008224F0" w:rsidRDefault="00C249BA" w:rsidP="00441F47">
      <w:pPr>
        <w:pStyle w:val="PS"/>
      </w:pPr>
      <w:r>
        <w:t xml:space="preserve">Attendu que la Cour, par arrêt </w:t>
      </w:r>
      <w:r w:rsidRPr="00307CD0">
        <w:t>provisoire,</w:t>
      </w:r>
      <w:r>
        <w:t xml:space="preserve"> </w:t>
      </w:r>
      <w:r w:rsidRPr="008224F0">
        <w:t>a enjoint à M.</w:t>
      </w:r>
      <w:r>
        <w:t> X</w:t>
      </w:r>
      <w:r w:rsidRPr="008224F0">
        <w:t xml:space="preserve"> d'apporter la preuve du versement</w:t>
      </w:r>
      <w:r>
        <w:t xml:space="preserve"> dans les caisses de l’Etat,</w:t>
      </w:r>
      <w:r w:rsidRPr="008224F0">
        <w:t xml:space="preserve"> ou de produire</w:t>
      </w:r>
      <w:r>
        <w:t xml:space="preserve"> toute justification à décharge </w:t>
      </w:r>
      <w:r w:rsidRPr="008224F0">
        <w:t>de la somme de 33 290,66 €</w:t>
      </w:r>
      <w:r>
        <w:t xml:space="preserve"> </w:t>
      </w:r>
      <w:r w:rsidRPr="008224F0">
        <w:t>;</w:t>
      </w:r>
    </w:p>
    <w:p w:rsidR="00C249BA" w:rsidRDefault="00C249BA" w:rsidP="00441F47">
      <w:pPr>
        <w:pStyle w:val="PS"/>
      </w:pPr>
      <w:r w:rsidRPr="008224F0">
        <w:t>Attendu qu’en réponse audit arrêt, le trésorier-payeur général alors en fonctions, M.</w:t>
      </w:r>
      <w:r>
        <w:t> Z,</w:t>
      </w:r>
      <w:r w:rsidRPr="008224F0">
        <w:t xml:space="preserve"> a répondu par lettre du 29 janvier 2009, que </w:t>
      </w:r>
      <w:r>
        <w:t>la dépense en cause avait été réalisée par convention de mandat au profit de la Région sur la base d’un marché de travaux dont le lot n° 2 liait le conseil régional à la Société Parisot </w:t>
      </w:r>
      <w:r w:rsidRPr="00660DB0">
        <w:t>; qu’en conséquence, les obligations du mandataire sont identiques à celles du mandant ; qu’ainsi les pièces justificatives à produire sont celles visées par le décret n° 2003-301 du 2 avril 2003 modifiant le code général des collectivités territoriales ;</w:t>
      </w:r>
    </w:p>
    <w:p w:rsidR="00C249BA" w:rsidRPr="008224F0" w:rsidRDefault="00C249BA" w:rsidP="00441F47">
      <w:pPr>
        <w:pStyle w:val="PS"/>
      </w:pPr>
      <w:r>
        <w:t>Attendu que le comptable reconnaît que la dépense payée par le mandat n° 49 résulte de la passation d’un marché public formalisé dont les pièces lui ont été adressées plus tard ;</w:t>
      </w:r>
    </w:p>
    <w:p w:rsidR="00C249BA" w:rsidRPr="008224F0" w:rsidRDefault="00C249BA" w:rsidP="00441F47">
      <w:pPr>
        <w:pStyle w:val="PS"/>
      </w:pPr>
      <w:r w:rsidRPr="008224F0">
        <w:t xml:space="preserve">Attendu que </w:t>
      </w:r>
      <w:r w:rsidRPr="00660DB0">
        <w:t>l’article 412.1 du décret du 2 avril 2003</w:t>
      </w:r>
      <w:r>
        <w:t xml:space="preserve"> </w:t>
      </w:r>
      <w:r w:rsidRPr="008224F0">
        <w:t xml:space="preserve">précise que la mise en paiement d’un marché public passé </w:t>
      </w:r>
      <w:r w:rsidRPr="007332A9">
        <w:t>après</w:t>
      </w:r>
      <w:r>
        <w:t xml:space="preserve"> </w:t>
      </w:r>
      <w:r w:rsidRPr="008224F0">
        <w:t>formalités préalables est accompagnée des pièces générales suivantes à fournir au plus tard lors du premier paiement : « </w:t>
      </w:r>
      <w:r w:rsidRPr="008224F0">
        <w:rPr>
          <w:i/>
          <w:iCs/>
        </w:rPr>
        <w:t>les pièces constitutives</w:t>
      </w:r>
      <w:r>
        <w:rPr>
          <w:i/>
          <w:iCs/>
        </w:rPr>
        <w:t xml:space="preserve"> initiales</w:t>
      </w:r>
      <w:r w:rsidRPr="008224F0">
        <w:rPr>
          <w:i/>
          <w:iCs/>
        </w:rPr>
        <w:t xml:space="preserve"> du marché</w:t>
      </w:r>
      <w:r>
        <w:rPr>
          <w:i/>
          <w:iCs/>
        </w:rPr>
        <w:t xml:space="preserve"> (…)</w:t>
      </w:r>
      <w:r w:rsidRPr="008224F0">
        <w:rPr>
          <w:i/>
          <w:iCs/>
        </w:rPr>
        <w:t xml:space="preserve">, </w:t>
      </w:r>
      <w:r>
        <w:rPr>
          <w:i/>
          <w:iCs/>
        </w:rPr>
        <w:t xml:space="preserve">la liste des prix ou tarifs applicables, copie de l’engagement, </w:t>
      </w:r>
      <w:r w:rsidRPr="008224F0">
        <w:rPr>
          <w:i/>
          <w:iCs/>
        </w:rPr>
        <w:t>l</w:t>
      </w:r>
      <w:r>
        <w:rPr>
          <w:i/>
          <w:iCs/>
        </w:rPr>
        <w:t>’</w:t>
      </w:r>
      <w:r w:rsidRPr="008224F0">
        <w:rPr>
          <w:i/>
          <w:iCs/>
        </w:rPr>
        <w:t>a</w:t>
      </w:r>
      <w:r>
        <w:rPr>
          <w:i/>
          <w:iCs/>
        </w:rPr>
        <w:t>ttestation de notification du marché</w:t>
      </w:r>
      <w:r w:rsidRPr="008224F0">
        <w:rPr>
          <w:i/>
          <w:iCs/>
        </w:rPr>
        <w:t xml:space="preserve"> et </w:t>
      </w:r>
      <w:r>
        <w:rPr>
          <w:i/>
          <w:iCs/>
        </w:rPr>
        <w:t>la fiche de recensement des marchés</w:t>
      </w:r>
      <w:r w:rsidRPr="008224F0">
        <w:rPr>
          <w:i/>
          <w:iCs/>
        </w:rPr>
        <w:t> </w:t>
      </w:r>
      <w:r>
        <w:t>» ;</w:t>
      </w:r>
    </w:p>
    <w:p w:rsidR="00C249BA" w:rsidRPr="008224F0" w:rsidRDefault="00C249BA" w:rsidP="00441F47">
      <w:pPr>
        <w:pStyle w:val="PS"/>
      </w:pPr>
      <w:r>
        <w:t>Attendu qu’au moment du paiement, comme l’indique le comptable lui</w:t>
      </w:r>
      <w:r>
        <w:noBreakHyphen/>
        <w:t>même, ce dernier ne disposait pas des pièces prévues par la nomenclature ;</w:t>
      </w:r>
    </w:p>
    <w:p w:rsidR="00C249BA" w:rsidRDefault="00C249BA" w:rsidP="00441F47">
      <w:pPr>
        <w:pStyle w:val="PS"/>
      </w:pPr>
      <w:r w:rsidRPr="00660DB0">
        <w:t>Considérant qu’en procédant au paiement des travaux d’électricité sans disposer de pièce justificative, le comptable n’a pas exercé le contrôle sur la validité de la créance prévu à l’article 12 du décret du 29 décembre 1962, et notamment n’a pas fait porter son contrôle sur « la production des pièces justificatives » exigée à l’article 13 ; qu’il lui appartenait donc de surseoir au paiement du mandat et d’en informer l’ordonnateur ;</w:t>
      </w:r>
    </w:p>
    <w:p w:rsidR="00C249BA" w:rsidRPr="008224F0" w:rsidRDefault="00C249BA" w:rsidP="00441F47">
      <w:pPr>
        <w:pStyle w:val="PS"/>
      </w:pPr>
      <w:r>
        <w:t xml:space="preserve">Considérant que </w:t>
      </w:r>
      <w:r w:rsidRPr="008224F0">
        <w:t>selon les dispositions de l’article 60 de la loi du 23</w:t>
      </w:r>
      <w:r>
        <w:t> </w:t>
      </w:r>
      <w:r w:rsidRPr="008224F0">
        <w:t>février</w:t>
      </w:r>
      <w:r>
        <w:t> </w:t>
      </w:r>
      <w:r w:rsidRPr="008224F0">
        <w:t>1963 modifié par l’article 146 de la loi n°</w:t>
      </w:r>
      <w:r>
        <w:t> </w:t>
      </w:r>
      <w:r w:rsidRPr="008224F0">
        <w:t>2006-1771 du 30</w:t>
      </w:r>
      <w:r>
        <w:t> </w:t>
      </w:r>
      <w:r w:rsidRPr="008224F0">
        <w:t>décembre</w:t>
      </w:r>
      <w:r>
        <w:t> </w:t>
      </w:r>
      <w:r w:rsidRPr="008224F0">
        <w:t xml:space="preserve">2006 applicables lors de la première mise en jeu de la responsabilité personnelle et pécuniaire du comptable : </w:t>
      </w:r>
      <w:r w:rsidRPr="008224F0">
        <w:rPr>
          <w:i/>
          <w:iCs/>
        </w:rPr>
        <w:t>«</w:t>
      </w:r>
      <w:r>
        <w:rPr>
          <w:i/>
          <w:iCs/>
        </w:rPr>
        <w:t>I -</w:t>
      </w:r>
      <w:r w:rsidRPr="008224F0">
        <w:rPr>
          <w:i/>
          <w:iCs/>
        </w:rPr>
        <w:t xml:space="preserve"> Les comptables publics sont personnellement et pécuniairement responsables </w:t>
      </w:r>
      <w:r>
        <w:rPr>
          <w:i/>
          <w:iCs/>
        </w:rPr>
        <w:t xml:space="preserve">(…) </w:t>
      </w:r>
      <w:r w:rsidRPr="008224F0">
        <w:rPr>
          <w:i/>
          <w:iCs/>
        </w:rPr>
        <w:t>du paiement des dépenses</w:t>
      </w:r>
      <w:r>
        <w:rPr>
          <w:i/>
          <w:iCs/>
        </w:rPr>
        <w:t xml:space="preserve"> (… ) L</w:t>
      </w:r>
      <w:r w:rsidRPr="008224F0">
        <w:rPr>
          <w:i/>
          <w:iCs/>
        </w:rPr>
        <w:t>a responsabilité personnelle et pécuniaire prévue ci-dessus se trouve engagée dès lors</w:t>
      </w:r>
      <w:r>
        <w:rPr>
          <w:i/>
          <w:iCs/>
        </w:rPr>
        <w:t xml:space="preserve"> (</w:t>
      </w:r>
      <w:r w:rsidRPr="008224F0">
        <w:rPr>
          <w:i/>
          <w:iCs/>
        </w:rPr>
        <w:t>…</w:t>
      </w:r>
      <w:r>
        <w:rPr>
          <w:i/>
          <w:iCs/>
        </w:rPr>
        <w:t>)</w:t>
      </w:r>
      <w:r w:rsidRPr="008224F0">
        <w:rPr>
          <w:i/>
          <w:iCs/>
        </w:rPr>
        <w:t xml:space="preserve"> qu’une dépense a été irrégul</w:t>
      </w:r>
      <w:r>
        <w:rPr>
          <w:i/>
          <w:iCs/>
        </w:rPr>
        <w:t xml:space="preserve">ièrement payée (…) IV - La responsabilité pécuniaire d’un comptable public ne peut être mise en jeu que par (…) le juge des comptes (…) </w:t>
      </w:r>
      <w:r w:rsidRPr="008224F0">
        <w:rPr>
          <w:i/>
          <w:iCs/>
        </w:rPr>
        <w:t> </w:t>
      </w:r>
      <w:r>
        <w:rPr>
          <w:i/>
          <w:iCs/>
        </w:rPr>
        <w:t>VI - L</w:t>
      </w:r>
      <w:r w:rsidRPr="008224F0">
        <w:rPr>
          <w:i/>
          <w:iCs/>
        </w:rPr>
        <w:t>e comptable public dont la responsabilité pécuniaire est mise en jeu</w:t>
      </w:r>
      <w:r>
        <w:rPr>
          <w:i/>
          <w:iCs/>
        </w:rPr>
        <w:t xml:space="preserve"> par ( …) le juge des comptes </w:t>
      </w:r>
      <w:r w:rsidRPr="008224F0">
        <w:rPr>
          <w:i/>
          <w:iCs/>
        </w:rPr>
        <w:t xml:space="preserve"> a l’obligation de verser immédiatement de ses deniers personnels une somme égale</w:t>
      </w:r>
      <w:r>
        <w:rPr>
          <w:i/>
          <w:iCs/>
        </w:rPr>
        <w:t>(</w:t>
      </w:r>
      <w:r w:rsidRPr="008224F0">
        <w:rPr>
          <w:i/>
          <w:iCs/>
        </w:rPr>
        <w:t>…</w:t>
      </w:r>
      <w:r>
        <w:rPr>
          <w:i/>
          <w:iCs/>
        </w:rPr>
        <w:t>)</w:t>
      </w:r>
      <w:r w:rsidRPr="008224F0">
        <w:rPr>
          <w:i/>
          <w:iCs/>
        </w:rPr>
        <w:t xml:space="preserve"> au montant de la dépense irrégulièrement payée</w:t>
      </w:r>
      <w:r>
        <w:rPr>
          <w:i/>
          <w:iCs/>
        </w:rPr>
        <w:t xml:space="preserve"> (…)</w:t>
      </w:r>
      <w:r w:rsidRPr="008224F0">
        <w:rPr>
          <w:i/>
          <w:iCs/>
        </w:rPr>
        <w:t> »</w:t>
      </w:r>
      <w:r>
        <w:rPr>
          <w:i/>
          <w:iCs/>
        </w:rPr>
        <w:t> ;</w:t>
      </w:r>
    </w:p>
    <w:p w:rsidR="00C249BA" w:rsidRDefault="00C249BA" w:rsidP="00441F47">
      <w:pPr>
        <w:pStyle w:val="PS"/>
      </w:pPr>
      <w:r w:rsidRPr="008224F0">
        <w:t xml:space="preserve">Attendu qu’en application du </w:t>
      </w:r>
      <w:r>
        <w:t xml:space="preserve">même article </w:t>
      </w:r>
      <w:r w:rsidRPr="008224F0">
        <w:t>paragraphe VIII les intérêts au taux légal courent « </w:t>
      </w:r>
      <w:r w:rsidRPr="003438EC">
        <w:rPr>
          <w:i/>
          <w:iCs/>
        </w:rPr>
        <w:t>à compter du premier acte de la mise en jeu de la responsabilité personnelle et pécuniaire des comptables publics</w:t>
      </w:r>
      <w:r w:rsidRPr="008224F0">
        <w:t> » ;</w:t>
      </w:r>
    </w:p>
    <w:p w:rsidR="00C249BA" w:rsidRPr="008224F0" w:rsidRDefault="00C249BA" w:rsidP="00441F47">
      <w:pPr>
        <w:pStyle w:val="PS"/>
      </w:pPr>
      <w:r>
        <w:t xml:space="preserve">Considérant que </w:t>
      </w:r>
      <w:r w:rsidRPr="008224F0">
        <w:t xml:space="preserve">le premier acte de </w:t>
      </w:r>
      <w:r>
        <w:t>la mise en jeu de l</w:t>
      </w:r>
      <w:r w:rsidRPr="008224F0">
        <w:t>a responsabilité</w:t>
      </w:r>
      <w:r>
        <w:t xml:space="preserve"> personnelle et pécuniaire des comptables est </w:t>
      </w:r>
      <w:r w:rsidRPr="008224F0">
        <w:t xml:space="preserve">la notification </w:t>
      </w:r>
      <w:r>
        <w:t xml:space="preserve">à </w:t>
      </w:r>
      <w:r w:rsidRPr="008224F0">
        <w:t>M.</w:t>
      </w:r>
      <w:r>
        <w:t> X</w:t>
      </w:r>
      <w:r w:rsidRPr="008224F0">
        <w:t xml:space="preserve"> de l’arrêt</w:t>
      </w:r>
      <w:r>
        <w:t xml:space="preserve"> n° 53185 ; que le comptable a accusé réception de cet arrêt le 16 décembre 2008 ; que les intérêts doivent donc courir à compter de cette date ;</w:t>
      </w:r>
    </w:p>
    <w:p w:rsidR="00C249BA" w:rsidRPr="008224F0" w:rsidRDefault="00C249BA" w:rsidP="00441F47">
      <w:pPr>
        <w:pStyle w:val="PS"/>
      </w:pPr>
      <w:r w:rsidRPr="008224F0">
        <w:t>Par ces motifs,</w:t>
      </w:r>
    </w:p>
    <w:p w:rsidR="00C249BA" w:rsidRPr="008224F0" w:rsidRDefault="00C249BA" w:rsidP="00441F47">
      <w:pPr>
        <w:pStyle w:val="PS"/>
      </w:pPr>
      <w:r w:rsidRPr="008224F0">
        <w:t>- l'injonction est levée.</w:t>
      </w:r>
    </w:p>
    <w:p w:rsidR="00C249BA" w:rsidRPr="008224F0" w:rsidRDefault="00C249BA" w:rsidP="00441F47">
      <w:pPr>
        <w:pStyle w:val="PS"/>
      </w:pPr>
      <w:r w:rsidRPr="008224F0">
        <w:t>-</w:t>
      </w:r>
      <w:r>
        <w:t> </w:t>
      </w:r>
      <w:r w:rsidRPr="008224F0">
        <w:t>M.</w:t>
      </w:r>
      <w:r>
        <w:t xml:space="preserve"> X </w:t>
      </w:r>
      <w:r w:rsidRPr="008224F0">
        <w:t>est constitué débiteur envers l'État, au titre de l'année</w:t>
      </w:r>
      <w:r>
        <w:t> </w:t>
      </w:r>
      <w:r w:rsidRPr="008224F0">
        <w:t>2006, de la somme de trente-trois mille deux cent quatre-vingt-dix euros et soixante-six centimes (33 290,66</w:t>
      </w:r>
      <w:r>
        <w:t> </w:t>
      </w:r>
      <w:r w:rsidRPr="008224F0">
        <w:t>€) augmentée des intérêts de droit à compter du 16</w:t>
      </w:r>
      <w:r>
        <w:t> </w:t>
      </w:r>
      <w:r w:rsidRPr="008224F0">
        <w:t>décembre</w:t>
      </w:r>
      <w:r>
        <w:t> </w:t>
      </w:r>
      <w:r w:rsidRPr="008224F0">
        <w:t xml:space="preserve">2008, date </w:t>
      </w:r>
      <w:r>
        <w:t xml:space="preserve">de la </w:t>
      </w:r>
      <w:r w:rsidRPr="008224F0">
        <w:t xml:space="preserve">réception </w:t>
      </w:r>
      <w:r>
        <w:t>par l’intéressé de l’arrêt susvisé.</w:t>
      </w:r>
    </w:p>
    <w:p w:rsidR="00C249BA" w:rsidRPr="004717FE" w:rsidRDefault="00C249BA" w:rsidP="00441F47">
      <w:pPr>
        <w:pStyle w:val="PS"/>
      </w:pPr>
      <w:r>
        <w:br w:type="page"/>
      </w:r>
    </w:p>
    <w:p w:rsidR="00C249BA" w:rsidRPr="00080706" w:rsidRDefault="00C249BA" w:rsidP="00441F47">
      <w:pPr>
        <w:pStyle w:val="PS"/>
      </w:pPr>
      <w:r w:rsidRPr="00080706">
        <w:t>A l’égard de M. Y</w:t>
      </w:r>
    </w:p>
    <w:p w:rsidR="00C249BA" w:rsidRPr="006D6E50" w:rsidRDefault="00C249BA" w:rsidP="00441F47">
      <w:pPr>
        <w:pStyle w:val="PS"/>
        <w:rPr>
          <w:u w:val="single"/>
        </w:rPr>
      </w:pPr>
      <w:r w:rsidRPr="006D6E50">
        <w:rPr>
          <w:u w:val="single"/>
        </w:rPr>
        <w:t>Au titre de l’exercice 2006</w:t>
      </w:r>
    </w:p>
    <w:p w:rsidR="00C249BA" w:rsidRPr="006D6E50" w:rsidRDefault="00C249BA" w:rsidP="00441F47">
      <w:pPr>
        <w:pStyle w:val="PS"/>
        <w:rPr>
          <w:u w:val="single"/>
        </w:rPr>
      </w:pPr>
      <w:r w:rsidRPr="006D6E50">
        <w:rPr>
          <w:u w:val="single"/>
        </w:rPr>
        <w:t>Levée de réserve</w:t>
      </w:r>
    </w:p>
    <w:p w:rsidR="00C249BA" w:rsidRPr="00080706" w:rsidRDefault="00C249BA" w:rsidP="00441F47">
      <w:pPr>
        <w:pStyle w:val="PS"/>
      </w:pPr>
      <w:r w:rsidRPr="00DE4CCF">
        <w:rPr>
          <w:u w:val="single"/>
        </w:rPr>
        <w:t>Réserve unique - Compte 467-71 « Avances à court terme – Avances aux départements sur le produit de la taxe intérieure sur les produits pétroliers (TIPP) </w:t>
      </w:r>
      <w:r w:rsidRPr="00080706">
        <w:t>»</w:t>
      </w:r>
    </w:p>
    <w:p w:rsidR="00C249BA" w:rsidRPr="004717FE" w:rsidRDefault="00C249BA" w:rsidP="00441F47">
      <w:pPr>
        <w:pStyle w:val="PS"/>
      </w:pPr>
      <w:r>
        <w:t>Attendu qu’au 31 décembre 2006, le c</w:t>
      </w:r>
      <w:r w:rsidRPr="00080706">
        <w:t>ompte 467-71 « Avances à court terme – Avances aux départements sur le produit de la taxe intérieure sur les produits pétroliers (TIPP) »</w:t>
      </w:r>
      <w:r>
        <w:t xml:space="preserve"> présentait un solde débiteur </w:t>
      </w:r>
      <w:r w:rsidRPr="004717FE">
        <w:t>de 9 643 402 € ;</w:t>
      </w:r>
    </w:p>
    <w:p w:rsidR="00C249BA" w:rsidRDefault="00C249BA" w:rsidP="00441F47">
      <w:pPr>
        <w:pStyle w:val="PS"/>
      </w:pPr>
      <w:r w:rsidRPr="004717FE">
        <w:t>Attendu qu’</w:t>
      </w:r>
      <w:r>
        <w:t xml:space="preserve">une réserve avait été faite sur la gestion de M. Y dans l’attente de l’apurement de ce compte qui devait faire l’objet d’une consolidation </w:t>
      </w:r>
      <w:r w:rsidRPr="004717FE">
        <w:t xml:space="preserve">au </w:t>
      </w:r>
      <w:r>
        <w:t xml:space="preserve">plan </w:t>
      </w:r>
      <w:r w:rsidRPr="004717FE">
        <w:t>national</w:t>
      </w:r>
      <w:r>
        <w:t xml:space="preserve"> </w:t>
      </w:r>
      <w:r w:rsidRPr="004717FE">
        <w:t>;</w:t>
      </w:r>
    </w:p>
    <w:p w:rsidR="00C249BA" w:rsidRPr="004717FE" w:rsidRDefault="00C249BA" w:rsidP="00441F47">
      <w:pPr>
        <w:pStyle w:val="PS"/>
      </w:pPr>
      <w:r>
        <w:t>Attendu que l’écriture de régularisation a été passée par le CBCM le 23 avril 2010 en date comptable du 31 décembre 2009 ;</w:t>
      </w:r>
    </w:p>
    <w:p w:rsidR="00C249BA" w:rsidRPr="004717FE" w:rsidRDefault="00C249BA" w:rsidP="006A4B58">
      <w:pPr>
        <w:pStyle w:val="PS"/>
        <w:spacing w:after="360"/>
      </w:pPr>
      <w:r w:rsidRPr="004717FE">
        <w:t>- la réserve est levée.</w:t>
      </w:r>
    </w:p>
    <w:p w:rsidR="00C249BA" w:rsidRPr="004717FE" w:rsidRDefault="00C249BA" w:rsidP="006A4B58">
      <w:pPr>
        <w:pStyle w:val="PS"/>
        <w:spacing w:after="360"/>
      </w:pPr>
      <w:r w:rsidRPr="004717FE">
        <w:t>--------------</w:t>
      </w:r>
    </w:p>
    <w:p w:rsidR="00C249BA" w:rsidRDefault="00C249BA" w:rsidP="00441F47">
      <w:pPr>
        <w:pStyle w:val="PS"/>
      </w:pPr>
      <w:r w:rsidRPr="004717FE">
        <w:t>Fait et jugé en la Cour des comptes, premiè</w:t>
      </w:r>
      <w:r>
        <w:t>re chambre, première section, séance du vingt et un</w:t>
      </w:r>
      <w:r w:rsidRPr="004717FE">
        <w:t xml:space="preserve"> septembre deux mil dix, présents : M</w:t>
      </w:r>
      <w:r w:rsidRPr="001340F3">
        <w:rPr>
          <w:vertAlign w:val="superscript"/>
        </w:rPr>
        <w:t>me</w:t>
      </w:r>
      <w:r>
        <w:t xml:space="preserve"> </w:t>
      </w:r>
      <w:r w:rsidRPr="004717FE">
        <w:t>F</w:t>
      </w:r>
      <w:r>
        <w:t>radin</w:t>
      </w:r>
      <w:r w:rsidRPr="004717FE">
        <w:t xml:space="preserve">, président de section, </w:t>
      </w:r>
      <w:r>
        <w:t>M</w:t>
      </w:r>
      <w:r w:rsidRPr="004717FE">
        <w:t>. M</w:t>
      </w:r>
      <w:r>
        <w:t>artin</w:t>
      </w:r>
      <w:r w:rsidRPr="004717FE">
        <w:t>, M</w:t>
      </w:r>
      <w:r w:rsidRPr="001340F3">
        <w:rPr>
          <w:vertAlign w:val="superscript"/>
        </w:rPr>
        <w:t>mes</w:t>
      </w:r>
      <w:r>
        <w:t xml:space="preserve"> Moati et Dos Reis</w:t>
      </w:r>
      <w:r w:rsidRPr="004717FE">
        <w:t>, conseillers maîtres.</w:t>
      </w:r>
    </w:p>
    <w:p w:rsidR="00C249BA" w:rsidRPr="00EF7499" w:rsidRDefault="00C249BA" w:rsidP="00441F47">
      <w:pPr>
        <w:pStyle w:val="PS"/>
      </w:pPr>
      <w:r w:rsidRPr="004C2B69">
        <w:t>Signé :</w:t>
      </w:r>
      <w:r w:rsidRPr="00EF7499">
        <w:t xml:space="preserve"> </w:t>
      </w:r>
      <w:r>
        <w:t>Fradin, président de section, et Rackelboom, greffier.</w:t>
      </w:r>
    </w:p>
    <w:p w:rsidR="00C249BA" w:rsidRDefault="00C249BA" w:rsidP="00441F47">
      <w:pPr>
        <w:pStyle w:val="PS"/>
      </w:pPr>
      <w:r>
        <w:t>Collationné, certifié conforme à la minute étant au greffe de la Cour des comptes.</w:t>
      </w:r>
    </w:p>
    <w:p w:rsidR="00C249BA" w:rsidRPr="00890938" w:rsidRDefault="00C249BA" w:rsidP="0052307E">
      <w:pPr>
        <w:pStyle w:val="PS"/>
        <w:spacing w:after="360"/>
      </w:pPr>
      <w:r>
        <w:br w:type="page"/>
      </w:r>
      <w:r w:rsidRPr="00890938">
        <w:t>En conséquence, la République mande et ordonne à tous huissiers de justice, sur ce requis, de mettre ledit arrêt à exécution, aux procureurs généraux et aux procureurs de la République près les tribunaux de grande instance d'y tenir la main, à</w:t>
      </w:r>
      <w:r>
        <w:t xml:space="preserve"> </w:t>
      </w:r>
      <w:r w:rsidRPr="00890938">
        <w:t>tous commandants et officiers de la force publique de prêter main forte lorsqu'ils en seront légalement requis.</w:t>
      </w:r>
    </w:p>
    <w:p w:rsidR="00C249BA" w:rsidRDefault="00C249BA" w:rsidP="00441F47">
      <w:pPr>
        <w:pStyle w:val="PS"/>
        <w:spacing w:before="240" w:after="240"/>
      </w:pPr>
      <w:r w:rsidRPr="00890938">
        <w:t>Délivré par moi, secrétaire général.</w:t>
      </w:r>
    </w:p>
    <w:p w:rsidR="00C249BA" w:rsidRPr="001B05F3" w:rsidRDefault="00C249BA" w:rsidP="00441F47">
      <w:pPr>
        <w:pStyle w:val="P0"/>
        <w:spacing w:before="240"/>
        <w:ind w:left="2268" w:firstLine="4111"/>
        <w:jc w:val="center"/>
        <w:rPr>
          <w:b/>
          <w:bCs/>
        </w:rPr>
      </w:pPr>
      <w:r w:rsidRPr="001B05F3">
        <w:rPr>
          <w:b/>
          <w:bCs/>
        </w:rPr>
        <w:t>Pour le Secrétaire général</w:t>
      </w:r>
    </w:p>
    <w:p w:rsidR="00C249BA" w:rsidRPr="001B05F3" w:rsidRDefault="00C249BA" w:rsidP="00441F47">
      <w:pPr>
        <w:pStyle w:val="P0"/>
        <w:ind w:left="2268" w:firstLine="4111"/>
        <w:jc w:val="center"/>
        <w:rPr>
          <w:b/>
          <w:bCs/>
        </w:rPr>
      </w:pPr>
      <w:r w:rsidRPr="001B05F3">
        <w:rPr>
          <w:b/>
          <w:bCs/>
        </w:rPr>
        <w:t>et par délégation,</w:t>
      </w:r>
    </w:p>
    <w:p w:rsidR="00C249BA" w:rsidRPr="001B05F3" w:rsidRDefault="00C249BA" w:rsidP="00441F47">
      <w:pPr>
        <w:pStyle w:val="P0"/>
        <w:ind w:left="2268" w:firstLine="4111"/>
        <w:jc w:val="center"/>
        <w:rPr>
          <w:b/>
          <w:bCs/>
        </w:rPr>
      </w:pPr>
      <w:r w:rsidRPr="001B05F3">
        <w:rPr>
          <w:b/>
          <w:bCs/>
        </w:rPr>
        <w:t>le chef du greffe contentieux</w:t>
      </w:r>
    </w:p>
    <w:p w:rsidR="00C249BA" w:rsidRPr="001B05F3" w:rsidRDefault="00C249BA" w:rsidP="00441F47">
      <w:pPr>
        <w:pStyle w:val="P0"/>
        <w:ind w:left="2268" w:firstLine="4111"/>
        <w:jc w:val="center"/>
        <w:rPr>
          <w:b/>
          <w:bCs/>
        </w:rPr>
      </w:pPr>
    </w:p>
    <w:p w:rsidR="00C249BA" w:rsidRPr="001B05F3" w:rsidRDefault="00C249BA" w:rsidP="00441F47">
      <w:pPr>
        <w:pStyle w:val="P0"/>
        <w:ind w:left="2268" w:firstLine="4111"/>
        <w:jc w:val="center"/>
        <w:rPr>
          <w:b/>
          <w:bCs/>
        </w:rPr>
      </w:pPr>
    </w:p>
    <w:p w:rsidR="00C249BA" w:rsidRDefault="00C249BA" w:rsidP="00441F47">
      <w:pPr>
        <w:pStyle w:val="P0"/>
        <w:ind w:left="2268" w:firstLine="4111"/>
        <w:jc w:val="center"/>
        <w:rPr>
          <w:b/>
          <w:bCs/>
        </w:rPr>
      </w:pPr>
    </w:p>
    <w:p w:rsidR="00C249BA" w:rsidRPr="001B05F3" w:rsidRDefault="00C249BA" w:rsidP="00441F47">
      <w:pPr>
        <w:pStyle w:val="P0"/>
        <w:ind w:left="2268" w:firstLine="4111"/>
        <w:jc w:val="center"/>
        <w:rPr>
          <w:b/>
          <w:bCs/>
        </w:rPr>
      </w:pPr>
    </w:p>
    <w:p w:rsidR="00C249BA" w:rsidRPr="001B05F3" w:rsidRDefault="00C249BA" w:rsidP="00441F47">
      <w:pPr>
        <w:pStyle w:val="P0"/>
        <w:ind w:left="2268" w:firstLine="4111"/>
        <w:jc w:val="center"/>
        <w:rPr>
          <w:b/>
          <w:bCs/>
        </w:rPr>
      </w:pPr>
    </w:p>
    <w:p w:rsidR="00C249BA" w:rsidRPr="001B05F3" w:rsidRDefault="00C249BA" w:rsidP="00441F47">
      <w:pPr>
        <w:pStyle w:val="P0"/>
        <w:ind w:left="2268" w:firstLine="4111"/>
        <w:jc w:val="center"/>
        <w:rPr>
          <w:b/>
          <w:bCs/>
        </w:rPr>
      </w:pPr>
    </w:p>
    <w:p w:rsidR="00C249BA" w:rsidRPr="001B05F3" w:rsidRDefault="00C249BA" w:rsidP="00C709AF">
      <w:pPr>
        <w:pStyle w:val="P0"/>
        <w:spacing w:after="240"/>
        <w:ind w:left="2268" w:firstLine="4111"/>
        <w:jc w:val="center"/>
        <w:rPr>
          <w:b/>
          <w:bCs/>
        </w:rPr>
      </w:pPr>
      <w:r w:rsidRPr="001B05F3">
        <w:rPr>
          <w:b/>
          <w:bCs/>
        </w:rPr>
        <w:t>Daniel FEREZ</w:t>
      </w:r>
    </w:p>
    <w:p w:rsidR="00C249BA" w:rsidRPr="001B05F3" w:rsidRDefault="00C249BA" w:rsidP="00441F47">
      <w:pPr>
        <w:pStyle w:val="PS"/>
      </w:pPr>
    </w:p>
    <w:p w:rsidR="00C249BA" w:rsidRPr="001B05F3" w:rsidRDefault="00C249BA">
      <w:pPr>
        <w:pStyle w:val="PS"/>
        <w:rPr>
          <w:i/>
          <w:iCs/>
        </w:rPr>
      </w:pPr>
      <w:r w:rsidRPr="001B05F3">
        <w:t>La présente décision juridictionnelle est susceptible d’un pourvoi devant le Conseil d’Etat qui doit, à peine d’irrecevabilité, être introduit dans un délai de deux mois à compter de la date de sa notification (article R. 143-3 du code des juridictions financières).</w:t>
      </w:r>
    </w:p>
    <w:sectPr w:rsidR="00C249BA" w:rsidRPr="001B05F3" w:rsidSect="00E90AAF">
      <w:headerReference w:type="default" r:id="rId6"/>
      <w:pgSz w:w="11907" w:h="16840"/>
      <w:pgMar w:top="1701" w:right="1134" w:bottom="1134" w:left="56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49BA" w:rsidRDefault="00C249BA">
      <w:r>
        <w:separator/>
      </w:r>
    </w:p>
  </w:endnote>
  <w:endnote w:type="continuationSeparator" w:id="0">
    <w:p w:rsidR="00C249BA" w:rsidRDefault="00C249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49BA" w:rsidRDefault="00C249BA">
      <w:r>
        <w:separator/>
      </w:r>
    </w:p>
  </w:footnote>
  <w:footnote w:type="continuationSeparator" w:id="0">
    <w:p w:rsidR="00C249BA" w:rsidRDefault="00C249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49BA" w:rsidRDefault="00C249BA">
    <w:pPr>
      <w:pStyle w:val="Header"/>
      <w:jc w:val="right"/>
      <w:rPr>
        <w:rFonts w:ascii="CG Times (WN)" w:hAnsi="CG Times (WN)" w:cs="CG Times (WN)"/>
        <w:sz w:val="24"/>
        <w:szCs w:val="24"/>
      </w:rPr>
    </w:pPr>
    <w:r>
      <w:rPr>
        <w:rFonts w:ascii="CG Times (WN)" w:hAnsi="CG Times (WN)" w:cs="CG Times (WN)"/>
        <w:sz w:val="24"/>
        <w:szCs w:val="24"/>
      </w:rPr>
      <w:fldChar w:fldCharType="begin"/>
    </w:r>
    <w:r>
      <w:rPr>
        <w:rFonts w:ascii="CG Times (WN)" w:hAnsi="CG Times (WN)" w:cs="CG Times (WN)"/>
        <w:sz w:val="24"/>
        <w:szCs w:val="24"/>
      </w:rPr>
      <w:instrText>PAGE</w:instrText>
    </w:r>
    <w:r>
      <w:rPr>
        <w:rFonts w:ascii="CG Times (WN)" w:hAnsi="CG Times (WN)" w:cs="CG Times (WN)"/>
        <w:sz w:val="24"/>
        <w:szCs w:val="24"/>
      </w:rPr>
      <w:fldChar w:fldCharType="separate"/>
    </w:r>
    <w:r>
      <w:rPr>
        <w:rFonts w:ascii="CG Times (WN)" w:hAnsi="CG Times (WN)" w:cs="CG Times (WN)"/>
        <w:noProof/>
        <w:sz w:val="24"/>
        <w:szCs w:val="24"/>
      </w:rPr>
      <w:t>4</w:t>
    </w:r>
    <w:r>
      <w:rPr>
        <w:rFonts w:ascii="CG Times (WN)" w:hAnsi="CG Times (WN)" w:cs="CG Times (WN)"/>
        <w:sz w:val="24"/>
        <w:szCs w:val="24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intFractionalCharacterWidth/>
  <w:embedSystemFonts/>
  <w:attachedTemplate r:id="rId1"/>
  <w:stylePaneFormatFilter w:val="3F01"/>
  <w:defaultTabStop w:val="708"/>
  <w:hyphenationZone w:val="425"/>
  <w:doNotHyphenateCaps/>
  <w:displayHorizontalDrawingGridEvery w:val="0"/>
  <w:displayVerticalDrawingGridEvery w:val="0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46D0"/>
    <w:rsid w:val="00080706"/>
    <w:rsid w:val="000D0356"/>
    <w:rsid w:val="001340F3"/>
    <w:rsid w:val="00144851"/>
    <w:rsid w:val="001629DB"/>
    <w:rsid w:val="001948FB"/>
    <w:rsid w:val="001A3DD0"/>
    <w:rsid w:val="001B05F3"/>
    <w:rsid w:val="001E3779"/>
    <w:rsid w:val="00234423"/>
    <w:rsid w:val="002678C0"/>
    <w:rsid w:val="00307CD0"/>
    <w:rsid w:val="00320A6E"/>
    <w:rsid w:val="003438EC"/>
    <w:rsid w:val="00406311"/>
    <w:rsid w:val="00441F47"/>
    <w:rsid w:val="004717FE"/>
    <w:rsid w:val="00472D97"/>
    <w:rsid w:val="004C2B69"/>
    <w:rsid w:val="004E0BF5"/>
    <w:rsid w:val="0052307E"/>
    <w:rsid w:val="00582066"/>
    <w:rsid w:val="005D7D3D"/>
    <w:rsid w:val="00660DB0"/>
    <w:rsid w:val="00697C8E"/>
    <w:rsid w:val="006A4B58"/>
    <w:rsid w:val="006B0671"/>
    <w:rsid w:val="006D6E50"/>
    <w:rsid w:val="00713870"/>
    <w:rsid w:val="007332A9"/>
    <w:rsid w:val="007E3133"/>
    <w:rsid w:val="007E6A08"/>
    <w:rsid w:val="00803C51"/>
    <w:rsid w:val="008224F0"/>
    <w:rsid w:val="00890938"/>
    <w:rsid w:val="008F1964"/>
    <w:rsid w:val="00946C43"/>
    <w:rsid w:val="009D46D0"/>
    <w:rsid w:val="00AF26A1"/>
    <w:rsid w:val="00B06D70"/>
    <w:rsid w:val="00B90204"/>
    <w:rsid w:val="00C249BA"/>
    <w:rsid w:val="00C34065"/>
    <w:rsid w:val="00C554E0"/>
    <w:rsid w:val="00C709AF"/>
    <w:rsid w:val="00CD64C7"/>
    <w:rsid w:val="00D52A22"/>
    <w:rsid w:val="00D568A4"/>
    <w:rsid w:val="00D70CD3"/>
    <w:rsid w:val="00DD06EA"/>
    <w:rsid w:val="00DE4CCF"/>
    <w:rsid w:val="00DF1031"/>
    <w:rsid w:val="00E90AAF"/>
    <w:rsid w:val="00EA1C13"/>
    <w:rsid w:val="00EA73FB"/>
    <w:rsid w:val="00EB78EA"/>
    <w:rsid w:val="00EF7499"/>
    <w:rsid w:val="00F23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0"/>
    <w:lsdException w:name="head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D3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D7D3D"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D7D3D"/>
    <w:pPr>
      <w:spacing w:before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Indent"/>
    <w:link w:val="Heading3Char"/>
    <w:uiPriority w:val="99"/>
    <w:qFormat/>
    <w:rsid w:val="005D7D3D"/>
    <w:pPr>
      <w:ind w:left="354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90204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B90204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B90204"/>
    <w:rPr>
      <w:rFonts w:ascii="Cambria" w:hAnsi="Cambria" w:cs="Cambria"/>
      <w:b/>
      <w:bCs/>
      <w:sz w:val="26"/>
      <w:szCs w:val="26"/>
    </w:rPr>
  </w:style>
  <w:style w:type="paragraph" w:styleId="NormalIndent">
    <w:name w:val="Normal Indent"/>
    <w:basedOn w:val="Normal"/>
    <w:uiPriority w:val="99"/>
    <w:rsid w:val="005D7D3D"/>
    <w:pPr>
      <w:ind w:left="708"/>
    </w:pPr>
  </w:style>
  <w:style w:type="paragraph" w:styleId="Header">
    <w:name w:val="header"/>
    <w:basedOn w:val="Normal"/>
    <w:link w:val="HeaderChar"/>
    <w:uiPriority w:val="99"/>
    <w:rsid w:val="005D7D3D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0204"/>
    <w:rPr>
      <w:sz w:val="20"/>
      <w:szCs w:val="20"/>
    </w:rPr>
  </w:style>
  <w:style w:type="paragraph" w:customStyle="1" w:styleId="ET">
    <w:name w:val="ET"/>
    <w:basedOn w:val="Normal"/>
    <w:uiPriority w:val="99"/>
    <w:rsid w:val="005D7D3D"/>
    <w:rPr>
      <w:b/>
      <w:bCs/>
      <w:caps/>
      <w:sz w:val="24"/>
      <w:szCs w:val="24"/>
    </w:rPr>
  </w:style>
  <w:style w:type="paragraph" w:customStyle="1" w:styleId="OR">
    <w:name w:val="OR"/>
    <w:basedOn w:val="ET"/>
    <w:uiPriority w:val="99"/>
    <w:rsid w:val="005D7D3D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uiPriority w:val="99"/>
    <w:rsid w:val="005D7D3D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link w:val="P0Car"/>
    <w:uiPriority w:val="99"/>
    <w:rsid w:val="005D7D3D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uiPriority w:val="99"/>
    <w:rsid w:val="005D7D3D"/>
    <w:pPr>
      <w:spacing w:after="240"/>
      <w:ind w:firstLine="1418"/>
    </w:pPr>
  </w:style>
  <w:style w:type="paragraph" w:customStyle="1" w:styleId="IN">
    <w:name w:val="IN"/>
    <w:basedOn w:val="P0"/>
    <w:uiPriority w:val="99"/>
    <w:rsid w:val="005D7D3D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uiPriority w:val="99"/>
    <w:rsid w:val="005D7D3D"/>
    <w:pPr>
      <w:ind w:left="0"/>
    </w:pPr>
  </w:style>
  <w:style w:type="paragraph" w:customStyle="1" w:styleId="PE">
    <w:name w:val="PE"/>
    <w:basedOn w:val="IN"/>
    <w:uiPriority w:val="99"/>
    <w:rsid w:val="005D7D3D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uiPriority w:val="99"/>
    <w:rsid w:val="005D7D3D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link w:val="PSCar"/>
    <w:uiPriority w:val="99"/>
    <w:rsid w:val="005D7D3D"/>
    <w:pPr>
      <w:spacing w:after="48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uiPriority w:val="99"/>
    <w:rsid w:val="005D7D3D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paragraph" w:customStyle="1" w:styleId="arretn">
    <w:name w:val="arret n°"/>
    <w:basedOn w:val="IN"/>
    <w:uiPriority w:val="99"/>
    <w:rsid w:val="009D46D0"/>
    <w:pPr>
      <w:ind w:left="567"/>
    </w:pPr>
    <w:rPr>
      <w:sz w:val="20"/>
      <w:szCs w:val="20"/>
    </w:rPr>
  </w:style>
  <w:style w:type="character" w:customStyle="1" w:styleId="PSCar">
    <w:name w:val="PS Car"/>
    <w:basedOn w:val="DefaultParagraphFont"/>
    <w:link w:val="PS"/>
    <w:uiPriority w:val="99"/>
    <w:rsid w:val="00697C8E"/>
    <w:rPr>
      <w:sz w:val="24"/>
      <w:szCs w:val="24"/>
      <w:lang w:val="fr-FR" w:eastAsia="fr-FR"/>
    </w:rPr>
  </w:style>
  <w:style w:type="character" w:customStyle="1" w:styleId="P0Car">
    <w:name w:val="P0 Car"/>
    <w:basedOn w:val="DefaultParagraphFont"/>
    <w:link w:val="P0"/>
    <w:uiPriority w:val="99"/>
    <w:rsid w:val="00441F47"/>
    <w:rPr>
      <w:sz w:val="24"/>
      <w:szCs w:val="24"/>
      <w:lang w:val="fr-FR" w:eastAsia="fr-FR"/>
    </w:rPr>
  </w:style>
  <w:style w:type="paragraph" w:customStyle="1" w:styleId="Style">
    <w:name w:val="Style"/>
    <w:basedOn w:val="Normal"/>
    <w:uiPriority w:val="99"/>
    <w:rsid w:val="00AF26A1"/>
    <w:pPr>
      <w:widowControl w:val="0"/>
      <w:overflowPunct w:val="0"/>
      <w:autoSpaceDE w:val="0"/>
      <w:autoSpaceDN w:val="0"/>
      <w:adjustRightInd w:val="0"/>
      <w:spacing w:after="160" w:line="240" w:lineRule="exact"/>
    </w:pPr>
    <w:rPr>
      <w:rFonts w:ascii="Tahoma" w:hAnsi="Tahoma" w:cs="Tahoma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tlecroisey\Local%20Settings\Temporary%20Internet%20Files\Content.MSO\573DA8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573DA8C</Template>
  <TotalTime>10</TotalTime>
  <Pages>6</Pages>
  <Words>1468</Words>
  <Characters>8077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mgjametal</dc:creator>
  <cp:keywords>FC</cp:keywords>
  <dc:description/>
  <cp:lastModifiedBy>JPBONIN</cp:lastModifiedBy>
  <cp:revision>5</cp:revision>
  <cp:lastPrinted>2011-05-11T09:27:00Z</cp:lastPrinted>
  <dcterms:created xsi:type="dcterms:W3CDTF">2011-05-30T16:23:00Z</dcterms:created>
  <dcterms:modified xsi:type="dcterms:W3CDTF">2011-06-06T08:32:00Z</dcterms:modified>
</cp:coreProperties>
</file>