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0A2" w:rsidRPr="00EB6713" w:rsidRDefault="008A50A2" w:rsidP="00AD2BC6">
      <w:pPr>
        <w:jc w:val="both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 xml:space="preserve">  </w:t>
      </w:r>
      <w:r w:rsidRPr="00EB6713">
        <w:rPr>
          <w:b/>
          <w:bCs/>
          <w:caps/>
          <w:sz w:val="24"/>
          <w:szCs w:val="24"/>
        </w:rPr>
        <w:t>COUR DES COMPTES</w:t>
      </w:r>
    </w:p>
    <w:p w:rsidR="008A50A2" w:rsidRPr="00EB6713" w:rsidRDefault="008A50A2" w:rsidP="00AD2BC6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 xml:space="preserve">               --------</w:t>
      </w:r>
    </w:p>
    <w:p w:rsidR="008A50A2" w:rsidRPr="00EB6713" w:rsidRDefault="008A50A2" w:rsidP="00AD2BC6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QUATRIEME CHAMBRE</w:t>
      </w:r>
    </w:p>
    <w:p w:rsidR="008A50A2" w:rsidRPr="00EB6713" w:rsidRDefault="008A50A2" w:rsidP="00AD2BC6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 xml:space="preserve">               --------</w:t>
      </w:r>
    </w:p>
    <w:p w:rsidR="008A50A2" w:rsidRPr="00EB6713" w:rsidRDefault="008A50A2" w:rsidP="005524BE">
      <w:pPr>
        <w:jc w:val="both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FORMATION PLENIERE</w:t>
      </w:r>
    </w:p>
    <w:p w:rsidR="008A50A2" w:rsidRPr="007360D1" w:rsidRDefault="008A50A2" w:rsidP="009C7942">
      <w:pPr>
        <w:spacing w:after="1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   </w:t>
      </w:r>
      <w:r w:rsidRPr="007360D1">
        <w:rPr>
          <w:b/>
          <w:bCs/>
          <w:sz w:val="24"/>
          <w:szCs w:val="24"/>
        </w:rPr>
        <w:t>-------</w:t>
      </w:r>
      <w:r>
        <w:rPr>
          <w:b/>
          <w:bCs/>
          <w:sz w:val="24"/>
          <w:szCs w:val="24"/>
        </w:rPr>
        <w:t>-</w:t>
      </w:r>
    </w:p>
    <w:p w:rsidR="008A50A2" w:rsidRPr="005524BE" w:rsidRDefault="008A50A2" w:rsidP="00A046AF">
      <w:pPr>
        <w:pStyle w:val="Heading1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</w:t>
      </w:r>
      <w:r w:rsidRPr="005524BE">
        <w:rPr>
          <w:b/>
          <w:bCs/>
          <w:i/>
          <w:iCs/>
          <w:sz w:val="22"/>
          <w:szCs w:val="22"/>
        </w:rPr>
        <w:t>Arrêt n° 61509</w:t>
      </w:r>
    </w:p>
    <w:p w:rsidR="008A50A2" w:rsidRPr="005F641F" w:rsidRDefault="008A50A2" w:rsidP="005F641F"/>
    <w:p w:rsidR="008A50A2" w:rsidRDefault="008A50A2" w:rsidP="004149E8">
      <w:pPr>
        <w:ind w:left="4536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Commune de SAiNT-PIERRE</w:t>
      </w:r>
    </w:p>
    <w:p w:rsidR="008A50A2" w:rsidRPr="00042DE1" w:rsidRDefault="008A50A2" w:rsidP="004149E8">
      <w:pPr>
        <w:ind w:left="4536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(la REUNION)</w:t>
      </w:r>
    </w:p>
    <w:p w:rsidR="008A50A2" w:rsidRDefault="008A50A2" w:rsidP="004149E8">
      <w:pPr>
        <w:ind w:left="4536"/>
        <w:jc w:val="both"/>
        <w:rPr>
          <w:sz w:val="24"/>
          <w:szCs w:val="24"/>
        </w:rPr>
      </w:pPr>
    </w:p>
    <w:p w:rsidR="008A50A2" w:rsidRDefault="008A50A2" w:rsidP="004149E8">
      <w:pPr>
        <w:pStyle w:val="Heading2"/>
        <w:ind w:left="4536"/>
        <w:jc w:val="both"/>
      </w:pPr>
      <w:r>
        <w:t xml:space="preserve">Appel d’un jugement de la chambre régionale des comptes de la Réunion </w:t>
      </w:r>
    </w:p>
    <w:p w:rsidR="008A50A2" w:rsidRDefault="008A50A2" w:rsidP="004149E8">
      <w:pPr>
        <w:ind w:left="4536"/>
        <w:jc w:val="both"/>
        <w:rPr>
          <w:sz w:val="24"/>
          <w:szCs w:val="24"/>
        </w:rPr>
      </w:pPr>
    </w:p>
    <w:p w:rsidR="008A50A2" w:rsidRDefault="008A50A2" w:rsidP="004149E8">
      <w:pPr>
        <w:pStyle w:val="Heading4"/>
        <w:ind w:left="4536"/>
      </w:pPr>
      <w:r>
        <w:t>Rapport n° 2011-311-0</w:t>
      </w:r>
    </w:p>
    <w:p w:rsidR="008A50A2" w:rsidRDefault="008A50A2" w:rsidP="004149E8">
      <w:pPr>
        <w:ind w:left="4536"/>
        <w:jc w:val="both"/>
        <w:rPr>
          <w:sz w:val="24"/>
          <w:szCs w:val="24"/>
        </w:rPr>
      </w:pPr>
    </w:p>
    <w:p w:rsidR="008A50A2" w:rsidRDefault="008A50A2" w:rsidP="004149E8">
      <w:pPr>
        <w:ind w:left="4536"/>
        <w:jc w:val="both"/>
        <w:rPr>
          <w:sz w:val="24"/>
          <w:szCs w:val="24"/>
        </w:rPr>
      </w:pPr>
      <w:r>
        <w:rPr>
          <w:sz w:val="24"/>
          <w:szCs w:val="24"/>
        </w:rPr>
        <w:t>Audience du 9 juin 2011</w:t>
      </w:r>
    </w:p>
    <w:p w:rsidR="008A50A2" w:rsidRDefault="008A50A2" w:rsidP="004149E8">
      <w:pPr>
        <w:ind w:left="4536"/>
        <w:jc w:val="both"/>
        <w:rPr>
          <w:sz w:val="24"/>
          <w:szCs w:val="24"/>
        </w:rPr>
      </w:pPr>
    </w:p>
    <w:p w:rsidR="008A50A2" w:rsidRDefault="008A50A2" w:rsidP="00B4569B">
      <w:pPr>
        <w:spacing w:after="120"/>
        <w:ind w:left="4536"/>
        <w:jc w:val="both"/>
        <w:rPr>
          <w:sz w:val="24"/>
          <w:szCs w:val="24"/>
        </w:rPr>
      </w:pPr>
      <w:r>
        <w:rPr>
          <w:sz w:val="24"/>
          <w:szCs w:val="24"/>
        </w:rPr>
        <w:t>Lecture publique du 21 juillet 2011</w:t>
      </w:r>
    </w:p>
    <w:p w:rsidR="008A50A2" w:rsidRDefault="008A50A2" w:rsidP="00550545">
      <w:pPr>
        <w:pStyle w:val="PS"/>
        <w:spacing w:after="120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:rsidR="008A50A2" w:rsidRPr="009712A8" w:rsidRDefault="008A50A2" w:rsidP="0040132D">
      <w:pPr>
        <w:pStyle w:val="P0"/>
        <w:spacing w:after="240"/>
        <w:ind w:left="540" w:right="-567" w:hanging="540"/>
        <w:jc w:val="center"/>
      </w:pPr>
      <w:r w:rsidRPr="009712A8">
        <w:t>REPUBLIQUE FRANÇAISE</w:t>
      </w:r>
    </w:p>
    <w:p w:rsidR="008A50A2" w:rsidRPr="009712A8" w:rsidRDefault="008A50A2" w:rsidP="0040055A">
      <w:pPr>
        <w:pStyle w:val="P0"/>
        <w:spacing w:after="480"/>
        <w:ind w:left="539" w:right="-567" w:hanging="539"/>
        <w:jc w:val="center"/>
      </w:pPr>
      <w:r w:rsidRPr="009712A8">
        <w:t>AU NOM DU PEUPLE FRANÇAIS</w:t>
      </w:r>
    </w:p>
    <w:p w:rsidR="008A50A2" w:rsidRPr="009712A8" w:rsidRDefault="008A50A2" w:rsidP="0040132D">
      <w:pPr>
        <w:pStyle w:val="PS"/>
        <w:spacing w:after="360"/>
        <w:ind w:left="0" w:right="-567" w:hanging="540"/>
        <w:jc w:val="center"/>
        <w:rPr>
          <w:rFonts w:ascii="Times New Roman" w:hAnsi="Times New Roman" w:cs="Times New Roman"/>
        </w:rPr>
      </w:pPr>
      <w:r w:rsidRPr="009712A8">
        <w:t>LA COUR DES COMPTES a rendu l’arrêt suivant :</w:t>
      </w:r>
    </w:p>
    <w:p w:rsidR="008A50A2" w:rsidRPr="00B82C1D" w:rsidRDefault="008A50A2" w:rsidP="00C33ED1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la requête</w:t>
      </w:r>
      <w:r>
        <w:rPr>
          <w:rFonts w:ascii="Times New Roman" w:hAnsi="Times New Roman" w:cs="Times New Roman"/>
        </w:rPr>
        <w:t>,</w:t>
      </w:r>
      <w:r w:rsidRPr="00B82C1D">
        <w:rPr>
          <w:rFonts w:ascii="Times New Roman" w:hAnsi="Times New Roman" w:cs="Times New Roman"/>
        </w:rPr>
        <w:t xml:space="preserve"> enregistrée le </w:t>
      </w:r>
      <w:r>
        <w:rPr>
          <w:rFonts w:ascii="Times New Roman" w:hAnsi="Times New Roman" w:cs="Times New Roman"/>
        </w:rPr>
        <w:t xml:space="preserve">18 janvier 2010 </w:t>
      </w:r>
      <w:r w:rsidRPr="00B82C1D">
        <w:rPr>
          <w:rFonts w:ascii="Times New Roman" w:hAnsi="Times New Roman" w:cs="Times New Roman"/>
        </w:rPr>
        <w:t>au greffe de la chambre régionale des comptes d</w:t>
      </w:r>
      <w:r>
        <w:rPr>
          <w:rFonts w:ascii="Times New Roman" w:hAnsi="Times New Roman" w:cs="Times New Roman"/>
        </w:rPr>
        <w:t>e la Réunion, par laquelle le procureur financier près la chambre a</w:t>
      </w:r>
      <w:r w:rsidRPr="00B82C1D">
        <w:rPr>
          <w:rFonts w:ascii="Times New Roman" w:hAnsi="Times New Roman" w:cs="Times New Roman"/>
        </w:rPr>
        <w:t xml:space="preserve"> élevé appel d</w:t>
      </w:r>
      <w:r>
        <w:rPr>
          <w:rFonts w:ascii="Times New Roman" w:hAnsi="Times New Roman" w:cs="Times New Roman"/>
        </w:rPr>
        <w:t>u jugement du 27 octobre 2009 par laquelle</w:t>
      </w:r>
      <w:r w:rsidRPr="00B82C1D">
        <w:rPr>
          <w:rFonts w:ascii="Times New Roman" w:hAnsi="Times New Roman" w:cs="Times New Roman"/>
        </w:rPr>
        <w:t xml:space="preserve"> ladite chambre</w:t>
      </w:r>
      <w:r>
        <w:rPr>
          <w:rFonts w:ascii="Times New Roman" w:hAnsi="Times New Roman" w:cs="Times New Roman"/>
        </w:rPr>
        <w:t xml:space="preserve">, statuant sur les comptes présentés, en qualité de comptable de la </w:t>
      </w:r>
      <w:r w:rsidRPr="005524BE">
        <w:rPr>
          <w:rFonts w:ascii="Times New Roman" w:hAnsi="Times New Roman" w:cs="Times New Roman"/>
          <w:caps/>
        </w:rPr>
        <w:t>commune de Saint-Pierre</w:t>
      </w:r>
      <w:r>
        <w:rPr>
          <w:rFonts w:ascii="Times New Roman" w:hAnsi="Times New Roman" w:cs="Times New Roman"/>
        </w:rPr>
        <w:t xml:space="preserve"> par M. X l’a déchargé de sa gestion du 4 juillet 2003 au 31 décembre 2006 inclus </w:t>
      </w:r>
      <w:r w:rsidRPr="00B82C1D">
        <w:rPr>
          <w:rFonts w:ascii="Times New Roman" w:hAnsi="Times New Roman" w:cs="Times New Roman"/>
        </w:rPr>
        <w:t>;</w:t>
      </w:r>
    </w:p>
    <w:p w:rsidR="008A50A2" w:rsidRPr="00497A94" w:rsidRDefault="008A50A2" w:rsidP="0063661F">
      <w:pPr>
        <w:spacing w:after="480"/>
        <w:ind w:firstLine="1134"/>
        <w:jc w:val="both"/>
        <w:rPr>
          <w:sz w:val="24"/>
          <w:szCs w:val="24"/>
        </w:rPr>
      </w:pPr>
      <w:r w:rsidRPr="00497A94">
        <w:rPr>
          <w:sz w:val="24"/>
          <w:szCs w:val="24"/>
        </w:rPr>
        <w:t xml:space="preserve">Vu le réquisitoire du </w:t>
      </w:r>
      <w:r>
        <w:rPr>
          <w:sz w:val="24"/>
          <w:szCs w:val="24"/>
        </w:rPr>
        <w:t>P</w:t>
      </w:r>
      <w:r w:rsidRPr="00497A94">
        <w:rPr>
          <w:sz w:val="24"/>
          <w:szCs w:val="24"/>
        </w:rPr>
        <w:t xml:space="preserve">rocureur général, en date du </w:t>
      </w:r>
      <w:r>
        <w:rPr>
          <w:sz w:val="24"/>
          <w:szCs w:val="24"/>
        </w:rPr>
        <w:t>23 septembre 2010</w:t>
      </w:r>
      <w:r w:rsidRPr="00497A94">
        <w:rPr>
          <w:sz w:val="24"/>
          <w:szCs w:val="24"/>
        </w:rPr>
        <w:t xml:space="preserve">, </w:t>
      </w:r>
      <w:r>
        <w:rPr>
          <w:sz w:val="24"/>
          <w:szCs w:val="24"/>
        </w:rPr>
        <w:t>transmettant</w:t>
      </w:r>
      <w:r w:rsidRPr="00497A94">
        <w:rPr>
          <w:sz w:val="24"/>
          <w:szCs w:val="24"/>
        </w:rPr>
        <w:t xml:space="preserve"> la requête précitée ;</w:t>
      </w:r>
    </w:p>
    <w:p w:rsidR="008A50A2" w:rsidRPr="00B82C1D" w:rsidRDefault="008A50A2" w:rsidP="00FF4D2A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les pièces de la procédure suivie en première instance</w:t>
      </w:r>
      <w:r>
        <w:rPr>
          <w:rFonts w:ascii="Times New Roman" w:hAnsi="Times New Roman" w:cs="Times New Roman"/>
        </w:rPr>
        <w:t xml:space="preserve"> </w:t>
      </w:r>
      <w:r w:rsidRPr="00B82C1D">
        <w:rPr>
          <w:rFonts w:ascii="Times New Roman" w:hAnsi="Times New Roman" w:cs="Times New Roman"/>
        </w:rPr>
        <w:t>;</w:t>
      </w:r>
    </w:p>
    <w:p w:rsidR="008A50A2" w:rsidRPr="00B82C1D" w:rsidRDefault="008A50A2" w:rsidP="00FF4D2A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l’article 60 de la loi de finances n°</w:t>
      </w:r>
      <w:r>
        <w:rPr>
          <w:rFonts w:ascii="Times New Roman" w:hAnsi="Times New Roman" w:cs="Times New Roman"/>
        </w:rPr>
        <w:t> </w:t>
      </w:r>
      <w:r w:rsidRPr="00B82C1D">
        <w:rPr>
          <w:rFonts w:ascii="Times New Roman" w:hAnsi="Times New Roman" w:cs="Times New Roman"/>
        </w:rPr>
        <w:t>63-156 du 23 février 1963 modifiée ;</w:t>
      </w:r>
    </w:p>
    <w:p w:rsidR="008A50A2" w:rsidRPr="00B82C1D" w:rsidRDefault="008A50A2" w:rsidP="00FF4D2A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 décret n°</w:t>
      </w:r>
      <w:r>
        <w:rPr>
          <w:rFonts w:ascii="Times New Roman" w:hAnsi="Times New Roman" w:cs="Times New Roman"/>
        </w:rPr>
        <w:t> </w:t>
      </w:r>
      <w:r w:rsidRPr="00B82C1D">
        <w:rPr>
          <w:rFonts w:ascii="Times New Roman" w:hAnsi="Times New Roman" w:cs="Times New Roman"/>
        </w:rPr>
        <w:t>62-1587 du 29</w:t>
      </w:r>
      <w:r>
        <w:rPr>
          <w:rFonts w:ascii="Times New Roman" w:hAnsi="Times New Roman" w:cs="Times New Roman"/>
        </w:rPr>
        <w:t> </w:t>
      </w:r>
      <w:r w:rsidRPr="00B82C1D">
        <w:rPr>
          <w:rFonts w:ascii="Times New Roman" w:hAnsi="Times New Roman" w:cs="Times New Roman"/>
        </w:rPr>
        <w:t>décembre</w:t>
      </w:r>
      <w:r>
        <w:rPr>
          <w:rFonts w:ascii="Times New Roman" w:hAnsi="Times New Roman" w:cs="Times New Roman"/>
        </w:rPr>
        <w:t> </w:t>
      </w:r>
      <w:r w:rsidRPr="00B82C1D">
        <w:rPr>
          <w:rFonts w:ascii="Times New Roman" w:hAnsi="Times New Roman" w:cs="Times New Roman"/>
        </w:rPr>
        <w:t>1962 modifié portant règlement général sur la comptabilité publique ;</w:t>
      </w:r>
    </w:p>
    <w:p w:rsidR="008A50A2" w:rsidRDefault="008A50A2" w:rsidP="00D77358">
      <w:pPr>
        <w:pStyle w:val="PS"/>
        <w:spacing w:after="360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 code des juridictions financières ;</w:t>
      </w:r>
    </w:p>
    <w:p w:rsidR="008A50A2" w:rsidRPr="00FF4D2A" w:rsidRDefault="008A50A2" w:rsidP="00FF4D2A">
      <w:pPr>
        <w:pStyle w:val="PS"/>
        <w:ind w:left="0" w:firstLine="284"/>
        <w:rPr>
          <w:rFonts w:ascii="Times New Roman" w:hAnsi="Times New Roman" w:cs="Times New Roman"/>
          <w:sz w:val="16"/>
          <w:szCs w:val="16"/>
        </w:rPr>
      </w:pPr>
    </w:p>
    <w:p w:rsidR="008A50A2" w:rsidRPr="00B82C1D" w:rsidRDefault="008A50A2" w:rsidP="00A856F2">
      <w:pPr>
        <w:pStyle w:val="PS"/>
        <w:spacing w:after="36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</w:t>
      </w:r>
      <w:r w:rsidRPr="00B82C1D">
        <w:rPr>
          <w:rFonts w:ascii="Times New Roman" w:hAnsi="Times New Roman" w:cs="Times New Roman"/>
        </w:rPr>
        <w:t xml:space="preserve"> le rapport de M</w:t>
      </w:r>
      <w:r>
        <w:rPr>
          <w:rFonts w:ascii="Times New Roman" w:hAnsi="Times New Roman" w:cs="Times New Roman"/>
        </w:rPr>
        <w:t>me Cornette, présidente de chambre maintenue en activité</w:t>
      </w:r>
      <w:r w:rsidRPr="00B82C1D">
        <w:rPr>
          <w:rFonts w:ascii="Times New Roman" w:hAnsi="Times New Roman" w:cs="Times New Roman"/>
        </w:rPr>
        <w:t> ;</w:t>
      </w:r>
    </w:p>
    <w:p w:rsidR="008A50A2" w:rsidRPr="00B82C1D" w:rsidRDefault="008A50A2" w:rsidP="00A856F2">
      <w:pPr>
        <w:pStyle w:val="PS"/>
        <w:spacing w:after="360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les conclusions du Procureur général</w:t>
      </w:r>
      <w:r>
        <w:rPr>
          <w:rFonts w:ascii="Times New Roman" w:hAnsi="Times New Roman" w:cs="Times New Roman"/>
        </w:rPr>
        <w:t xml:space="preserve"> </w:t>
      </w:r>
      <w:r w:rsidRPr="00B82C1D">
        <w:rPr>
          <w:rFonts w:ascii="Times New Roman" w:hAnsi="Times New Roman" w:cs="Times New Roman"/>
        </w:rPr>
        <w:t>;</w:t>
      </w:r>
    </w:p>
    <w:p w:rsidR="008A50A2" w:rsidRPr="00A856F2" w:rsidRDefault="008A50A2" w:rsidP="004750FE">
      <w:pPr>
        <w:pStyle w:val="PS"/>
        <w:spacing w:after="360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Entendu, lors de l’audience publique de ce jour, </w:t>
      </w:r>
      <w:r>
        <w:rPr>
          <w:rFonts w:ascii="Times New Roman" w:hAnsi="Times New Roman" w:cs="Times New Roman"/>
        </w:rPr>
        <w:t>Mme Cornette,</w:t>
      </w:r>
      <w:r w:rsidRPr="00B82C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Pr="00B82C1D">
        <w:rPr>
          <w:rFonts w:ascii="Times New Roman" w:hAnsi="Times New Roman" w:cs="Times New Roman"/>
        </w:rPr>
        <w:t xml:space="preserve"> son </w:t>
      </w:r>
      <w:r>
        <w:rPr>
          <w:rFonts w:ascii="Times New Roman" w:hAnsi="Times New Roman" w:cs="Times New Roman"/>
        </w:rPr>
        <w:t>rapport</w:t>
      </w:r>
      <w:r w:rsidRPr="00B82C1D">
        <w:rPr>
          <w:rFonts w:ascii="Times New Roman" w:hAnsi="Times New Roman" w:cs="Times New Roman"/>
        </w:rPr>
        <w:t>, M.</w:t>
      </w:r>
      <w:r>
        <w:rPr>
          <w:rFonts w:ascii="Times New Roman" w:hAnsi="Times New Roman" w:cs="Times New Roman"/>
        </w:rPr>
        <w:t> Maistre</w:t>
      </w:r>
      <w:r w:rsidRPr="00B82C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premier </w:t>
      </w:r>
      <w:r w:rsidRPr="00B82C1D">
        <w:rPr>
          <w:rFonts w:ascii="Times New Roman" w:hAnsi="Times New Roman" w:cs="Times New Roman"/>
        </w:rPr>
        <w:t xml:space="preserve">avocat général, en </w:t>
      </w:r>
      <w:r>
        <w:rPr>
          <w:rFonts w:ascii="Times New Roman" w:hAnsi="Times New Roman" w:cs="Times New Roman"/>
        </w:rPr>
        <w:t>l</w:t>
      </w:r>
      <w:r w:rsidRPr="00B82C1D">
        <w:rPr>
          <w:rFonts w:ascii="Times New Roman" w:hAnsi="Times New Roman" w:cs="Times New Roman"/>
        </w:rPr>
        <w:t>es conclusions</w:t>
      </w:r>
      <w:r>
        <w:rPr>
          <w:rFonts w:ascii="Times New Roman" w:hAnsi="Times New Roman" w:cs="Times New Roman"/>
        </w:rPr>
        <w:t xml:space="preserve"> du Parquet</w:t>
      </w:r>
      <w:r w:rsidRPr="00B82C1D">
        <w:rPr>
          <w:rFonts w:ascii="Times New Roman" w:hAnsi="Times New Roman" w:cs="Times New Roman"/>
        </w:rPr>
        <w:t xml:space="preserve">, l’appelant, informé de l’audience, </w:t>
      </w:r>
      <w:r w:rsidRPr="00A856F2">
        <w:rPr>
          <w:rFonts w:ascii="Times New Roman" w:hAnsi="Times New Roman" w:cs="Times New Roman"/>
        </w:rPr>
        <w:t>n’étant pas présent ;</w:t>
      </w:r>
    </w:p>
    <w:p w:rsidR="008A50A2" w:rsidRPr="00B82C1D" w:rsidRDefault="008A50A2" w:rsidP="00A856F2">
      <w:pPr>
        <w:pStyle w:val="PS"/>
        <w:spacing w:after="360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Entendu, </w:t>
      </w:r>
      <w:r>
        <w:rPr>
          <w:rFonts w:ascii="Times New Roman" w:hAnsi="Times New Roman" w:cs="Times New Roman"/>
        </w:rPr>
        <w:t>en délibéré</w:t>
      </w:r>
      <w:r w:rsidRPr="00B82C1D">
        <w:rPr>
          <w:rFonts w:ascii="Times New Roman" w:hAnsi="Times New Roman" w:cs="Times New Roman"/>
        </w:rPr>
        <w:t>, M.</w:t>
      </w:r>
      <w:r>
        <w:rPr>
          <w:rFonts w:ascii="Times New Roman" w:hAnsi="Times New Roman" w:cs="Times New Roman"/>
        </w:rPr>
        <w:t xml:space="preserve"> Cazanave, conseiller maître, </w:t>
      </w:r>
      <w:r w:rsidRPr="00B82C1D">
        <w:rPr>
          <w:rFonts w:ascii="Times New Roman" w:hAnsi="Times New Roman" w:cs="Times New Roman"/>
        </w:rPr>
        <w:t>en ses observations ;</w:t>
      </w:r>
    </w:p>
    <w:p w:rsidR="008A50A2" w:rsidRDefault="008A50A2" w:rsidP="00A046AF">
      <w:pPr>
        <w:pStyle w:val="PS"/>
        <w:spacing w:after="360"/>
        <w:ind w:left="0"/>
        <w:rPr>
          <w:rFonts w:ascii="Times New Roman" w:hAnsi="Times New Roman" w:cs="Times New Roman"/>
        </w:rPr>
      </w:pPr>
      <w:r>
        <w:t xml:space="preserve">Attendu que par jugement du 27 octobre 2009 précité, la chambre de la Réunion, </w:t>
      </w:r>
      <w:r>
        <w:rPr>
          <w:rFonts w:ascii="Times New Roman" w:hAnsi="Times New Roman" w:cs="Times New Roman"/>
        </w:rPr>
        <w:t xml:space="preserve">statuant sur les comptes présentés par M. X, en qualité de comptable de la commune de Saint-Pierre, l’a déchargé de sa gestion du 4 juillet 2003 au 31 décembre 2006 inclus </w:t>
      </w:r>
      <w:r w:rsidRPr="00B82C1D">
        <w:rPr>
          <w:rFonts w:ascii="Times New Roman" w:hAnsi="Times New Roman" w:cs="Times New Roman"/>
        </w:rPr>
        <w:t>;</w:t>
      </w:r>
    </w:p>
    <w:p w:rsidR="008A50A2" w:rsidRDefault="008A50A2" w:rsidP="00115B06">
      <w:pPr>
        <w:spacing w:after="360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Attendu qu’en application de la loi du 23 février 1963, modifiée, article 60-1 « les comptables publics sont pécuniairement responsables du recouvrement des recettes » ; que leur responsabilité peut être engagée dés lors qu’ils n’ont pas procédé, en vue de leur recouvrement, à des diligences adéquates, complètes et rapides, et que, du fait de leur négligence, la créance est devenue irrécouvrable ; </w:t>
      </w:r>
    </w:p>
    <w:p w:rsidR="008A50A2" w:rsidRDefault="008A50A2" w:rsidP="00613282">
      <w:pPr>
        <w:spacing w:after="360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Attendu que le titre 1554 d’un montant de 2 934,65 €, émis le 22 novembre 2002 à l’encontre de M. </w:t>
      </w:r>
      <w:r w:rsidRPr="00ED73BE">
        <w:rPr>
          <w:caps/>
          <w:sz w:val="24"/>
          <w:szCs w:val="24"/>
        </w:rPr>
        <w:t>Y</w:t>
      </w:r>
      <w:r>
        <w:rPr>
          <w:sz w:val="24"/>
          <w:szCs w:val="24"/>
        </w:rPr>
        <w:t>, gérant de l’EURL « le café de la gare » et représentant les loyers courus du 1</w:t>
      </w:r>
      <w:r w:rsidRPr="007E0823">
        <w:rPr>
          <w:sz w:val="24"/>
          <w:szCs w:val="24"/>
          <w:vertAlign w:val="superscript"/>
        </w:rPr>
        <w:t>er</w:t>
      </w:r>
      <w:r>
        <w:rPr>
          <w:sz w:val="24"/>
          <w:szCs w:val="24"/>
          <w:vertAlign w:val="superscript"/>
        </w:rPr>
        <w:t> </w:t>
      </w:r>
      <w:r>
        <w:rPr>
          <w:sz w:val="24"/>
          <w:szCs w:val="24"/>
        </w:rPr>
        <w:t xml:space="preserve">janvier au 21 février 2002 était prescrite au 31 décembre 2006 ; que le comptable, autrement que par une lettre de relance datée du 20 mars 2010, n’a procédé à aucune diligence de nature à préserver le recouvrement de cette créance qu’il avait prise en charge lors de son entrée en fonctions sans émettre de réserve à son sujet ; </w:t>
      </w:r>
    </w:p>
    <w:p w:rsidR="008A50A2" w:rsidRDefault="008A50A2" w:rsidP="00115B06">
      <w:pPr>
        <w:pStyle w:val="BodyText"/>
        <w:spacing w:after="360"/>
        <w:ind w:firstLine="1134"/>
      </w:pPr>
      <w:r>
        <w:t>Attendu que des éléments de fait, à savoir les incohérences relevées dans l’émission de titres par l’ordonnateur et les dégâts entraînés par le passage du cyclone DINA sur la commune de Saint- Pierre ne pouvaient pas conduire à exonérer le comptable de sa responsabilité ;</w:t>
      </w:r>
    </w:p>
    <w:p w:rsidR="008A50A2" w:rsidRDefault="008A50A2" w:rsidP="00115B06">
      <w:pPr>
        <w:pStyle w:val="BodyText"/>
        <w:spacing w:after="360"/>
        <w:ind w:firstLine="1134"/>
      </w:pPr>
      <w:r>
        <w:t>Considérant que la chambre régionale de la Réunion, pour avoir statué en équité, a commis une erreur de droit en déchargeant M. X de sa gestion du 4 juillet au 31 décembre 2006 ;</w:t>
      </w:r>
    </w:p>
    <w:p w:rsidR="008A50A2" w:rsidRDefault="008A50A2" w:rsidP="00A856F2">
      <w:pPr>
        <w:pStyle w:val="BodyText"/>
        <w:spacing w:after="360"/>
        <w:ind w:firstLine="1134"/>
      </w:pPr>
      <w:r>
        <w:t>Attendu que la Cour, saisie par l’effet dévolutif de l’appel, se doit de traiter l’affaire au fond ;</w:t>
      </w:r>
    </w:p>
    <w:p w:rsidR="008A50A2" w:rsidRDefault="008A50A2" w:rsidP="00115B06">
      <w:pPr>
        <w:pStyle w:val="BodyText"/>
        <w:spacing w:after="360"/>
        <w:ind w:firstLine="1134"/>
      </w:pPr>
      <w:r>
        <w:t>Attendu que la responsabilité de M. X, comptable de la commune de Saint</w:t>
      </w:r>
      <w:r>
        <w:noBreakHyphen/>
        <w:t>Pierre, doit être mise en cause à hauteur du manquant causé par le défaut du recouvrement</w:t>
      </w:r>
      <w:r w:rsidRPr="004A2392">
        <w:t xml:space="preserve"> </w:t>
      </w:r>
      <w:r>
        <w:t>du titre visé, soit 2 934,65 € majoré des intérêts pour retard courus à compter du 7 mai 2009, date de la première notification des charges à son encontre ;</w:t>
      </w:r>
    </w:p>
    <w:p w:rsidR="008A50A2" w:rsidRDefault="008A50A2" w:rsidP="00A856F2">
      <w:pPr>
        <w:pStyle w:val="PS"/>
        <w:spacing w:after="360"/>
        <w:ind w:left="0"/>
        <w:rPr>
          <w:rFonts w:ascii="Times New Roman" w:hAnsi="Times New Roman" w:cs="Times New Roman"/>
        </w:rPr>
      </w:pPr>
      <w:r>
        <w:br w:type="page"/>
        <w:t>Par ces motifs,</w:t>
      </w:r>
    </w:p>
    <w:p w:rsidR="008A50A2" w:rsidRPr="00660A6D" w:rsidRDefault="008A50A2" w:rsidP="00A856F2">
      <w:pPr>
        <w:pStyle w:val="BodyText"/>
        <w:spacing w:after="360"/>
        <w:jc w:val="center"/>
      </w:pPr>
      <w:r>
        <w:t>OR</w:t>
      </w:r>
      <w:r w:rsidRPr="00660A6D">
        <w:t>DONNE :</w:t>
      </w:r>
    </w:p>
    <w:p w:rsidR="008A50A2" w:rsidRDefault="008A50A2" w:rsidP="00BE7CEC">
      <w:pPr>
        <w:pStyle w:val="PS"/>
        <w:spacing w:after="36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 1 : le jugement du 27 octobre 2009 de la chambre régionale des comptes de la Réunion est infirmé.</w:t>
      </w:r>
    </w:p>
    <w:p w:rsidR="008A50A2" w:rsidRDefault="008A50A2" w:rsidP="00A856F2">
      <w:pPr>
        <w:pStyle w:val="PS"/>
        <w:spacing w:after="36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 2 : M. X est constitué débiteur des deniers de la commune de Saint-Pierre  pour un montant de 2 934,65 €, majoré des intérêts  courus à compter du 7 mai 2009.</w:t>
      </w:r>
    </w:p>
    <w:p w:rsidR="008A50A2" w:rsidRPr="00660A6D" w:rsidRDefault="008A50A2" w:rsidP="00A856F2">
      <w:pPr>
        <w:pStyle w:val="PS"/>
        <w:spacing w:after="360"/>
        <w:ind w:left="0" w:firstLine="0"/>
        <w:jc w:val="center"/>
        <w:rPr>
          <w:rFonts w:ascii="Times New Roman" w:hAnsi="Times New Roman" w:cs="Times New Roman"/>
        </w:rPr>
      </w:pPr>
      <w:r w:rsidRPr="00660A6D">
        <w:rPr>
          <w:rFonts w:ascii="Times New Roman" w:hAnsi="Times New Roman" w:cs="Times New Roman"/>
        </w:rPr>
        <w:t>----------</w:t>
      </w:r>
    </w:p>
    <w:p w:rsidR="008A50A2" w:rsidRDefault="008A50A2" w:rsidP="00115B06">
      <w:pPr>
        <w:pStyle w:val="PS"/>
        <w:spacing w:after="36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Fait et jugé à la Cour des comptes, quatrième chambre, formation plénière, le neuf juin deux mil onze. Présents : M. Ganser, doyen des présidents de section, présidant la séance, MM. Cazanave, président de section, Thérond, Lafaure, Mmes Gadriot-Renard, Démier, MM. Léna, Geoffroy, conseillers maîtres.</w:t>
      </w:r>
    </w:p>
    <w:p w:rsidR="008A50A2" w:rsidRDefault="008A50A2" w:rsidP="00246BE0">
      <w:pPr>
        <w:pStyle w:val="PS"/>
        <w:spacing w:before="120" w:after="360"/>
        <w:ind w:left="0"/>
      </w:pPr>
      <w:r>
        <w:t>Signé : Ganser, président de section, et Reynaud, greffier.</w:t>
      </w:r>
    </w:p>
    <w:p w:rsidR="008A50A2" w:rsidRPr="000C41E2" w:rsidRDefault="008A50A2" w:rsidP="00A7317D">
      <w:pPr>
        <w:pStyle w:val="PS"/>
        <w:spacing w:after="360"/>
        <w:ind w:left="0"/>
      </w:pPr>
      <w:r w:rsidRPr="000C41E2">
        <w:t>Collationné, certifié conforme à la minute étant au greffe de la Cour des comptes.</w:t>
      </w:r>
    </w:p>
    <w:p w:rsidR="008A50A2" w:rsidRPr="000C41E2" w:rsidRDefault="008A50A2" w:rsidP="00254765">
      <w:pPr>
        <w:pStyle w:val="PS"/>
        <w:spacing w:after="360"/>
        <w:ind w:left="0"/>
      </w:pPr>
      <w:r w:rsidRPr="000C41E2">
        <w:t>En conséquence, la République mande et ordonne à tous huissiers de justice, sur ce requis, de mettre ledit arrêt à exécution, aux procureurs généraux et aux procureurs de la</w:t>
      </w:r>
      <w:r>
        <w:t> </w:t>
      </w:r>
      <w:r w:rsidRPr="000C41E2">
        <w:t>République près les tribunaux de grande instance d'y tenir la main, à tous commandants et officiers de la force publique de prêter main forte lorsqu'ils en seront légalement requis.</w:t>
      </w:r>
    </w:p>
    <w:p w:rsidR="008A50A2" w:rsidRPr="000C41E2" w:rsidRDefault="008A50A2" w:rsidP="004767CD">
      <w:pPr>
        <w:pStyle w:val="PS"/>
        <w:spacing w:after="0"/>
        <w:ind w:left="0"/>
      </w:pPr>
      <w:r w:rsidRPr="000C41E2">
        <w:t>Délivré par moi, secrétaire général.</w:t>
      </w:r>
    </w:p>
    <w:p w:rsidR="008A50A2" w:rsidRPr="00BA61C2" w:rsidRDefault="008A50A2" w:rsidP="00A301FD">
      <w:pPr>
        <w:pStyle w:val="P0"/>
        <w:spacing w:before="120"/>
        <w:ind w:left="2268" w:firstLine="2835"/>
        <w:jc w:val="center"/>
        <w:rPr>
          <w:b/>
          <w:bCs/>
        </w:rPr>
      </w:pPr>
      <w:r w:rsidRPr="00BA61C2">
        <w:rPr>
          <w:b/>
          <w:bCs/>
        </w:rPr>
        <w:t>Pour le Secrétaire général</w:t>
      </w:r>
    </w:p>
    <w:p w:rsidR="008A50A2" w:rsidRPr="00BA61C2" w:rsidRDefault="008A50A2" w:rsidP="00A301FD">
      <w:pPr>
        <w:pStyle w:val="P0"/>
        <w:ind w:left="2268" w:firstLine="2835"/>
        <w:jc w:val="center"/>
        <w:rPr>
          <w:b/>
          <w:bCs/>
        </w:rPr>
      </w:pPr>
      <w:r w:rsidRPr="00BA61C2">
        <w:rPr>
          <w:b/>
          <w:bCs/>
        </w:rPr>
        <w:t>et par délégation,</w:t>
      </w:r>
    </w:p>
    <w:p w:rsidR="008A50A2" w:rsidRPr="00BA61C2" w:rsidRDefault="008A50A2" w:rsidP="00A301FD">
      <w:pPr>
        <w:pStyle w:val="P0"/>
        <w:ind w:left="2268" w:firstLine="2835"/>
        <w:jc w:val="center"/>
        <w:rPr>
          <w:b/>
          <w:bCs/>
        </w:rPr>
      </w:pPr>
      <w:r w:rsidRPr="00BA61C2">
        <w:rPr>
          <w:b/>
          <w:bCs/>
        </w:rPr>
        <w:t>le Chef du Greffe contentieux</w:t>
      </w:r>
    </w:p>
    <w:p w:rsidR="008A50A2" w:rsidRPr="00BA61C2" w:rsidRDefault="008A50A2" w:rsidP="00A301FD">
      <w:pPr>
        <w:pStyle w:val="P0"/>
        <w:ind w:left="2268" w:firstLine="2835"/>
        <w:jc w:val="center"/>
        <w:rPr>
          <w:b/>
          <w:bCs/>
        </w:rPr>
      </w:pPr>
    </w:p>
    <w:p w:rsidR="008A50A2" w:rsidRPr="00BA61C2" w:rsidRDefault="008A50A2" w:rsidP="00A301FD">
      <w:pPr>
        <w:pStyle w:val="P0"/>
        <w:ind w:left="2268" w:firstLine="2835"/>
        <w:jc w:val="center"/>
        <w:rPr>
          <w:b/>
          <w:bCs/>
        </w:rPr>
      </w:pPr>
    </w:p>
    <w:p w:rsidR="008A50A2" w:rsidRPr="00BA61C2" w:rsidRDefault="008A50A2" w:rsidP="00A301FD">
      <w:pPr>
        <w:pStyle w:val="P0"/>
        <w:ind w:left="2268" w:firstLine="2835"/>
        <w:jc w:val="center"/>
        <w:rPr>
          <w:b/>
          <w:bCs/>
        </w:rPr>
      </w:pPr>
    </w:p>
    <w:p w:rsidR="008A50A2" w:rsidRPr="00BA61C2" w:rsidRDefault="008A50A2" w:rsidP="00A301FD">
      <w:pPr>
        <w:pStyle w:val="P0"/>
        <w:ind w:left="2268" w:firstLine="2835"/>
        <w:jc w:val="center"/>
        <w:rPr>
          <w:b/>
          <w:bCs/>
        </w:rPr>
      </w:pPr>
    </w:p>
    <w:p w:rsidR="008A50A2" w:rsidRPr="00BA61C2" w:rsidRDefault="008A50A2" w:rsidP="00A301FD">
      <w:pPr>
        <w:pStyle w:val="P0"/>
        <w:ind w:left="2268" w:firstLine="2835"/>
        <w:jc w:val="center"/>
        <w:rPr>
          <w:b/>
          <w:bCs/>
        </w:rPr>
      </w:pPr>
    </w:p>
    <w:p w:rsidR="008A50A2" w:rsidRPr="00BA61C2" w:rsidRDefault="008A50A2" w:rsidP="00A301FD">
      <w:pPr>
        <w:pStyle w:val="P0"/>
        <w:ind w:left="2268" w:firstLine="2835"/>
        <w:jc w:val="center"/>
        <w:rPr>
          <w:b/>
          <w:bCs/>
        </w:rPr>
      </w:pPr>
      <w:r w:rsidRPr="00BA61C2">
        <w:rPr>
          <w:b/>
          <w:bCs/>
        </w:rPr>
        <w:t>Daniel FEREZ</w:t>
      </w:r>
    </w:p>
    <w:p w:rsidR="008A50A2" w:rsidRPr="00BA61C2" w:rsidRDefault="008A50A2" w:rsidP="00A301FD">
      <w:pPr>
        <w:pStyle w:val="P0"/>
        <w:ind w:left="2268" w:firstLine="2835"/>
        <w:jc w:val="center"/>
        <w:rPr>
          <w:b/>
          <w:bCs/>
        </w:rPr>
      </w:pPr>
    </w:p>
    <w:p w:rsidR="008A50A2" w:rsidRPr="00BA61C2" w:rsidRDefault="008A50A2" w:rsidP="00A301FD">
      <w:pPr>
        <w:pStyle w:val="P0"/>
        <w:ind w:left="2268" w:firstLine="4111"/>
        <w:jc w:val="center"/>
        <w:rPr>
          <w:b/>
          <w:bCs/>
        </w:rPr>
      </w:pPr>
    </w:p>
    <w:p w:rsidR="008A50A2" w:rsidRPr="00BA61C2" w:rsidRDefault="008A50A2" w:rsidP="00A301FD">
      <w:pPr>
        <w:pStyle w:val="P0"/>
        <w:ind w:left="2268" w:firstLine="4111"/>
        <w:jc w:val="center"/>
        <w:rPr>
          <w:b/>
          <w:bCs/>
        </w:rPr>
      </w:pPr>
    </w:p>
    <w:p w:rsidR="008A50A2" w:rsidRPr="00BA61C2" w:rsidRDefault="008A50A2" w:rsidP="00A301FD">
      <w:pPr>
        <w:pStyle w:val="P0"/>
        <w:ind w:left="2268" w:firstLine="4111"/>
        <w:jc w:val="center"/>
        <w:rPr>
          <w:b/>
          <w:bCs/>
        </w:rPr>
      </w:pPr>
    </w:p>
    <w:p w:rsidR="008A50A2" w:rsidRPr="00BA61C2" w:rsidRDefault="008A50A2" w:rsidP="00A301FD">
      <w:pPr>
        <w:pStyle w:val="PS"/>
        <w:ind w:left="0"/>
      </w:pPr>
      <w:r w:rsidRPr="00BA61C2">
        <w:t>La présente décision juridictionnelle est susceptible d’un pourvoi devant le Conseil d’Etat qui doit, à peine d’irrecevabilité, être introduit dans un délai de deux mois à compter de la date de sa notification (article R. 143-3 du code des juridictions financières).</w:t>
      </w:r>
    </w:p>
    <w:p w:rsidR="008A50A2" w:rsidRPr="00660A6D" w:rsidRDefault="008A50A2" w:rsidP="009545C9">
      <w:pPr>
        <w:pStyle w:val="PS"/>
        <w:ind w:left="0"/>
      </w:pPr>
    </w:p>
    <w:sectPr w:rsidR="008A50A2" w:rsidRPr="00660A6D" w:rsidSect="0007580C">
      <w:headerReference w:type="default" r:id="rId6"/>
      <w:headerReference w:type="first" r:id="rId7"/>
      <w:pgSz w:w="11906" w:h="16838"/>
      <w:pgMar w:top="1417" w:right="1417" w:bottom="1417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0A2" w:rsidRDefault="008A50A2">
      <w:r>
        <w:separator/>
      </w:r>
    </w:p>
  </w:endnote>
  <w:endnote w:type="continuationSeparator" w:id="0">
    <w:p w:rsidR="008A50A2" w:rsidRDefault="008A5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0A2" w:rsidRDefault="008A50A2">
      <w:r>
        <w:separator/>
      </w:r>
    </w:p>
  </w:footnote>
  <w:footnote w:type="continuationSeparator" w:id="0">
    <w:p w:rsidR="008A50A2" w:rsidRDefault="008A50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0A2" w:rsidRDefault="008A50A2" w:rsidP="0007580C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8A50A2" w:rsidRDefault="008A50A2" w:rsidP="0007580C">
    <w:pPr>
      <w:pStyle w:val="Header"/>
      <w:ind w:right="360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0A2" w:rsidRDefault="008A50A2" w:rsidP="0007580C">
    <w:pPr>
      <w:pStyle w:val="Header"/>
      <w:ind w:right="360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3E92"/>
    <w:rsid w:val="0000109B"/>
    <w:rsid w:val="00002923"/>
    <w:rsid w:val="000312AC"/>
    <w:rsid w:val="00040327"/>
    <w:rsid w:val="00042DE1"/>
    <w:rsid w:val="0006141E"/>
    <w:rsid w:val="00062706"/>
    <w:rsid w:val="00074849"/>
    <w:rsid w:val="0007580C"/>
    <w:rsid w:val="00095789"/>
    <w:rsid w:val="000966AD"/>
    <w:rsid w:val="00097CB1"/>
    <w:rsid w:val="000A34A1"/>
    <w:rsid w:val="000B1525"/>
    <w:rsid w:val="000C41E2"/>
    <w:rsid w:val="000C78C8"/>
    <w:rsid w:val="000F5742"/>
    <w:rsid w:val="0010360D"/>
    <w:rsid w:val="00103B5D"/>
    <w:rsid w:val="00106D40"/>
    <w:rsid w:val="0011355C"/>
    <w:rsid w:val="00115B06"/>
    <w:rsid w:val="00120038"/>
    <w:rsid w:val="0013719D"/>
    <w:rsid w:val="00137E59"/>
    <w:rsid w:val="00141B24"/>
    <w:rsid w:val="00172BF4"/>
    <w:rsid w:val="00173F27"/>
    <w:rsid w:val="00180908"/>
    <w:rsid w:val="00180E4F"/>
    <w:rsid w:val="00190224"/>
    <w:rsid w:val="001943B8"/>
    <w:rsid w:val="001952AF"/>
    <w:rsid w:val="001A2B88"/>
    <w:rsid w:val="001A4A04"/>
    <w:rsid w:val="001B7368"/>
    <w:rsid w:val="001C4E87"/>
    <w:rsid w:val="001C56E6"/>
    <w:rsid w:val="001D2A4A"/>
    <w:rsid w:val="001E2CBB"/>
    <w:rsid w:val="001E3805"/>
    <w:rsid w:val="001F482A"/>
    <w:rsid w:val="001F4A6B"/>
    <w:rsid w:val="001F707D"/>
    <w:rsid w:val="0020413B"/>
    <w:rsid w:val="00211381"/>
    <w:rsid w:val="00211F06"/>
    <w:rsid w:val="00223D38"/>
    <w:rsid w:val="00243E9C"/>
    <w:rsid w:val="00246BE0"/>
    <w:rsid w:val="00254765"/>
    <w:rsid w:val="00262E91"/>
    <w:rsid w:val="00277A50"/>
    <w:rsid w:val="00292145"/>
    <w:rsid w:val="002A3420"/>
    <w:rsid w:val="002A5F51"/>
    <w:rsid w:val="002B01CB"/>
    <w:rsid w:val="002E020E"/>
    <w:rsid w:val="002F4064"/>
    <w:rsid w:val="002F76D8"/>
    <w:rsid w:val="003061A1"/>
    <w:rsid w:val="00313B8C"/>
    <w:rsid w:val="00317CAF"/>
    <w:rsid w:val="003201CD"/>
    <w:rsid w:val="00325C98"/>
    <w:rsid w:val="00326EE5"/>
    <w:rsid w:val="00327FD1"/>
    <w:rsid w:val="00331626"/>
    <w:rsid w:val="003405E4"/>
    <w:rsid w:val="00346D93"/>
    <w:rsid w:val="00352B51"/>
    <w:rsid w:val="00353439"/>
    <w:rsid w:val="00354F30"/>
    <w:rsid w:val="00355912"/>
    <w:rsid w:val="00383468"/>
    <w:rsid w:val="0039317D"/>
    <w:rsid w:val="0039572C"/>
    <w:rsid w:val="003A24CE"/>
    <w:rsid w:val="003A6169"/>
    <w:rsid w:val="003B4919"/>
    <w:rsid w:val="003C72B0"/>
    <w:rsid w:val="003D1421"/>
    <w:rsid w:val="0040055A"/>
    <w:rsid w:val="0040132D"/>
    <w:rsid w:val="00410A6D"/>
    <w:rsid w:val="0041218E"/>
    <w:rsid w:val="00413EE5"/>
    <w:rsid w:val="004149E8"/>
    <w:rsid w:val="00415B20"/>
    <w:rsid w:val="00421AE2"/>
    <w:rsid w:val="004268EA"/>
    <w:rsid w:val="00431C9F"/>
    <w:rsid w:val="004555F9"/>
    <w:rsid w:val="00457496"/>
    <w:rsid w:val="004648E6"/>
    <w:rsid w:val="004750FE"/>
    <w:rsid w:val="00475C59"/>
    <w:rsid w:val="00475D4C"/>
    <w:rsid w:val="004767CD"/>
    <w:rsid w:val="004806C4"/>
    <w:rsid w:val="00481C50"/>
    <w:rsid w:val="0048440B"/>
    <w:rsid w:val="00496FA2"/>
    <w:rsid w:val="00497A94"/>
    <w:rsid w:val="004A2392"/>
    <w:rsid w:val="004A6266"/>
    <w:rsid w:val="004D206B"/>
    <w:rsid w:val="004D35D5"/>
    <w:rsid w:val="004D52EB"/>
    <w:rsid w:val="004D6186"/>
    <w:rsid w:val="004E32D2"/>
    <w:rsid w:val="004E70C3"/>
    <w:rsid w:val="004F0BE9"/>
    <w:rsid w:val="004F66C0"/>
    <w:rsid w:val="0051078B"/>
    <w:rsid w:val="00513823"/>
    <w:rsid w:val="00521414"/>
    <w:rsid w:val="00533F20"/>
    <w:rsid w:val="0054418D"/>
    <w:rsid w:val="00545E6A"/>
    <w:rsid w:val="00550545"/>
    <w:rsid w:val="005524BE"/>
    <w:rsid w:val="005618A9"/>
    <w:rsid w:val="00565E05"/>
    <w:rsid w:val="00566BAE"/>
    <w:rsid w:val="005846B1"/>
    <w:rsid w:val="00586186"/>
    <w:rsid w:val="00586D35"/>
    <w:rsid w:val="00597F3F"/>
    <w:rsid w:val="005C14F9"/>
    <w:rsid w:val="005D1A89"/>
    <w:rsid w:val="005D1BD8"/>
    <w:rsid w:val="005D3707"/>
    <w:rsid w:val="005E25B4"/>
    <w:rsid w:val="005E5AE6"/>
    <w:rsid w:val="005E7EE8"/>
    <w:rsid w:val="005F41EA"/>
    <w:rsid w:val="005F641F"/>
    <w:rsid w:val="006003CD"/>
    <w:rsid w:val="0060163F"/>
    <w:rsid w:val="00610701"/>
    <w:rsid w:val="00613282"/>
    <w:rsid w:val="0061419D"/>
    <w:rsid w:val="00616174"/>
    <w:rsid w:val="0063019B"/>
    <w:rsid w:val="0063661F"/>
    <w:rsid w:val="00645620"/>
    <w:rsid w:val="00645F36"/>
    <w:rsid w:val="006534E7"/>
    <w:rsid w:val="00657515"/>
    <w:rsid w:val="00660A6D"/>
    <w:rsid w:val="00671DB5"/>
    <w:rsid w:val="00686BA5"/>
    <w:rsid w:val="006A4388"/>
    <w:rsid w:val="006B005F"/>
    <w:rsid w:val="006B49DA"/>
    <w:rsid w:val="006C3E92"/>
    <w:rsid w:val="006C6EDF"/>
    <w:rsid w:val="006D476B"/>
    <w:rsid w:val="006E020C"/>
    <w:rsid w:val="006E1A1A"/>
    <w:rsid w:val="006F13C8"/>
    <w:rsid w:val="006F3F47"/>
    <w:rsid w:val="00701DFF"/>
    <w:rsid w:val="00731A7E"/>
    <w:rsid w:val="007335C4"/>
    <w:rsid w:val="007360D1"/>
    <w:rsid w:val="007438F0"/>
    <w:rsid w:val="0075354A"/>
    <w:rsid w:val="00770108"/>
    <w:rsid w:val="007A56E4"/>
    <w:rsid w:val="007B2171"/>
    <w:rsid w:val="007B529F"/>
    <w:rsid w:val="007C77E2"/>
    <w:rsid w:val="007D4AE2"/>
    <w:rsid w:val="007E0823"/>
    <w:rsid w:val="007F0929"/>
    <w:rsid w:val="007F1E40"/>
    <w:rsid w:val="007F2422"/>
    <w:rsid w:val="007F3AC0"/>
    <w:rsid w:val="0081084F"/>
    <w:rsid w:val="008240D6"/>
    <w:rsid w:val="00824B43"/>
    <w:rsid w:val="0083746E"/>
    <w:rsid w:val="00845E76"/>
    <w:rsid w:val="00847E1B"/>
    <w:rsid w:val="008617C3"/>
    <w:rsid w:val="00866D4B"/>
    <w:rsid w:val="00883D06"/>
    <w:rsid w:val="00891B02"/>
    <w:rsid w:val="008A5054"/>
    <w:rsid w:val="008A50A2"/>
    <w:rsid w:val="008B5911"/>
    <w:rsid w:val="008C463A"/>
    <w:rsid w:val="008C5F81"/>
    <w:rsid w:val="008E0C8D"/>
    <w:rsid w:val="00906B6C"/>
    <w:rsid w:val="0094433C"/>
    <w:rsid w:val="009450CF"/>
    <w:rsid w:val="009545C9"/>
    <w:rsid w:val="0096480B"/>
    <w:rsid w:val="009712A8"/>
    <w:rsid w:val="00976D12"/>
    <w:rsid w:val="00977E23"/>
    <w:rsid w:val="0099190A"/>
    <w:rsid w:val="009A25F6"/>
    <w:rsid w:val="009C7942"/>
    <w:rsid w:val="009F2DB9"/>
    <w:rsid w:val="009F571E"/>
    <w:rsid w:val="00A046AF"/>
    <w:rsid w:val="00A1234D"/>
    <w:rsid w:val="00A301FD"/>
    <w:rsid w:val="00A338DA"/>
    <w:rsid w:val="00A36AE2"/>
    <w:rsid w:val="00A406E5"/>
    <w:rsid w:val="00A42557"/>
    <w:rsid w:val="00A44C20"/>
    <w:rsid w:val="00A7317D"/>
    <w:rsid w:val="00A856F2"/>
    <w:rsid w:val="00A95152"/>
    <w:rsid w:val="00AA169A"/>
    <w:rsid w:val="00AB0802"/>
    <w:rsid w:val="00AD146C"/>
    <w:rsid w:val="00AD2BC6"/>
    <w:rsid w:val="00AD31F8"/>
    <w:rsid w:val="00AE7277"/>
    <w:rsid w:val="00AF1D55"/>
    <w:rsid w:val="00AF2001"/>
    <w:rsid w:val="00AF7246"/>
    <w:rsid w:val="00B10A4C"/>
    <w:rsid w:val="00B20060"/>
    <w:rsid w:val="00B30F64"/>
    <w:rsid w:val="00B34BD2"/>
    <w:rsid w:val="00B4569B"/>
    <w:rsid w:val="00B54CB3"/>
    <w:rsid w:val="00B62210"/>
    <w:rsid w:val="00B82C1D"/>
    <w:rsid w:val="00B85FD6"/>
    <w:rsid w:val="00B92A4C"/>
    <w:rsid w:val="00B9750D"/>
    <w:rsid w:val="00BA223E"/>
    <w:rsid w:val="00BA5580"/>
    <w:rsid w:val="00BA61C2"/>
    <w:rsid w:val="00BA6A11"/>
    <w:rsid w:val="00BB068D"/>
    <w:rsid w:val="00BC5727"/>
    <w:rsid w:val="00BD01E8"/>
    <w:rsid w:val="00BD6431"/>
    <w:rsid w:val="00BD6E3D"/>
    <w:rsid w:val="00BE0547"/>
    <w:rsid w:val="00BE4CC6"/>
    <w:rsid w:val="00BE7CEC"/>
    <w:rsid w:val="00BF72D9"/>
    <w:rsid w:val="00C0060B"/>
    <w:rsid w:val="00C10827"/>
    <w:rsid w:val="00C30369"/>
    <w:rsid w:val="00C33ED1"/>
    <w:rsid w:val="00C35A41"/>
    <w:rsid w:val="00C36F08"/>
    <w:rsid w:val="00C5212E"/>
    <w:rsid w:val="00C72063"/>
    <w:rsid w:val="00C72F9F"/>
    <w:rsid w:val="00CA46AE"/>
    <w:rsid w:val="00CA708C"/>
    <w:rsid w:val="00CB270E"/>
    <w:rsid w:val="00CD06DD"/>
    <w:rsid w:val="00CD7364"/>
    <w:rsid w:val="00CE2216"/>
    <w:rsid w:val="00CE610E"/>
    <w:rsid w:val="00CF095C"/>
    <w:rsid w:val="00CF4D0B"/>
    <w:rsid w:val="00D05BB4"/>
    <w:rsid w:val="00D072D8"/>
    <w:rsid w:val="00D07D63"/>
    <w:rsid w:val="00D22973"/>
    <w:rsid w:val="00D25CD9"/>
    <w:rsid w:val="00D57ECF"/>
    <w:rsid w:val="00D77358"/>
    <w:rsid w:val="00D969BC"/>
    <w:rsid w:val="00DA7123"/>
    <w:rsid w:val="00DB12B7"/>
    <w:rsid w:val="00DB549E"/>
    <w:rsid w:val="00DB5EED"/>
    <w:rsid w:val="00DC24C9"/>
    <w:rsid w:val="00DE7480"/>
    <w:rsid w:val="00DF26F3"/>
    <w:rsid w:val="00DF7926"/>
    <w:rsid w:val="00E2748E"/>
    <w:rsid w:val="00E35AA3"/>
    <w:rsid w:val="00E5703B"/>
    <w:rsid w:val="00E73F93"/>
    <w:rsid w:val="00E86457"/>
    <w:rsid w:val="00EB217D"/>
    <w:rsid w:val="00EB6713"/>
    <w:rsid w:val="00EB739E"/>
    <w:rsid w:val="00ED36C8"/>
    <w:rsid w:val="00ED5089"/>
    <w:rsid w:val="00ED73BE"/>
    <w:rsid w:val="00EE53A1"/>
    <w:rsid w:val="00F07C78"/>
    <w:rsid w:val="00F27890"/>
    <w:rsid w:val="00F36307"/>
    <w:rsid w:val="00F736D0"/>
    <w:rsid w:val="00F74ADE"/>
    <w:rsid w:val="00F77E82"/>
    <w:rsid w:val="00F818F3"/>
    <w:rsid w:val="00F8640B"/>
    <w:rsid w:val="00F949A9"/>
    <w:rsid w:val="00F95D3A"/>
    <w:rsid w:val="00FA0011"/>
    <w:rsid w:val="00FA133F"/>
    <w:rsid w:val="00FB6C0A"/>
    <w:rsid w:val="00FC475F"/>
    <w:rsid w:val="00FC4A34"/>
    <w:rsid w:val="00FD4177"/>
    <w:rsid w:val="00FE3DDE"/>
    <w:rsid w:val="00FE7CFC"/>
    <w:rsid w:val="00FF14A8"/>
    <w:rsid w:val="00FF4D2A"/>
    <w:rsid w:val="00FF6674"/>
    <w:rsid w:val="00FF6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C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4CB3"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4CB3"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4CB3"/>
    <w:pPr>
      <w:keepNext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54CB3"/>
    <w:pPr>
      <w:keepNext/>
      <w:ind w:left="5670"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54CB3"/>
    <w:pPr>
      <w:keepNext/>
      <w:outlineLvl w:val="4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E25B4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5E25B4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5E25B4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5E25B4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5E25B4"/>
    <w:rPr>
      <w:rFonts w:ascii="Calibri" w:hAnsi="Calibri" w:cs="Calibri"/>
      <w:b/>
      <w:bCs/>
      <w:i/>
      <w:iCs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rsid w:val="00B54CB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5B4"/>
    <w:rPr>
      <w:sz w:val="20"/>
      <w:szCs w:val="20"/>
    </w:rPr>
  </w:style>
  <w:style w:type="paragraph" w:customStyle="1" w:styleId="apostille">
    <w:name w:val="apostille"/>
    <w:basedOn w:val="Normal"/>
    <w:uiPriority w:val="99"/>
    <w:rsid w:val="00B54CB3"/>
    <w:pPr>
      <w:spacing w:before="120"/>
      <w:jc w:val="right"/>
    </w:pPr>
    <w:rPr>
      <w:b/>
      <w:bCs/>
      <w:i/>
      <w:iCs/>
      <w:smallCaps/>
      <w:sz w:val="24"/>
      <w:szCs w:val="24"/>
    </w:rPr>
  </w:style>
  <w:style w:type="paragraph" w:customStyle="1" w:styleId="obs">
    <w:name w:val="obs"/>
    <w:basedOn w:val="Normal"/>
    <w:uiPriority w:val="99"/>
    <w:rsid w:val="00B54CB3"/>
    <w:pPr>
      <w:spacing w:before="240" w:after="120"/>
      <w:jc w:val="both"/>
    </w:pPr>
    <w:rPr>
      <w:b/>
      <w:bCs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rsid w:val="00B54CB3"/>
    <w:rPr>
      <w:vertAlign w:val="superscript"/>
    </w:rPr>
  </w:style>
  <w:style w:type="paragraph" w:styleId="BodyText">
    <w:name w:val="Body Text"/>
    <w:basedOn w:val="Normal"/>
    <w:link w:val="BodyTextChar"/>
    <w:uiPriority w:val="99"/>
    <w:rsid w:val="00B54CB3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E25B4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B54CB3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E25B4"/>
    <w:rPr>
      <w:sz w:val="20"/>
      <w:szCs w:val="20"/>
    </w:rPr>
  </w:style>
  <w:style w:type="paragraph" w:customStyle="1" w:styleId="paragraphe">
    <w:name w:val="paragraphe"/>
    <w:uiPriority w:val="99"/>
    <w:rsid w:val="00847E1B"/>
    <w:pPr>
      <w:spacing w:after="240" w:line="240" w:lineRule="exact"/>
      <w:ind w:left="2268" w:firstLine="1418"/>
      <w:jc w:val="both"/>
    </w:pPr>
    <w:rPr>
      <w:rFonts w:ascii="Tms Rmn" w:hAnsi="Tms Rmn" w:cs="Tms Rm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D2A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5B4"/>
    <w:rPr>
      <w:sz w:val="2"/>
      <w:szCs w:val="2"/>
    </w:rPr>
  </w:style>
  <w:style w:type="paragraph" w:customStyle="1" w:styleId="PS">
    <w:name w:val="PS"/>
    <w:basedOn w:val="Normal"/>
    <w:link w:val="PSCar"/>
    <w:uiPriority w:val="99"/>
    <w:rsid w:val="00B82C1D"/>
    <w:pPr>
      <w:spacing w:after="480"/>
      <w:ind w:left="1701" w:firstLine="1134"/>
      <w:jc w:val="both"/>
    </w:pPr>
    <w:rPr>
      <w:rFonts w:ascii="CG Times (WN)" w:hAnsi="CG Times (WN)" w:cs="CG Times (WN)"/>
      <w:sz w:val="24"/>
      <w:szCs w:val="24"/>
    </w:rPr>
  </w:style>
  <w:style w:type="character" w:customStyle="1" w:styleId="PSCar">
    <w:name w:val="PS Car"/>
    <w:basedOn w:val="DefaultParagraphFont"/>
    <w:link w:val="PS"/>
    <w:uiPriority w:val="99"/>
    <w:rsid w:val="00B82C1D"/>
    <w:rPr>
      <w:rFonts w:ascii="CG Times (WN)" w:hAnsi="CG Times (WN)" w:cs="CG Times (WN)"/>
      <w:sz w:val="24"/>
      <w:szCs w:val="24"/>
      <w:lang w:val="fr-FR" w:eastAsia="fr-FR"/>
    </w:rPr>
  </w:style>
  <w:style w:type="paragraph" w:customStyle="1" w:styleId="P0">
    <w:name w:val="P0"/>
    <w:basedOn w:val="Normal"/>
    <w:link w:val="P0Car"/>
    <w:uiPriority w:val="99"/>
    <w:rsid w:val="00A301FD"/>
    <w:pPr>
      <w:ind w:left="1701"/>
      <w:jc w:val="both"/>
    </w:pPr>
    <w:rPr>
      <w:sz w:val="24"/>
      <w:szCs w:val="24"/>
    </w:rPr>
  </w:style>
  <w:style w:type="character" w:customStyle="1" w:styleId="P0Car">
    <w:name w:val="P0 Car"/>
    <w:basedOn w:val="DefaultParagraphFont"/>
    <w:link w:val="P0"/>
    <w:uiPriority w:val="99"/>
    <w:rsid w:val="00A301FD"/>
    <w:rPr>
      <w:sz w:val="24"/>
      <w:szCs w:val="24"/>
      <w:lang w:val="fr-FR" w:eastAsia="fr-FR"/>
    </w:rPr>
  </w:style>
  <w:style w:type="paragraph" w:customStyle="1" w:styleId="Style">
    <w:name w:val="Style"/>
    <w:basedOn w:val="Normal"/>
    <w:uiPriority w:val="99"/>
    <w:rsid w:val="00A301FD"/>
    <w:pPr>
      <w:widowControl w:val="0"/>
      <w:overflowPunct w:val="0"/>
      <w:autoSpaceDE w:val="0"/>
      <w:autoSpaceDN w:val="0"/>
      <w:adjustRightInd w:val="0"/>
      <w:spacing w:after="160" w:line="240" w:lineRule="exact"/>
      <w:textAlignment w:val="baseline"/>
    </w:pPr>
    <w:rPr>
      <w:rFonts w:ascii="Tahoma" w:hAnsi="Tahoma" w:cs="Tahoma"/>
      <w:lang w:val="en-US" w:eastAsia="en-US"/>
    </w:rPr>
  </w:style>
  <w:style w:type="paragraph" w:styleId="Header">
    <w:name w:val="header"/>
    <w:basedOn w:val="Normal"/>
    <w:link w:val="HeaderChar"/>
    <w:uiPriority w:val="99"/>
    <w:rsid w:val="00B9750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25B4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B9750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25B4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0758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3</Pages>
  <Words>796</Words>
  <Characters>4383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Montferrat, arrêt</dc:title>
  <dc:subject/>
  <dc:creator>gmoreau</dc:creator>
  <cp:keywords/>
  <dc:description/>
  <cp:lastModifiedBy>JPBONIN</cp:lastModifiedBy>
  <cp:revision>4</cp:revision>
  <cp:lastPrinted>2011-07-08T13:56:00Z</cp:lastPrinted>
  <dcterms:created xsi:type="dcterms:W3CDTF">2011-08-19T09:31:00Z</dcterms:created>
  <dcterms:modified xsi:type="dcterms:W3CDTF">2011-08-29T11:59:00Z</dcterms:modified>
</cp:coreProperties>
</file>