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C2" w:rsidRPr="00EB6713" w:rsidRDefault="000C29C2" w:rsidP="00C63667">
      <w:pPr>
        <w:jc w:val="both"/>
        <w:rPr>
          <w:b/>
          <w:bCs/>
          <w:caps/>
          <w:sz w:val="24"/>
          <w:szCs w:val="24"/>
        </w:rPr>
      </w:pPr>
      <w:bookmarkStart w:id="0" w:name="_GoBack"/>
      <w:bookmarkEnd w:id="0"/>
      <w:r>
        <w:rPr>
          <w:b/>
          <w:bCs/>
          <w:caps/>
          <w:sz w:val="24"/>
          <w:szCs w:val="24"/>
        </w:rPr>
        <w:t xml:space="preserve">  </w:t>
      </w:r>
      <w:r w:rsidRPr="00EB6713">
        <w:rPr>
          <w:b/>
          <w:bCs/>
          <w:caps/>
          <w:sz w:val="24"/>
          <w:szCs w:val="24"/>
        </w:rPr>
        <w:t>COUR DES COMPTES</w:t>
      </w:r>
    </w:p>
    <w:p w:rsidR="000C29C2" w:rsidRPr="00EB6713" w:rsidRDefault="000C29C2" w:rsidP="00C63667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0C29C2" w:rsidRPr="00EB6713" w:rsidRDefault="000C29C2" w:rsidP="00C63667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QUATRIEME CHAMBRE</w:t>
      </w:r>
    </w:p>
    <w:p w:rsidR="000C29C2" w:rsidRPr="00EB6713" w:rsidRDefault="000C29C2" w:rsidP="00C63667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0C29C2" w:rsidRPr="00EB6713" w:rsidRDefault="000C29C2" w:rsidP="00C63667">
      <w:pPr>
        <w:jc w:val="both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</w:t>
      </w:r>
      <w:r w:rsidRPr="00EB6713">
        <w:rPr>
          <w:b/>
          <w:bCs/>
          <w:caps/>
          <w:sz w:val="24"/>
          <w:szCs w:val="24"/>
        </w:rPr>
        <w:t>PREMIERE SECTION</w:t>
      </w:r>
    </w:p>
    <w:p w:rsidR="000C29C2" w:rsidRPr="009621A0" w:rsidRDefault="000C29C2" w:rsidP="00B75E7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9621A0">
        <w:rPr>
          <w:b/>
          <w:bCs/>
          <w:sz w:val="24"/>
          <w:szCs w:val="24"/>
        </w:rPr>
        <w:t>-------</w:t>
      </w:r>
      <w:r>
        <w:rPr>
          <w:b/>
          <w:bCs/>
          <w:sz w:val="24"/>
          <w:szCs w:val="24"/>
        </w:rPr>
        <w:t>-</w:t>
      </w:r>
    </w:p>
    <w:p w:rsidR="000C29C2" w:rsidRPr="009621A0" w:rsidRDefault="000C29C2" w:rsidP="00B75E7F">
      <w:pPr>
        <w:pStyle w:val="Titre1"/>
        <w:spacing w:before="120"/>
        <w:jc w:val="both"/>
        <w:rPr>
          <w:i/>
          <w:iCs/>
          <w:sz w:val="22"/>
          <w:szCs w:val="22"/>
          <w:u w:val="none"/>
        </w:rPr>
      </w:pPr>
      <w:r w:rsidRPr="009621A0">
        <w:rPr>
          <w:b w:val="0"/>
          <w:bCs w:val="0"/>
          <w:i/>
          <w:iCs/>
          <w:u w:val="none"/>
        </w:rPr>
        <w:t xml:space="preserve">  </w:t>
      </w:r>
      <w:r>
        <w:rPr>
          <w:b w:val="0"/>
          <w:bCs w:val="0"/>
          <w:i/>
          <w:iCs/>
          <w:u w:val="none"/>
        </w:rPr>
        <w:t xml:space="preserve">  </w:t>
      </w:r>
      <w:r w:rsidRPr="009621A0">
        <w:rPr>
          <w:b w:val="0"/>
          <w:bCs w:val="0"/>
          <w:i/>
          <w:iCs/>
          <w:u w:val="none"/>
        </w:rPr>
        <w:t xml:space="preserve">     </w:t>
      </w:r>
      <w:r w:rsidRPr="009621A0">
        <w:rPr>
          <w:i/>
          <w:iCs/>
          <w:sz w:val="22"/>
          <w:szCs w:val="22"/>
          <w:u w:val="none"/>
        </w:rPr>
        <w:t>Arrêt n° 6230</w:t>
      </w:r>
      <w:r>
        <w:rPr>
          <w:i/>
          <w:iCs/>
          <w:sz w:val="22"/>
          <w:szCs w:val="22"/>
          <w:u w:val="none"/>
        </w:rPr>
        <w:t>8</w:t>
      </w:r>
    </w:p>
    <w:p w:rsidR="000C29C2" w:rsidRPr="009621A0" w:rsidRDefault="000C29C2" w:rsidP="00C63667"/>
    <w:p w:rsidR="000C29C2" w:rsidRPr="00042DE1" w:rsidRDefault="000C29C2" w:rsidP="00C63667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CENTRE HOSPITALIER DE FOUGERES</w:t>
      </w:r>
    </w:p>
    <w:p w:rsidR="000C29C2" w:rsidRDefault="000C29C2" w:rsidP="00C63667">
      <w:pPr>
        <w:ind w:left="4536"/>
        <w:jc w:val="both"/>
        <w:rPr>
          <w:sz w:val="24"/>
          <w:szCs w:val="24"/>
        </w:rPr>
      </w:pPr>
    </w:p>
    <w:p w:rsidR="000C29C2" w:rsidRPr="00054B61" w:rsidRDefault="000C29C2" w:rsidP="00C63667">
      <w:pPr>
        <w:pStyle w:val="Titre2"/>
        <w:ind w:left="4536"/>
        <w:jc w:val="both"/>
        <w:rPr>
          <w:b w:val="0"/>
          <w:bCs w:val="0"/>
        </w:rPr>
      </w:pPr>
      <w:r w:rsidRPr="00054B61">
        <w:rPr>
          <w:b w:val="0"/>
          <w:bCs w:val="0"/>
        </w:rPr>
        <w:t>Appel d’un jugement de la chambre régionale</w:t>
      </w:r>
    </w:p>
    <w:p w:rsidR="000C29C2" w:rsidRPr="00054B61" w:rsidRDefault="000C29C2" w:rsidP="00C63667">
      <w:pPr>
        <w:pStyle w:val="Titre2"/>
        <w:spacing w:before="0"/>
        <w:ind w:left="4536"/>
        <w:jc w:val="both"/>
        <w:rPr>
          <w:b w:val="0"/>
          <w:bCs w:val="0"/>
        </w:rPr>
      </w:pPr>
      <w:proofErr w:type="gramStart"/>
      <w:r w:rsidRPr="00054B61">
        <w:rPr>
          <w:b w:val="0"/>
          <w:bCs w:val="0"/>
        </w:rPr>
        <w:t>des</w:t>
      </w:r>
      <w:proofErr w:type="gramEnd"/>
      <w:r w:rsidRPr="00054B61">
        <w:rPr>
          <w:b w:val="0"/>
          <w:bCs w:val="0"/>
        </w:rPr>
        <w:t xml:space="preserve"> comptes de Bretagne</w:t>
      </w:r>
    </w:p>
    <w:p w:rsidR="000C29C2" w:rsidRDefault="000C29C2" w:rsidP="00C63667">
      <w:pPr>
        <w:ind w:left="4536"/>
        <w:jc w:val="both"/>
        <w:rPr>
          <w:sz w:val="24"/>
          <w:szCs w:val="24"/>
        </w:rPr>
      </w:pPr>
    </w:p>
    <w:p w:rsidR="000C29C2" w:rsidRDefault="000C29C2" w:rsidP="005C57DB">
      <w:pPr>
        <w:pStyle w:val="Titre4"/>
        <w:ind w:left="4536"/>
      </w:pPr>
      <w:r>
        <w:t>Rapport n° 2011-449-0</w:t>
      </w:r>
    </w:p>
    <w:p w:rsidR="000C29C2" w:rsidRDefault="000C29C2" w:rsidP="00C63667">
      <w:pPr>
        <w:ind w:left="4536"/>
        <w:jc w:val="both"/>
        <w:rPr>
          <w:sz w:val="24"/>
          <w:szCs w:val="24"/>
        </w:rPr>
      </w:pPr>
    </w:p>
    <w:p w:rsidR="000C29C2" w:rsidRDefault="000C29C2" w:rsidP="00C63667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Audience du 29 septembre 2011</w:t>
      </w:r>
    </w:p>
    <w:p w:rsidR="000C29C2" w:rsidRDefault="000C29C2" w:rsidP="00C63667">
      <w:pPr>
        <w:ind w:left="4536"/>
        <w:jc w:val="both"/>
        <w:rPr>
          <w:sz w:val="24"/>
          <w:szCs w:val="24"/>
        </w:rPr>
      </w:pPr>
    </w:p>
    <w:p w:rsidR="000C29C2" w:rsidRDefault="000C29C2" w:rsidP="00C63667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Lecture publique du 17 novembre 2011</w:t>
      </w:r>
    </w:p>
    <w:p w:rsidR="000C29C2" w:rsidRDefault="000C29C2" w:rsidP="00EA70CA">
      <w:pPr>
        <w:pStyle w:val="P0"/>
        <w:ind w:left="284"/>
        <w:jc w:val="center"/>
      </w:pPr>
    </w:p>
    <w:p w:rsidR="000C29C2" w:rsidRDefault="000C29C2" w:rsidP="00EA70CA">
      <w:pPr>
        <w:pStyle w:val="P0"/>
        <w:ind w:left="284"/>
        <w:jc w:val="center"/>
      </w:pPr>
    </w:p>
    <w:p w:rsidR="000C29C2" w:rsidRDefault="000C29C2" w:rsidP="00EA70CA">
      <w:pPr>
        <w:pStyle w:val="P0"/>
        <w:ind w:left="284"/>
        <w:jc w:val="center"/>
      </w:pPr>
      <w:r>
        <w:t>REPUBLIQUE FRANÇAISE</w:t>
      </w:r>
    </w:p>
    <w:p w:rsidR="000C29C2" w:rsidRDefault="000C29C2" w:rsidP="00EA70CA">
      <w:pPr>
        <w:pStyle w:val="P0"/>
        <w:ind w:left="284"/>
        <w:jc w:val="center"/>
      </w:pPr>
    </w:p>
    <w:p w:rsidR="000C29C2" w:rsidRDefault="000C29C2" w:rsidP="00EA70CA">
      <w:pPr>
        <w:pStyle w:val="P0"/>
        <w:spacing w:after="400"/>
        <w:ind w:left="284"/>
        <w:jc w:val="center"/>
      </w:pPr>
      <w:r>
        <w:t>AU NOM DU PEUPLE FRANÇAIS</w:t>
      </w:r>
    </w:p>
    <w:p w:rsidR="000C29C2" w:rsidRDefault="000C29C2" w:rsidP="00EA70CA">
      <w:pPr>
        <w:pStyle w:val="P0"/>
        <w:spacing w:after="400"/>
        <w:ind w:left="284"/>
        <w:jc w:val="center"/>
      </w:pPr>
      <w:r>
        <w:t>LA COUR DES COMPTES a rendu l’arrêt suivant :</w:t>
      </w:r>
    </w:p>
    <w:p w:rsidR="000C29C2" w:rsidRPr="009621A0" w:rsidRDefault="000C29C2" w:rsidP="00B75E7F">
      <w:pPr>
        <w:pStyle w:val="PS"/>
        <w:spacing w:after="400"/>
      </w:pPr>
      <w:r w:rsidRPr="009621A0">
        <w:t>LA COUR,</w:t>
      </w:r>
    </w:p>
    <w:p w:rsidR="000C29C2" w:rsidRPr="009621A0" w:rsidRDefault="000C29C2" w:rsidP="00EE3A8F">
      <w:pPr>
        <w:pStyle w:val="PS"/>
        <w:spacing w:after="240"/>
      </w:pPr>
      <w:r w:rsidRPr="009621A0">
        <w:t>Vu la requête, enregistrée le 11</w:t>
      </w:r>
      <w:r>
        <w:t> </w:t>
      </w:r>
      <w:r w:rsidRPr="009621A0">
        <w:t>mars</w:t>
      </w:r>
      <w:r>
        <w:t> </w:t>
      </w:r>
      <w:r w:rsidRPr="009621A0">
        <w:t>2011 au greffe de la chambre régionale des comptes de Bretagne, par laquelle M.</w:t>
      </w:r>
      <w:r>
        <w:t> </w:t>
      </w:r>
      <w:r w:rsidRPr="009621A0">
        <w:t xml:space="preserve">X, comptable </w:t>
      </w:r>
      <w:r>
        <w:t xml:space="preserve">du CENTRE HOSPITALIER DE FOUGERES </w:t>
      </w:r>
      <w:r w:rsidRPr="009621A0">
        <w:t>pour l’exercice</w:t>
      </w:r>
      <w:r>
        <w:t> </w:t>
      </w:r>
      <w:r w:rsidRPr="009621A0">
        <w:t>2007, a élevé appel du jugement du</w:t>
      </w:r>
      <w:r>
        <w:t> </w:t>
      </w:r>
      <w:r w:rsidRPr="009621A0">
        <w:t>18</w:t>
      </w:r>
      <w:r>
        <w:t> </w:t>
      </w:r>
      <w:r w:rsidRPr="009621A0">
        <w:t>janvier</w:t>
      </w:r>
      <w:r>
        <w:t> </w:t>
      </w:r>
      <w:r w:rsidRPr="009621A0">
        <w:t>2011 par lequel ladite chambre l’a</w:t>
      </w:r>
      <w:r>
        <w:t xml:space="preserve"> constitué débiteur des deniers dudit centre hospitalier </w:t>
      </w:r>
      <w:r w:rsidRPr="009621A0">
        <w:t>pour la somme de 10 734,55 € augmentées des intérêts de droit à compter du 28</w:t>
      </w:r>
      <w:r>
        <w:t> </w:t>
      </w:r>
      <w:r w:rsidRPr="009621A0">
        <w:t>janvier</w:t>
      </w:r>
      <w:r>
        <w:t> </w:t>
      </w:r>
      <w:r w:rsidRPr="009621A0">
        <w:t>2010 ;</w:t>
      </w:r>
    </w:p>
    <w:p w:rsidR="000C29C2" w:rsidRDefault="000C29C2" w:rsidP="00EE3A8F">
      <w:pPr>
        <w:pStyle w:val="PS"/>
        <w:spacing w:after="240"/>
      </w:pPr>
      <w:r w:rsidRPr="009621A0">
        <w:t>Vu le réquisitoire du Procureur général transmettant la requête précitée, du</w:t>
      </w:r>
      <w:r>
        <w:t> </w:t>
      </w:r>
      <w:r w:rsidRPr="009621A0">
        <w:t>5</w:t>
      </w:r>
      <w:r>
        <w:t> </w:t>
      </w:r>
      <w:r w:rsidRPr="009621A0">
        <w:t>mai</w:t>
      </w:r>
      <w:r>
        <w:t> </w:t>
      </w:r>
      <w:r w:rsidRPr="009621A0">
        <w:t>2011 ;</w:t>
      </w:r>
    </w:p>
    <w:p w:rsidR="000C29C2" w:rsidRPr="009621A0" w:rsidRDefault="000C29C2" w:rsidP="00EE3A8F">
      <w:pPr>
        <w:pStyle w:val="PS"/>
        <w:spacing w:after="240"/>
      </w:pPr>
      <w:r>
        <w:t>Vu le mémoire complémentaire transmis le 9 septembre 2011 par M. X ;</w:t>
      </w:r>
      <w:r w:rsidRPr="00EE3A8F">
        <w:t xml:space="preserve"> </w:t>
      </w:r>
    </w:p>
    <w:p w:rsidR="000C29C2" w:rsidRPr="009621A0" w:rsidRDefault="000C29C2" w:rsidP="00EE3A8F">
      <w:pPr>
        <w:pStyle w:val="PS"/>
        <w:spacing w:after="240"/>
      </w:pPr>
      <w:r w:rsidRPr="009621A0">
        <w:t>Vu les pièces de la procédure suivie en première instance ;</w:t>
      </w:r>
    </w:p>
    <w:p w:rsidR="000C29C2" w:rsidRPr="009621A0" w:rsidRDefault="000C29C2" w:rsidP="00EE3A8F">
      <w:pPr>
        <w:pStyle w:val="PS"/>
        <w:spacing w:after="240"/>
      </w:pPr>
      <w:r w:rsidRPr="009621A0">
        <w:t>Vu l’article 60 de la loi de finances n°</w:t>
      </w:r>
      <w:r>
        <w:t> </w:t>
      </w:r>
      <w:r w:rsidRPr="009621A0">
        <w:t>63-156 du 23</w:t>
      </w:r>
      <w:r>
        <w:t> </w:t>
      </w:r>
      <w:r w:rsidRPr="009621A0">
        <w:t>février</w:t>
      </w:r>
      <w:r>
        <w:t> </w:t>
      </w:r>
      <w:r w:rsidRPr="009621A0">
        <w:t>1963 modifiée ;</w:t>
      </w:r>
    </w:p>
    <w:p w:rsidR="000C29C2" w:rsidRPr="009621A0" w:rsidRDefault="000C29C2" w:rsidP="00EE3A8F">
      <w:pPr>
        <w:pStyle w:val="PS"/>
        <w:spacing w:after="240"/>
      </w:pPr>
      <w:r w:rsidRPr="009621A0">
        <w:t>Vu le code des juridictions financières ;</w:t>
      </w:r>
    </w:p>
    <w:p w:rsidR="000C29C2" w:rsidRDefault="000C29C2" w:rsidP="00EE3A8F">
      <w:pPr>
        <w:pStyle w:val="PS"/>
        <w:spacing w:after="240"/>
      </w:pPr>
      <w:r w:rsidRPr="009621A0">
        <w:t>Vu le code général des collectivités territoriales ;</w:t>
      </w:r>
    </w:p>
    <w:p w:rsidR="000C29C2" w:rsidRDefault="000C29C2">
      <w:pPr>
        <w:pStyle w:val="P0"/>
        <w:sectPr w:rsidR="000C29C2">
          <w:pgSz w:w="11907" w:h="16840"/>
          <w:pgMar w:top="1134" w:right="1134" w:bottom="1134" w:left="567" w:header="720" w:footer="720" w:gutter="0"/>
          <w:cols w:space="720"/>
        </w:sectPr>
      </w:pPr>
    </w:p>
    <w:p w:rsidR="000C29C2" w:rsidRPr="009621A0" w:rsidRDefault="000C29C2" w:rsidP="00EE3A8F">
      <w:pPr>
        <w:pStyle w:val="PS"/>
        <w:spacing w:after="240"/>
      </w:pPr>
      <w:r w:rsidRPr="009621A0">
        <w:lastRenderedPageBreak/>
        <w:t>Vu le décret n°</w:t>
      </w:r>
      <w:r>
        <w:t> </w:t>
      </w:r>
      <w:r w:rsidRPr="009621A0">
        <w:t>62-1587 du 29</w:t>
      </w:r>
      <w:r>
        <w:t> </w:t>
      </w:r>
      <w:r w:rsidRPr="009621A0">
        <w:t>décembre</w:t>
      </w:r>
      <w:r>
        <w:t> </w:t>
      </w:r>
      <w:r w:rsidRPr="009621A0">
        <w:t>1962 modifié portant règlement général sur la comptabilité publique ;</w:t>
      </w:r>
    </w:p>
    <w:p w:rsidR="000C29C2" w:rsidRPr="009206BF" w:rsidRDefault="000C29C2" w:rsidP="00EE3A8F">
      <w:pPr>
        <w:pStyle w:val="PS"/>
        <w:spacing w:after="240"/>
      </w:pPr>
      <w:r w:rsidRPr="009206BF">
        <w:t>Vu le rapport de M.</w:t>
      </w:r>
      <w:r>
        <w:t> </w:t>
      </w:r>
      <w:r w:rsidRPr="009206BF">
        <w:t>Leger, auditeur ;</w:t>
      </w:r>
    </w:p>
    <w:p w:rsidR="000C29C2" w:rsidRPr="009206BF" w:rsidRDefault="000C29C2" w:rsidP="00EE3A8F">
      <w:pPr>
        <w:pStyle w:val="PS"/>
        <w:spacing w:after="240"/>
      </w:pPr>
      <w:r w:rsidRPr="009206BF">
        <w:t xml:space="preserve">Vu les conclusions </w:t>
      </w:r>
      <w:r>
        <w:t xml:space="preserve">n° 511 </w:t>
      </w:r>
      <w:r w:rsidRPr="009206BF">
        <w:t>du Procureur général</w:t>
      </w:r>
      <w:r>
        <w:t xml:space="preserve"> du 11 août 2011</w:t>
      </w:r>
      <w:r w:rsidRPr="009206BF">
        <w:t xml:space="preserve"> ;</w:t>
      </w:r>
    </w:p>
    <w:p w:rsidR="000C29C2" w:rsidRPr="009206BF" w:rsidRDefault="000C29C2" w:rsidP="00EE3A8F">
      <w:pPr>
        <w:pStyle w:val="PS"/>
        <w:spacing w:after="240"/>
      </w:pPr>
      <w:r w:rsidRPr="009206BF">
        <w:t>Entendu, lors de l’audience publique de ce jour, M.</w:t>
      </w:r>
      <w:r>
        <w:t> </w:t>
      </w:r>
      <w:r w:rsidRPr="009206BF">
        <w:t>Leger, en son rapport, M</w:t>
      </w:r>
      <w:r>
        <w:t>me Anne Auclair-</w:t>
      </w:r>
      <w:proofErr w:type="spellStart"/>
      <w:r>
        <w:t>Rabinovitch</w:t>
      </w:r>
      <w:proofErr w:type="spellEnd"/>
      <w:r w:rsidRPr="009206BF">
        <w:t xml:space="preserve">, </w:t>
      </w:r>
      <w:r>
        <w:t xml:space="preserve">chargée de mission, </w:t>
      </w:r>
      <w:r w:rsidRPr="009206BF">
        <w:t xml:space="preserve">en </w:t>
      </w:r>
      <w:r>
        <w:t>l</w:t>
      </w:r>
      <w:r w:rsidRPr="009206BF">
        <w:t>es conclusions</w:t>
      </w:r>
      <w:r>
        <w:t xml:space="preserve"> du Parquet</w:t>
      </w:r>
      <w:r w:rsidRPr="009206BF">
        <w:t>, l’appelant, informé de l’audience, n’étant ni présent</w:t>
      </w:r>
      <w:r>
        <w:t>,</w:t>
      </w:r>
      <w:r w:rsidRPr="009206BF">
        <w:t xml:space="preserve"> ni représenté ;</w:t>
      </w:r>
    </w:p>
    <w:p w:rsidR="000C29C2" w:rsidRPr="009206BF" w:rsidRDefault="000C29C2" w:rsidP="00B40E9E">
      <w:pPr>
        <w:pStyle w:val="PS"/>
      </w:pPr>
      <w:r w:rsidRPr="009206BF">
        <w:t>Entendu, en délibéré, M.</w:t>
      </w:r>
      <w:r>
        <w:t> Cazanave, conseiller maître,</w:t>
      </w:r>
      <w:r w:rsidRPr="009206BF">
        <w:t xml:space="preserve"> en ses observations ;</w:t>
      </w:r>
    </w:p>
    <w:p w:rsidR="000C29C2" w:rsidRPr="000A5243" w:rsidRDefault="000C29C2" w:rsidP="00B75E7F">
      <w:pPr>
        <w:pStyle w:val="PS"/>
        <w:rPr>
          <w:b/>
          <w:bCs/>
          <w:u w:val="single"/>
        </w:rPr>
      </w:pPr>
      <w:r w:rsidRPr="000A5243">
        <w:rPr>
          <w:b/>
          <w:bCs/>
          <w:u w:val="single"/>
        </w:rPr>
        <w:t>Sur la régularité du jugement attaqué</w:t>
      </w:r>
      <w:r w:rsidRPr="00B40E9E">
        <w:rPr>
          <w:b/>
          <w:bCs/>
        </w:rPr>
        <w:t xml:space="preserve"> :</w:t>
      </w:r>
    </w:p>
    <w:p w:rsidR="000C29C2" w:rsidRDefault="000C29C2" w:rsidP="00B40E9E">
      <w:pPr>
        <w:pStyle w:val="PS"/>
      </w:pPr>
      <w:r>
        <w:t xml:space="preserve">Attendu que le requérant excipe du </w:t>
      </w:r>
      <w:proofErr w:type="spellStart"/>
      <w:r>
        <w:t>non</w:t>
      </w:r>
      <w:r w:rsidRPr="003770BA">
        <w:t xml:space="preserve"> respect</w:t>
      </w:r>
      <w:proofErr w:type="spellEnd"/>
      <w:r w:rsidRPr="003770BA">
        <w:t xml:space="preserve"> du principe contradictoire de la procédure </w:t>
      </w:r>
      <w:r>
        <w:t xml:space="preserve">au motif </w:t>
      </w:r>
      <w:r w:rsidRPr="003770BA">
        <w:t>qu’aucune demande de pièce qui aurait pu permettre de prouver le contrôle du bordereau</w:t>
      </w:r>
      <w:r>
        <w:t> </w:t>
      </w:r>
      <w:r w:rsidRPr="003770BA">
        <w:t>127 n’a été formulée entre l’ouverture du contrôle et le premier réquisitoire, et que « </w:t>
      </w:r>
      <w:r w:rsidRPr="006639AB">
        <w:rPr>
          <w:i/>
          <w:iCs/>
        </w:rPr>
        <w:t>ce n’est que lors de la transmission du réquisitoire 2010-58, que</w:t>
      </w:r>
      <w:r>
        <w:rPr>
          <w:i/>
          <w:iCs/>
        </w:rPr>
        <w:t xml:space="preserve"> </w:t>
      </w:r>
      <w:r w:rsidRPr="006639AB">
        <w:rPr>
          <w:i/>
          <w:iCs/>
        </w:rPr>
        <w:t>l’absence de signature du bordereau a été soulevée par la chambre</w:t>
      </w:r>
      <w:r>
        <w:t> » ;</w:t>
      </w:r>
    </w:p>
    <w:p w:rsidR="000C29C2" w:rsidRDefault="000C29C2" w:rsidP="00B75E7F">
      <w:pPr>
        <w:pStyle w:val="PS"/>
      </w:pPr>
      <w:r>
        <w:t>Attendu que le requérant ajoute « </w:t>
      </w:r>
      <w:r w:rsidRPr="00273513">
        <w:rPr>
          <w:i/>
          <w:iCs/>
        </w:rPr>
        <w:t xml:space="preserve">qu’il semble que </w:t>
      </w:r>
      <w:r>
        <w:rPr>
          <w:i/>
          <w:iCs/>
        </w:rPr>
        <w:t xml:space="preserve">lors de l’audience publique </w:t>
      </w:r>
      <w:r w:rsidRPr="00273513">
        <w:rPr>
          <w:i/>
          <w:iCs/>
        </w:rPr>
        <w:t xml:space="preserve">les magistrats </w:t>
      </w:r>
      <w:r>
        <w:t xml:space="preserve">[…] </w:t>
      </w:r>
      <w:r w:rsidRPr="00273513">
        <w:rPr>
          <w:i/>
          <w:iCs/>
        </w:rPr>
        <w:t>n’aient pas examiné l’intégralité des arguments et des pièces produites </w:t>
      </w:r>
      <w:r>
        <w:t>» ;</w:t>
      </w:r>
    </w:p>
    <w:p w:rsidR="000C29C2" w:rsidRDefault="000C29C2" w:rsidP="00B06C14">
      <w:pPr>
        <w:pStyle w:val="PS"/>
      </w:pPr>
      <w:r>
        <w:t>Attendu qu’aux termes de l’article L. 242-1-III du code des juridictions financières (CJF), c’est le réquisitoire du ministère public qui saisit la formation de jugement et ouvre la procédure contradictoire ;</w:t>
      </w:r>
    </w:p>
    <w:p w:rsidR="000C29C2" w:rsidRDefault="000C29C2" w:rsidP="00B06C14">
      <w:pPr>
        <w:pStyle w:val="PS"/>
      </w:pPr>
      <w:r>
        <w:t>Attendu que l’article R. 241-34</w:t>
      </w:r>
      <w:r w:rsidRPr="0029447D">
        <w:t xml:space="preserve"> </w:t>
      </w:r>
      <w:r>
        <w:t xml:space="preserve">du CJF </w:t>
      </w:r>
      <w:r w:rsidRPr="0029447D">
        <w:t xml:space="preserve">prévoit que </w:t>
      </w:r>
      <w:r w:rsidRPr="00310B58">
        <w:t>« </w:t>
      </w:r>
      <w:r w:rsidRPr="00310B58">
        <w:rPr>
          <w:i/>
          <w:iCs/>
        </w:rPr>
        <w:t xml:space="preserve">les comptables et les autres personnes mis en cause </w:t>
      </w:r>
      <w:r w:rsidRPr="00310B58">
        <w:t xml:space="preserve">[…] </w:t>
      </w:r>
      <w:r w:rsidRPr="00310B58">
        <w:rPr>
          <w:i/>
          <w:iCs/>
        </w:rPr>
        <w:t xml:space="preserve">ont accès au dossier et peuvent demander au greffe copie de pièces du dossier </w:t>
      </w:r>
      <w:r w:rsidRPr="00310B58">
        <w:t xml:space="preserve">[…] </w:t>
      </w:r>
      <w:r w:rsidRPr="00310B58">
        <w:rPr>
          <w:i/>
          <w:iCs/>
        </w:rPr>
        <w:t>et peuvent adresser au magistrat chargé de l'instruction leurs observations écrites, dont la production est notifiée à chaque partie. Ces</w:t>
      </w:r>
      <w:r>
        <w:rPr>
          <w:i/>
          <w:iCs/>
        </w:rPr>
        <w:t xml:space="preserve"> </w:t>
      </w:r>
      <w:r w:rsidRPr="00310B58">
        <w:rPr>
          <w:i/>
          <w:iCs/>
        </w:rPr>
        <w:t>observations sont versées au dossier</w:t>
      </w:r>
      <w:r w:rsidRPr="00310B58">
        <w:t> »</w:t>
      </w:r>
      <w:r>
        <w:t> ;</w:t>
      </w:r>
    </w:p>
    <w:p w:rsidR="000C29C2" w:rsidRPr="0029447D" w:rsidRDefault="000C29C2" w:rsidP="00B40E9E">
      <w:pPr>
        <w:pStyle w:val="PS"/>
      </w:pPr>
      <w:r>
        <w:t xml:space="preserve">Attendu que le jugement du 18 janvier 2011 mentionne que le comptable a transmis un exemplaire régulièrement visé du bordereau de mandat n° 127 du 2 avril 2007 ; qu’il peut ainsi être conclu qu’il </w:t>
      </w:r>
      <w:r w:rsidRPr="0029447D">
        <w:t>a été tenu compte de</w:t>
      </w:r>
      <w:r>
        <w:t>s éléments apportés par le comptable en réponse au réquisitoire qui lui avait été notifié dans les conditions prévues par le CJF ;</w:t>
      </w:r>
    </w:p>
    <w:p w:rsidR="000C29C2" w:rsidRPr="00210E49" w:rsidRDefault="000C29C2" w:rsidP="0044693B">
      <w:pPr>
        <w:pStyle w:val="PS"/>
        <w:spacing w:before="240"/>
      </w:pPr>
      <w:r w:rsidRPr="00210E49">
        <w:t>Attendu par ailleurs qu’il ne ressort pas des pièces du dossier qu’il y ait lieu de soulever d’office un moyen procédural tendant à l’a</w:t>
      </w:r>
      <w:r>
        <w:t>nnulation du jugement entrepris ;</w:t>
      </w:r>
      <w:r w:rsidRPr="00210E49">
        <w:t xml:space="preserve"> qu’ainsi la procédure suivie devant la chambre régionale des comptes de Bretagne est régulière ;</w:t>
      </w:r>
    </w:p>
    <w:p w:rsidR="000C29C2" w:rsidRPr="00A179ED" w:rsidRDefault="000C29C2" w:rsidP="00B75E7F">
      <w:pPr>
        <w:pStyle w:val="PS"/>
        <w:rPr>
          <w:b/>
          <w:bCs/>
          <w:u w:val="single"/>
        </w:rPr>
      </w:pPr>
      <w:r w:rsidRPr="00A179ED">
        <w:rPr>
          <w:b/>
          <w:bCs/>
          <w:u w:val="single"/>
        </w:rPr>
        <w:lastRenderedPageBreak/>
        <w:t>Sur le fond</w:t>
      </w:r>
      <w:r w:rsidRPr="00A179ED">
        <w:rPr>
          <w:b/>
          <w:bCs/>
        </w:rPr>
        <w:t xml:space="preserve"> :</w:t>
      </w:r>
    </w:p>
    <w:p w:rsidR="000C29C2" w:rsidRDefault="000C29C2" w:rsidP="00B06C14">
      <w:pPr>
        <w:pStyle w:val="PS"/>
      </w:pPr>
      <w:r>
        <w:t>Attendu que da</w:t>
      </w:r>
      <w:r w:rsidRPr="00CD4B39">
        <w:t>ns son jugement du 18</w:t>
      </w:r>
      <w:r>
        <w:t> </w:t>
      </w:r>
      <w:r w:rsidRPr="00CD4B39">
        <w:t>janvier</w:t>
      </w:r>
      <w:r>
        <w:t> 2011, la c</w:t>
      </w:r>
      <w:r w:rsidRPr="00CD4B39">
        <w:t xml:space="preserve">hambre régionale des comptes de Bretagne a constitué </w:t>
      </w:r>
      <w:r>
        <w:t>le requérant débiteur envers le c</w:t>
      </w:r>
      <w:r w:rsidRPr="00CD4B39">
        <w:t>entre hospitalier de</w:t>
      </w:r>
      <w:r>
        <w:t> </w:t>
      </w:r>
      <w:r w:rsidRPr="00CD4B39">
        <w:t>Fougères de la somme de 10 734,55 € augmentée des intérêts de droit à compter du</w:t>
      </w:r>
      <w:r>
        <w:t> </w:t>
      </w:r>
      <w:r w:rsidRPr="00CD4B39">
        <w:t>28</w:t>
      </w:r>
      <w:r>
        <w:t> </w:t>
      </w:r>
      <w:r w:rsidRPr="00CD4B39">
        <w:t>janvier</w:t>
      </w:r>
      <w:r>
        <w:t> </w:t>
      </w:r>
      <w:r w:rsidRPr="00CD4B39">
        <w:t>2010</w:t>
      </w:r>
      <w:r>
        <w:t xml:space="preserve"> au motif qu’il avait procédé au paiement de mandats dont le bordereau récapitulatif joint au compte n’étai</w:t>
      </w:r>
      <w:r w:rsidRPr="00CD4B39">
        <w:t>t pas visé par l’ordonnateur</w:t>
      </w:r>
      <w:r>
        <w:t> ;</w:t>
      </w:r>
    </w:p>
    <w:p w:rsidR="000C29C2" w:rsidRDefault="000C29C2" w:rsidP="005B2F49">
      <w:pPr>
        <w:pStyle w:val="PS"/>
      </w:pPr>
      <w:r>
        <w:t>Attendu que l</w:t>
      </w:r>
      <w:r w:rsidRPr="00530677">
        <w:t xml:space="preserve">'instruction M.21 applicable aux établissements publics de santé prévoit </w:t>
      </w:r>
      <w:r>
        <w:t>que les bordereaux récapitulatifs de paiement de mandats sont établis en trois exemplaires et signés par l’ordonnateur ;</w:t>
      </w:r>
    </w:p>
    <w:p w:rsidR="000C29C2" w:rsidRDefault="000C29C2" w:rsidP="00A179ED">
      <w:pPr>
        <w:pStyle w:val="PS"/>
      </w:pPr>
      <w:r w:rsidRPr="00BF2740">
        <w:t xml:space="preserve">Attendu que l’appelant </w:t>
      </w:r>
      <w:r>
        <w:t xml:space="preserve">relève que les deux autres bordereaux conservés dans les archives respectives de la trésorerie de Fougères collectivités et du service comptabilité de l’établissement sont revêtus de la signature réglementaire ; qu’il déduit de ces éléments qu’au moment du paiement, il disposait bien d’un bordereau sur lequel figurait la signature de l’ordonnateur et qu’il n’a donc pas failli à ses obligations de contrôle ; </w:t>
      </w:r>
    </w:p>
    <w:p w:rsidR="000C29C2" w:rsidRDefault="000C29C2" w:rsidP="00B75E7F">
      <w:pPr>
        <w:pStyle w:val="PS"/>
      </w:pPr>
      <w:r>
        <w:t>Attendu qu’en application de l’article 12 du règlement général de comptabilité publique, les comptables sont tenus en matière de dépenses, d’exercer le contrôle de la qualité de l’ordonnateur ; que la vérification de la signature constitue un élément substantiel de ce contrôle ;</w:t>
      </w:r>
    </w:p>
    <w:p w:rsidR="000C29C2" w:rsidRPr="00BF2740" w:rsidRDefault="000C29C2" w:rsidP="00B75E7F">
      <w:pPr>
        <w:pStyle w:val="PS"/>
      </w:pPr>
      <w:r w:rsidRPr="00BF2740">
        <w:t>Attendu que l’article 37 du même règlement prévoit qu’à l’occasion de l’exercice du contrôle prévu à l’article 12 précité, les irrégularités constatées doivent amener les comptables à suspendre les paiements et à en informer l’ordonnateur ;</w:t>
      </w:r>
    </w:p>
    <w:p w:rsidR="000C29C2" w:rsidRDefault="000C29C2" w:rsidP="005B2F49">
      <w:pPr>
        <w:pStyle w:val="PS"/>
      </w:pPr>
      <w:r>
        <w:t>Considérant qu’en procédant</w:t>
      </w:r>
      <w:r w:rsidRPr="00EC1655">
        <w:t xml:space="preserve"> au paiement des mandats récapitulés dans le bordereau n°</w:t>
      </w:r>
      <w:r>
        <w:t> </w:t>
      </w:r>
      <w:r w:rsidRPr="00EC1655">
        <w:t xml:space="preserve">127 précité </w:t>
      </w:r>
      <w:r>
        <w:t>le comptable a manqué à ses obligations de contrôle et a ainsi engagé sa responsabilité personnelle et pécuniaire ;</w:t>
      </w:r>
    </w:p>
    <w:p w:rsidR="000C29C2" w:rsidRDefault="000C29C2" w:rsidP="0044693B">
      <w:pPr>
        <w:pStyle w:val="PS"/>
      </w:pPr>
      <w:r>
        <w:t xml:space="preserve">Attendu que </w:t>
      </w:r>
      <w:r w:rsidRPr="00BF2740">
        <w:t xml:space="preserve">la régularité du paiement s’apprécie </w:t>
      </w:r>
      <w:r>
        <w:t>au vu des pièces jointes au règlement des dépenses, qui viennent à l’appui du compte produit à la chambre régionale</w:t>
      </w:r>
      <w:r w:rsidRPr="00BF2740">
        <w:t> ;</w:t>
      </w:r>
    </w:p>
    <w:p w:rsidR="000C29C2" w:rsidRPr="00BF2740" w:rsidRDefault="000C29C2" w:rsidP="005B2F49">
      <w:pPr>
        <w:pStyle w:val="PS"/>
      </w:pPr>
    </w:p>
    <w:p w:rsidR="000C29C2" w:rsidRPr="00440B7F" w:rsidRDefault="000C29C2" w:rsidP="00B75E7F">
      <w:pPr>
        <w:pStyle w:val="PS"/>
      </w:pPr>
      <w:r>
        <w:br w:type="page"/>
      </w:r>
      <w:r w:rsidRPr="00440B7F">
        <w:lastRenderedPageBreak/>
        <w:t>Par ces motifs,</w:t>
      </w:r>
    </w:p>
    <w:p w:rsidR="000C29C2" w:rsidRPr="00487D5F" w:rsidRDefault="000C29C2" w:rsidP="005B2F49">
      <w:pPr>
        <w:pStyle w:val="PS"/>
        <w:ind w:firstLine="0"/>
        <w:jc w:val="center"/>
      </w:pPr>
      <w:r w:rsidRPr="00487D5F">
        <w:t>ORDONNE :</w:t>
      </w:r>
    </w:p>
    <w:p w:rsidR="000C29C2" w:rsidRPr="00487D5F" w:rsidRDefault="000C29C2" w:rsidP="005B2F49">
      <w:pPr>
        <w:pStyle w:val="PS"/>
      </w:pPr>
      <w:r w:rsidRPr="00487D5F">
        <w:t>Le jugement du 18</w:t>
      </w:r>
      <w:r>
        <w:t> </w:t>
      </w:r>
      <w:r w:rsidRPr="00487D5F">
        <w:t>janvier</w:t>
      </w:r>
      <w:r>
        <w:t> </w:t>
      </w:r>
      <w:r w:rsidRPr="00487D5F">
        <w:t>2011 de la chambre régionale des comptes de</w:t>
      </w:r>
      <w:r>
        <w:t> </w:t>
      </w:r>
      <w:r w:rsidRPr="00487D5F">
        <w:t xml:space="preserve">Bretagne est </w:t>
      </w:r>
      <w:r>
        <w:t>con</w:t>
      </w:r>
      <w:r w:rsidRPr="00487D5F">
        <w:t>firmé.</w:t>
      </w:r>
    </w:p>
    <w:p w:rsidR="000C29C2" w:rsidRPr="00487D5F" w:rsidRDefault="000C29C2" w:rsidP="00197B51">
      <w:pPr>
        <w:pStyle w:val="PS"/>
        <w:ind w:firstLine="0"/>
        <w:jc w:val="center"/>
      </w:pPr>
      <w:r w:rsidRPr="00487D5F">
        <w:t>----------</w:t>
      </w:r>
    </w:p>
    <w:p w:rsidR="000C29C2" w:rsidRDefault="000C29C2" w:rsidP="003333E3">
      <w:pPr>
        <w:pStyle w:val="P0"/>
      </w:pPr>
      <w:r w:rsidRPr="00487D5F">
        <w:t>Fait et jugé en la Cour des comptes, quatrième chambre, première section. Présents, M</w:t>
      </w:r>
      <w:r>
        <w:t>. </w:t>
      </w:r>
      <w:r w:rsidRPr="00487D5F">
        <w:t xml:space="preserve">Bayle, président, </w:t>
      </w:r>
      <w:r>
        <w:t xml:space="preserve">Mme Cornette, présidente maintenue en qualité de conseillère maître, </w:t>
      </w:r>
      <w:r w:rsidRPr="00487D5F">
        <w:t>MM.</w:t>
      </w:r>
      <w:r>
        <w:t> Cazanave, président de section, Ganser</w:t>
      </w:r>
      <w:r w:rsidRPr="00487D5F">
        <w:t>,</w:t>
      </w:r>
      <w:r>
        <w:t xml:space="preserve"> </w:t>
      </w:r>
      <w:proofErr w:type="spellStart"/>
      <w:r>
        <w:t>Thérond</w:t>
      </w:r>
      <w:proofErr w:type="spellEnd"/>
      <w:r>
        <w:t xml:space="preserve">, </w:t>
      </w:r>
      <w:proofErr w:type="spellStart"/>
      <w:r>
        <w:t>Lafaure</w:t>
      </w:r>
      <w:proofErr w:type="spellEnd"/>
      <w:r>
        <w:t xml:space="preserve">, </w:t>
      </w:r>
      <w:proofErr w:type="spellStart"/>
      <w:r>
        <w:t>Bernicot</w:t>
      </w:r>
      <w:proofErr w:type="spellEnd"/>
      <w:r>
        <w:t>, Vermeulen, Mme </w:t>
      </w:r>
      <w:proofErr w:type="spellStart"/>
      <w:r>
        <w:t>Gadriot</w:t>
      </w:r>
      <w:proofErr w:type="spellEnd"/>
      <w:r>
        <w:t>-Renard, MM. Geoffroy, Senhaji,</w:t>
      </w:r>
      <w:r w:rsidRPr="00487D5F">
        <w:t xml:space="preserve"> </w:t>
      </w:r>
      <w:r>
        <w:t>conseillers maîtres.</w:t>
      </w:r>
    </w:p>
    <w:p w:rsidR="000C29C2" w:rsidRDefault="000C29C2" w:rsidP="003333E3">
      <w:pPr>
        <w:pStyle w:val="PS"/>
      </w:pPr>
    </w:p>
    <w:p w:rsidR="000C29C2" w:rsidRDefault="000C29C2" w:rsidP="003333E3">
      <w:pPr>
        <w:pStyle w:val="PS"/>
      </w:pPr>
      <w:r>
        <w:t>Signé : Bayle, président, et Le Baron, greffier.</w:t>
      </w:r>
    </w:p>
    <w:p w:rsidR="000C29C2" w:rsidRDefault="000C29C2" w:rsidP="003333E3">
      <w:pPr>
        <w:pStyle w:val="PS"/>
      </w:pPr>
      <w:r>
        <w:t>Collationné, certifié conforme à la minute étant au greffe de la Cour des comptes et délivré par moi, secrétaire général.</w:t>
      </w:r>
    </w:p>
    <w:p w:rsidR="000C29C2" w:rsidRDefault="000C29C2" w:rsidP="003C629E">
      <w:pPr>
        <w:pStyle w:val="PS"/>
      </w:pPr>
      <w:r w:rsidRPr="000C41E2">
        <w:t>En conséquence, la République mande et ordonne à tous huissiers de justice, sur ce requis, de mettre ledit arrêt à exécution, aux procureurs généraux et aux procureurs de la République près les tribunaux de grande instance d'y tenir la main, à tous commandants et officiers de la force publique de prêter main forte lorsqu'ils en</w:t>
      </w:r>
      <w:r>
        <w:t> </w:t>
      </w:r>
      <w:r w:rsidRPr="000C41E2">
        <w:t>seront légalement requis</w:t>
      </w:r>
      <w:r>
        <w:t>.</w:t>
      </w:r>
    </w:p>
    <w:p w:rsidR="000C29C2" w:rsidRDefault="000C29C2" w:rsidP="003C629E">
      <w:pPr>
        <w:pStyle w:val="PS"/>
        <w:spacing w:after="240"/>
      </w:pPr>
      <w:r w:rsidRPr="000C41E2">
        <w:t>Délivré par moi, secrétaire général</w:t>
      </w:r>
      <w:r>
        <w:t>.</w:t>
      </w:r>
    </w:p>
    <w:p w:rsidR="000C29C2" w:rsidRDefault="000C29C2" w:rsidP="003333E3">
      <w:pPr>
        <w:pStyle w:val="PS"/>
      </w:pPr>
    </w:p>
    <w:p w:rsidR="000C29C2" w:rsidRPr="00B1504E" w:rsidRDefault="000C29C2" w:rsidP="003333E3">
      <w:pPr>
        <w:pStyle w:val="P0"/>
        <w:spacing w:before="120"/>
        <w:ind w:left="2268" w:firstLine="3686"/>
        <w:jc w:val="center"/>
        <w:rPr>
          <w:b/>
          <w:bCs/>
        </w:rPr>
      </w:pPr>
      <w:r w:rsidRPr="00B1504E">
        <w:rPr>
          <w:b/>
          <w:bCs/>
        </w:rPr>
        <w:t>Pour le Secrétaire général</w:t>
      </w:r>
    </w:p>
    <w:p w:rsidR="000C29C2" w:rsidRDefault="000C29C2" w:rsidP="003333E3">
      <w:pPr>
        <w:pStyle w:val="P0"/>
        <w:ind w:left="2268" w:firstLine="3686"/>
        <w:jc w:val="center"/>
        <w:rPr>
          <w:b/>
          <w:bCs/>
        </w:rPr>
      </w:pPr>
      <w:proofErr w:type="gramStart"/>
      <w:r w:rsidRPr="00B1504E">
        <w:rPr>
          <w:b/>
          <w:bCs/>
        </w:rPr>
        <w:t>et</w:t>
      </w:r>
      <w:proofErr w:type="gramEnd"/>
      <w:r w:rsidRPr="00B1504E">
        <w:rPr>
          <w:b/>
          <w:bCs/>
        </w:rPr>
        <w:t xml:space="preserve"> par</w:t>
      </w:r>
      <w:r>
        <w:rPr>
          <w:b/>
          <w:bCs/>
        </w:rPr>
        <w:t xml:space="preserve"> </w:t>
      </w:r>
      <w:r w:rsidRPr="00B1504E">
        <w:rPr>
          <w:b/>
          <w:bCs/>
        </w:rPr>
        <w:t>délégation,</w:t>
      </w:r>
    </w:p>
    <w:p w:rsidR="000C29C2" w:rsidRPr="00B1504E" w:rsidRDefault="000C29C2" w:rsidP="003333E3">
      <w:pPr>
        <w:pStyle w:val="P0"/>
        <w:ind w:left="2268" w:firstLine="3686"/>
        <w:jc w:val="center"/>
        <w:rPr>
          <w:b/>
          <w:bCs/>
        </w:rPr>
      </w:pPr>
      <w:proofErr w:type="gramStart"/>
      <w:r w:rsidRPr="00B1504E">
        <w:rPr>
          <w:b/>
          <w:bCs/>
        </w:rPr>
        <w:t>le</w:t>
      </w:r>
      <w:proofErr w:type="gramEnd"/>
      <w:r w:rsidRPr="00B1504E">
        <w:rPr>
          <w:b/>
          <w:bCs/>
        </w:rPr>
        <w:t xml:space="preserve"> chef du greffe contentieux</w:t>
      </w:r>
    </w:p>
    <w:p w:rsidR="000C29C2" w:rsidRPr="00B1504E" w:rsidRDefault="000C29C2" w:rsidP="003333E3">
      <w:pPr>
        <w:pStyle w:val="P0"/>
        <w:ind w:left="2268" w:firstLine="3686"/>
        <w:jc w:val="center"/>
        <w:rPr>
          <w:b/>
          <w:bCs/>
        </w:rPr>
      </w:pPr>
    </w:p>
    <w:p w:rsidR="000C29C2" w:rsidRPr="00B1504E" w:rsidRDefault="000C29C2" w:rsidP="003333E3">
      <w:pPr>
        <w:pStyle w:val="P0"/>
        <w:ind w:left="2268" w:firstLine="3686"/>
        <w:jc w:val="center"/>
        <w:rPr>
          <w:b/>
          <w:bCs/>
        </w:rPr>
      </w:pPr>
    </w:p>
    <w:p w:rsidR="000C29C2" w:rsidRDefault="000C29C2" w:rsidP="003333E3">
      <w:pPr>
        <w:pStyle w:val="P0"/>
        <w:ind w:left="2268" w:firstLine="3686"/>
        <w:jc w:val="center"/>
        <w:rPr>
          <w:b/>
          <w:bCs/>
        </w:rPr>
      </w:pPr>
    </w:p>
    <w:p w:rsidR="000C29C2" w:rsidRDefault="000C29C2" w:rsidP="003333E3">
      <w:pPr>
        <w:pStyle w:val="P0"/>
        <w:ind w:left="2268" w:firstLine="3686"/>
        <w:jc w:val="center"/>
        <w:rPr>
          <w:b/>
          <w:bCs/>
        </w:rPr>
      </w:pPr>
    </w:p>
    <w:p w:rsidR="000C29C2" w:rsidRDefault="000C29C2" w:rsidP="003333E3">
      <w:pPr>
        <w:pStyle w:val="P0"/>
        <w:ind w:left="2268" w:firstLine="3686"/>
        <w:jc w:val="center"/>
        <w:rPr>
          <w:b/>
          <w:bCs/>
        </w:rPr>
      </w:pPr>
    </w:p>
    <w:p w:rsidR="000C29C2" w:rsidRPr="00B1504E" w:rsidRDefault="000C29C2" w:rsidP="003333E3">
      <w:pPr>
        <w:pStyle w:val="P0"/>
        <w:ind w:left="2268" w:firstLine="3686"/>
        <w:jc w:val="center"/>
        <w:rPr>
          <w:b/>
          <w:bCs/>
        </w:rPr>
      </w:pPr>
    </w:p>
    <w:p w:rsidR="000C29C2" w:rsidRPr="00B1504E" w:rsidRDefault="000C29C2" w:rsidP="003333E3">
      <w:pPr>
        <w:pStyle w:val="P0"/>
        <w:ind w:left="2268" w:firstLine="3686"/>
        <w:jc w:val="center"/>
        <w:rPr>
          <w:b/>
          <w:bCs/>
        </w:rPr>
      </w:pPr>
      <w:r w:rsidRPr="00B1504E">
        <w:rPr>
          <w:b/>
          <w:bCs/>
        </w:rPr>
        <w:t>Daniel FEREZ</w:t>
      </w:r>
    </w:p>
    <w:sectPr w:rsidR="000C29C2" w:rsidRPr="00B1504E" w:rsidSect="006B4D35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C2" w:rsidRDefault="000C29C2">
      <w:r>
        <w:separator/>
      </w:r>
    </w:p>
  </w:endnote>
  <w:endnote w:type="continuationSeparator" w:id="0">
    <w:p w:rsidR="000C29C2" w:rsidRDefault="000C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C2" w:rsidRDefault="000C29C2">
      <w:r>
        <w:separator/>
      </w:r>
    </w:p>
  </w:footnote>
  <w:footnote w:type="continuationSeparator" w:id="0">
    <w:p w:rsidR="000C29C2" w:rsidRDefault="000C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9C2" w:rsidRDefault="000C29C2">
    <w:pPr>
      <w:pStyle w:val="En-tte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 w:rsidR="00BA6EF9">
      <w:rPr>
        <w:rFonts w:ascii="CG Times (WN)" w:hAnsi="CG Times (WN)" w:cs="CG Times (WN)"/>
        <w:noProof/>
        <w:sz w:val="24"/>
        <w:szCs w:val="24"/>
      </w:rPr>
      <w:t>4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intFractionalCharacterWidth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46D0"/>
    <w:rsid w:val="00021838"/>
    <w:rsid w:val="00042DE1"/>
    <w:rsid w:val="00054B61"/>
    <w:rsid w:val="000A5243"/>
    <w:rsid w:val="000C29C2"/>
    <w:rsid w:val="000C41E2"/>
    <w:rsid w:val="00104931"/>
    <w:rsid w:val="00197B51"/>
    <w:rsid w:val="00210E49"/>
    <w:rsid w:val="00273513"/>
    <w:rsid w:val="0029447D"/>
    <w:rsid w:val="002A324B"/>
    <w:rsid w:val="002D2E0F"/>
    <w:rsid w:val="00310B58"/>
    <w:rsid w:val="003333E3"/>
    <w:rsid w:val="00375AFD"/>
    <w:rsid w:val="003770BA"/>
    <w:rsid w:val="003C629E"/>
    <w:rsid w:val="00420F8C"/>
    <w:rsid w:val="00440B7F"/>
    <w:rsid w:val="0044693B"/>
    <w:rsid w:val="00471682"/>
    <w:rsid w:val="00486D65"/>
    <w:rsid w:val="00487D5F"/>
    <w:rsid w:val="00530677"/>
    <w:rsid w:val="00590463"/>
    <w:rsid w:val="005B2F49"/>
    <w:rsid w:val="005C57DB"/>
    <w:rsid w:val="006027E5"/>
    <w:rsid w:val="0061699A"/>
    <w:rsid w:val="006639AB"/>
    <w:rsid w:val="006A2570"/>
    <w:rsid w:val="006B4D35"/>
    <w:rsid w:val="006F1AA5"/>
    <w:rsid w:val="0074054E"/>
    <w:rsid w:val="00745628"/>
    <w:rsid w:val="00750C92"/>
    <w:rsid w:val="007657D0"/>
    <w:rsid w:val="00784DAF"/>
    <w:rsid w:val="00792C0E"/>
    <w:rsid w:val="008A5E0F"/>
    <w:rsid w:val="008E0567"/>
    <w:rsid w:val="009206BF"/>
    <w:rsid w:val="009314A9"/>
    <w:rsid w:val="009621A0"/>
    <w:rsid w:val="009D46D0"/>
    <w:rsid w:val="00A179ED"/>
    <w:rsid w:val="00B06C14"/>
    <w:rsid w:val="00B1504E"/>
    <w:rsid w:val="00B40E9E"/>
    <w:rsid w:val="00B75E7F"/>
    <w:rsid w:val="00BA6EF9"/>
    <w:rsid w:val="00BD0283"/>
    <w:rsid w:val="00BF2740"/>
    <w:rsid w:val="00C63667"/>
    <w:rsid w:val="00C65CAF"/>
    <w:rsid w:val="00CD3859"/>
    <w:rsid w:val="00CD4B39"/>
    <w:rsid w:val="00CE16C8"/>
    <w:rsid w:val="00D75B4F"/>
    <w:rsid w:val="00E21A3A"/>
    <w:rsid w:val="00E55266"/>
    <w:rsid w:val="00EA70CA"/>
    <w:rsid w:val="00EA73FB"/>
    <w:rsid w:val="00EB6713"/>
    <w:rsid w:val="00EC1655"/>
    <w:rsid w:val="00EE3A8F"/>
    <w:rsid w:val="00EE4C7E"/>
    <w:rsid w:val="00F40A6B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63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590463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9"/>
    <w:qFormat/>
    <w:rsid w:val="00590463"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590463"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C63667"/>
    <w:pPr>
      <w:keepNext/>
      <w:ind w:left="5670"/>
      <w:jc w:val="both"/>
      <w:outlineLvl w:val="3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D75B4F"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rsid w:val="00D75B4F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rsid w:val="00D75B4F"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rsid w:val="00D75B4F"/>
    <w:rPr>
      <w:rFonts w:ascii="Calibri" w:hAnsi="Calibri" w:cs="Calibri"/>
      <w:b/>
      <w:bCs/>
      <w:sz w:val="28"/>
      <w:szCs w:val="28"/>
    </w:rPr>
  </w:style>
  <w:style w:type="paragraph" w:styleId="Retraitnormal">
    <w:name w:val="Normal Indent"/>
    <w:basedOn w:val="Normal"/>
    <w:uiPriority w:val="99"/>
    <w:rsid w:val="00590463"/>
    <w:pPr>
      <w:ind w:left="708"/>
    </w:pPr>
  </w:style>
  <w:style w:type="paragraph" w:styleId="En-tte">
    <w:name w:val="header"/>
    <w:basedOn w:val="Normal"/>
    <w:link w:val="En-tteCar"/>
    <w:uiPriority w:val="99"/>
    <w:rsid w:val="00590463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75B4F"/>
    <w:rPr>
      <w:sz w:val="20"/>
      <w:szCs w:val="20"/>
    </w:rPr>
  </w:style>
  <w:style w:type="paragraph" w:customStyle="1" w:styleId="ET">
    <w:name w:val="ET"/>
    <w:basedOn w:val="Normal"/>
    <w:uiPriority w:val="99"/>
    <w:rsid w:val="00590463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590463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590463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590463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590463"/>
    <w:pPr>
      <w:spacing w:after="240"/>
      <w:ind w:firstLine="1418"/>
    </w:pPr>
  </w:style>
  <w:style w:type="paragraph" w:customStyle="1" w:styleId="IN">
    <w:name w:val="IN"/>
    <w:basedOn w:val="P0"/>
    <w:uiPriority w:val="99"/>
    <w:rsid w:val="00590463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590463"/>
    <w:pPr>
      <w:ind w:left="0"/>
    </w:pPr>
  </w:style>
  <w:style w:type="paragraph" w:customStyle="1" w:styleId="PE">
    <w:name w:val="PE"/>
    <w:basedOn w:val="IN"/>
    <w:uiPriority w:val="99"/>
    <w:rsid w:val="00590463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590463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590463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590463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character" w:customStyle="1" w:styleId="PSCar">
    <w:name w:val="PS Car"/>
    <w:basedOn w:val="Policepardfaut"/>
    <w:link w:val="PS"/>
    <w:uiPriority w:val="99"/>
    <w:rsid w:val="00C63667"/>
    <w:rPr>
      <w:sz w:val="24"/>
      <w:szCs w:val="24"/>
      <w:lang w:val="fr-FR" w:eastAsia="fr-FR"/>
    </w:rPr>
  </w:style>
  <w:style w:type="paragraph" w:styleId="Corpsdetexte">
    <w:name w:val="Body Text"/>
    <w:basedOn w:val="Normal"/>
    <w:link w:val="CorpsdetexteCar"/>
    <w:uiPriority w:val="99"/>
    <w:rsid w:val="00C63667"/>
    <w:pPr>
      <w:jc w:val="both"/>
    </w:pPr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75B4F"/>
    <w:rPr>
      <w:sz w:val="20"/>
      <w:szCs w:val="20"/>
    </w:rPr>
  </w:style>
  <w:style w:type="paragraph" w:customStyle="1" w:styleId="ps0">
    <w:name w:val="ps"/>
    <w:basedOn w:val="Normal"/>
    <w:uiPriority w:val="99"/>
    <w:rsid w:val="00C63667"/>
    <w:pPr>
      <w:spacing w:before="100" w:beforeAutospacing="1" w:after="100" w:afterAutospacing="1"/>
    </w:pPr>
    <w:rPr>
      <w:sz w:val="24"/>
      <w:szCs w:val="24"/>
    </w:rPr>
  </w:style>
  <w:style w:type="paragraph" w:customStyle="1" w:styleId="Style">
    <w:name w:val="Style"/>
    <w:basedOn w:val="Normal"/>
    <w:uiPriority w:val="99"/>
    <w:rsid w:val="003333E3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character" w:customStyle="1" w:styleId="P0Car">
    <w:name w:val="P0 Car"/>
    <w:basedOn w:val="Policepardfaut"/>
    <w:link w:val="P0"/>
    <w:uiPriority w:val="99"/>
    <w:rsid w:val="003333E3"/>
    <w:rPr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99"/>
    <w:rsid w:val="003333E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1023</Words>
  <Characters>5630</Characters>
  <Application>Microsoft Office Word</Application>
  <DocSecurity>0</DocSecurity>
  <Lines>46</Lines>
  <Paragraphs>13</Paragraphs>
  <ScaleCrop>false</ScaleCrop>
  <Company>COUR DES COMPTES</Company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2</cp:revision>
  <cp:lastPrinted>2011-11-18T08:37:00Z</cp:lastPrinted>
  <dcterms:created xsi:type="dcterms:W3CDTF">2013-09-24T12:27:00Z</dcterms:created>
  <dcterms:modified xsi:type="dcterms:W3CDTF">2013-09-24T12:27:00Z</dcterms:modified>
</cp:coreProperties>
</file>