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4DF" w:rsidRDefault="009004DF" w:rsidP="008F3E26">
      <w:pPr>
        <w:spacing w:before="0" w:after="0"/>
        <w:rPr>
          <w:b/>
          <w:bCs/>
          <w:caps/>
        </w:rPr>
      </w:pPr>
      <w:bookmarkStart w:id="0" w:name="_GoBack"/>
      <w:bookmarkEnd w:id="0"/>
    </w:p>
    <w:p w:rsidR="009004DF" w:rsidRPr="00EB6713" w:rsidRDefault="009004DF" w:rsidP="008F3E26">
      <w:pPr>
        <w:spacing w:before="0" w:after="0"/>
        <w:rPr>
          <w:b/>
          <w:bCs/>
          <w:caps/>
        </w:rPr>
      </w:pPr>
      <w:r w:rsidRPr="00EB6713">
        <w:rPr>
          <w:b/>
          <w:bCs/>
          <w:caps/>
        </w:rPr>
        <w:t>COUR DES COMPTES</w:t>
      </w:r>
    </w:p>
    <w:p w:rsidR="009004DF" w:rsidRPr="00EB6713" w:rsidRDefault="009004DF" w:rsidP="008F3E26">
      <w:pPr>
        <w:spacing w:before="0" w:after="0"/>
        <w:rPr>
          <w:b/>
          <w:bCs/>
          <w:caps/>
        </w:rPr>
      </w:pPr>
      <w:r w:rsidRPr="00EB6713">
        <w:rPr>
          <w:b/>
          <w:bCs/>
          <w:caps/>
        </w:rPr>
        <w:t xml:space="preserve">               --------</w:t>
      </w:r>
    </w:p>
    <w:p w:rsidR="009004DF" w:rsidRPr="00EB6713" w:rsidRDefault="009004DF" w:rsidP="008F3E26">
      <w:pPr>
        <w:spacing w:before="0" w:after="0"/>
        <w:rPr>
          <w:b/>
          <w:bCs/>
          <w:caps/>
        </w:rPr>
      </w:pPr>
      <w:r w:rsidRPr="00EB6713">
        <w:rPr>
          <w:b/>
          <w:bCs/>
          <w:caps/>
        </w:rPr>
        <w:t>QUATRIEME CHAMBRE</w:t>
      </w:r>
    </w:p>
    <w:p w:rsidR="009004DF" w:rsidRPr="00EB6713" w:rsidRDefault="009004DF" w:rsidP="008F3E26">
      <w:pPr>
        <w:spacing w:before="0" w:after="0"/>
        <w:rPr>
          <w:b/>
          <w:bCs/>
          <w:caps/>
        </w:rPr>
      </w:pPr>
      <w:r w:rsidRPr="00EB6713">
        <w:rPr>
          <w:b/>
          <w:bCs/>
          <w:caps/>
        </w:rPr>
        <w:t xml:space="preserve">               --------</w:t>
      </w:r>
    </w:p>
    <w:p w:rsidR="009004DF" w:rsidRDefault="009004DF" w:rsidP="008F3E26">
      <w:pPr>
        <w:spacing w:before="0" w:after="0"/>
        <w:rPr>
          <w:b/>
          <w:bCs/>
          <w:caps/>
        </w:rPr>
      </w:pPr>
      <w:r w:rsidRPr="00EB6713">
        <w:rPr>
          <w:b/>
          <w:bCs/>
          <w:caps/>
        </w:rPr>
        <w:t>PREMIERE SECTION</w:t>
      </w:r>
    </w:p>
    <w:p w:rsidR="009004DF" w:rsidRPr="00856685" w:rsidRDefault="009004DF" w:rsidP="00856685">
      <w:pPr>
        <w:pStyle w:val="Corpsdetexte"/>
        <w:rPr>
          <w:b/>
          <w:bCs/>
        </w:rPr>
      </w:pPr>
      <w:r>
        <w:t xml:space="preserve">              </w:t>
      </w:r>
      <w:r w:rsidRPr="00856685">
        <w:rPr>
          <w:b/>
          <w:bCs/>
        </w:rPr>
        <w:t>--------</w:t>
      </w:r>
    </w:p>
    <w:p w:rsidR="009004DF" w:rsidRPr="00856685" w:rsidRDefault="009004DF" w:rsidP="008F3E26">
      <w:pPr>
        <w:pStyle w:val="Corpsdetexte"/>
        <w:rPr>
          <w:b/>
          <w:bCs/>
          <w:i/>
          <w:iCs/>
        </w:rPr>
      </w:pPr>
      <w:r>
        <w:rPr>
          <w:i/>
          <w:iCs/>
        </w:rPr>
        <w:t xml:space="preserve">        </w:t>
      </w:r>
      <w:r w:rsidRPr="00856685">
        <w:rPr>
          <w:b/>
          <w:bCs/>
          <w:i/>
          <w:iCs/>
        </w:rPr>
        <w:t>Arrêt n° 62533</w:t>
      </w:r>
    </w:p>
    <w:p w:rsidR="009004DF" w:rsidRPr="00042DE1" w:rsidRDefault="009004DF" w:rsidP="008F3E26"/>
    <w:p w:rsidR="009004DF" w:rsidRPr="00042DE1" w:rsidRDefault="009004DF" w:rsidP="00856685">
      <w:pPr>
        <w:spacing w:after="240"/>
        <w:ind w:left="4536" w:firstLine="0"/>
        <w:rPr>
          <w:caps/>
        </w:rPr>
      </w:pPr>
      <w:r>
        <w:rPr>
          <w:caps/>
        </w:rPr>
        <w:t>centre hospitalier inter-communal du bassin de thau (hÉrault)</w:t>
      </w:r>
    </w:p>
    <w:p w:rsidR="009004DF" w:rsidRPr="00CE299A" w:rsidRDefault="009004DF" w:rsidP="008F3E26">
      <w:pPr>
        <w:pStyle w:val="Titre2"/>
        <w:numPr>
          <w:ilvl w:val="0"/>
          <w:numId w:val="0"/>
        </w:numPr>
        <w:spacing w:before="120" w:after="120"/>
        <w:ind w:left="4536"/>
        <w:jc w:val="both"/>
        <w:rPr>
          <w:b w:val="0"/>
          <w:bCs w:val="0"/>
          <w:caps w:val="0"/>
        </w:rPr>
      </w:pPr>
      <w:r w:rsidRPr="00CE299A">
        <w:rPr>
          <w:b w:val="0"/>
          <w:bCs w:val="0"/>
          <w:caps w:val="0"/>
        </w:rPr>
        <w:t xml:space="preserve">Appel d’un jugement de la chambre régionale des comptes de </w:t>
      </w:r>
      <w:r>
        <w:rPr>
          <w:b w:val="0"/>
          <w:bCs w:val="0"/>
          <w:caps w:val="0"/>
        </w:rPr>
        <w:t>Languedoc-Roussillon</w:t>
      </w:r>
    </w:p>
    <w:p w:rsidR="009004DF" w:rsidRPr="00CE299A" w:rsidRDefault="009004DF" w:rsidP="008F3E26">
      <w:pPr>
        <w:pStyle w:val="Titre4"/>
        <w:numPr>
          <w:ilvl w:val="0"/>
          <w:numId w:val="0"/>
        </w:numPr>
        <w:spacing w:before="120"/>
        <w:ind w:left="4536"/>
        <w:rPr>
          <w:b w:val="0"/>
          <w:bCs w:val="0"/>
        </w:rPr>
      </w:pPr>
      <w:r w:rsidRPr="00CE299A">
        <w:rPr>
          <w:b w:val="0"/>
          <w:bCs w:val="0"/>
        </w:rPr>
        <w:t xml:space="preserve">Rapport n° </w:t>
      </w:r>
      <w:r>
        <w:rPr>
          <w:b w:val="0"/>
          <w:bCs w:val="0"/>
        </w:rPr>
        <w:t>2011-560-0</w:t>
      </w:r>
    </w:p>
    <w:p w:rsidR="009004DF" w:rsidRDefault="009004DF" w:rsidP="008F3E26">
      <w:pPr>
        <w:ind w:left="4536" w:firstLine="0"/>
      </w:pPr>
      <w:r>
        <w:t xml:space="preserve">Audience </w:t>
      </w:r>
      <w:r w:rsidRPr="00CE299A">
        <w:t xml:space="preserve">publique </w:t>
      </w:r>
      <w:r>
        <w:t xml:space="preserve">du 17 novembre 2011 </w:t>
      </w:r>
      <w:r w:rsidRPr="00CE299A">
        <w:t>et délibéré du</w:t>
      </w:r>
      <w:r>
        <w:t xml:space="preserve"> 23 novembre 2011</w:t>
      </w:r>
    </w:p>
    <w:p w:rsidR="009004DF" w:rsidRDefault="009004DF" w:rsidP="00856685">
      <w:pPr>
        <w:spacing w:after="720"/>
        <w:ind w:left="4536" w:firstLine="0"/>
      </w:pPr>
      <w:r>
        <w:t>Lecture publique du 26 janvier 2012</w:t>
      </w:r>
    </w:p>
    <w:p w:rsidR="009004DF" w:rsidRPr="00920236" w:rsidRDefault="009004DF" w:rsidP="008F3E26">
      <w:pPr>
        <w:pStyle w:val="PS0"/>
        <w:ind w:left="567" w:firstLine="513"/>
        <w:jc w:val="left"/>
        <w:rPr>
          <w:rFonts w:ascii="Times New Roman" w:hAnsi="Times New Roman" w:cs="Times New Roman"/>
        </w:rPr>
      </w:pPr>
      <w:r w:rsidRPr="00920236">
        <w:rPr>
          <w:rFonts w:ascii="Times New Roman" w:hAnsi="Times New Roman" w:cs="Times New Roman"/>
        </w:rPr>
        <w:t>LA COUR DES COMPTES a rendu l’arr</w:t>
      </w:r>
      <w:r>
        <w:rPr>
          <w:rFonts w:ascii="Times New Roman" w:hAnsi="Times New Roman" w:cs="Times New Roman"/>
        </w:rPr>
        <w:t>êt suivant :</w:t>
      </w:r>
    </w:p>
    <w:p w:rsidR="009004DF" w:rsidRPr="00856685" w:rsidRDefault="009004DF" w:rsidP="008F3E26">
      <w:pPr>
        <w:pStyle w:val="PS0"/>
        <w:ind w:left="567" w:firstLine="513"/>
        <w:jc w:val="left"/>
        <w:rPr>
          <w:rFonts w:ascii="Times New Roman" w:hAnsi="Times New Roman" w:cs="Times New Roman"/>
          <w:lang w:val="pt-BR"/>
        </w:rPr>
      </w:pPr>
      <w:r w:rsidRPr="00856685">
        <w:rPr>
          <w:rFonts w:ascii="Times New Roman" w:hAnsi="Times New Roman" w:cs="Times New Roman"/>
          <w:lang w:val="pt-BR"/>
        </w:rPr>
        <w:t>LA COUR,</w:t>
      </w:r>
    </w:p>
    <w:p w:rsidR="009004DF" w:rsidRDefault="009004DF" w:rsidP="00920236">
      <w:pPr>
        <w:pStyle w:val="PS0"/>
        <w:spacing w:after="440"/>
        <w:ind w:left="567" w:firstLine="513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la requête</w:t>
      </w:r>
      <w:r>
        <w:rPr>
          <w:rFonts w:ascii="Times New Roman" w:hAnsi="Times New Roman" w:cs="Times New Roman"/>
        </w:rPr>
        <w:t>,</w:t>
      </w:r>
      <w:r w:rsidRPr="00B82C1D">
        <w:rPr>
          <w:rFonts w:ascii="Times New Roman" w:hAnsi="Times New Roman" w:cs="Times New Roman"/>
        </w:rPr>
        <w:t xml:space="preserve"> enregistrée le </w:t>
      </w:r>
      <w:r>
        <w:rPr>
          <w:rFonts w:ascii="Times New Roman" w:hAnsi="Times New Roman" w:cs="Times New Roman"/>
        </w:rPr>
        <w:t xml:space="preserve">19 avril 2011 </w:t>
      </w:r>
      <w:r w:rsidRPr="00B82C1D">
        <w:rPr>
          <w:rFonts w:ascii="Times New Roman" w:hAnsi="Times New Roman" w:cs="Times New Roman"/>
        </w:rPr>
        <w:t xml:space="preserve">au greffe de la chambre </w:t>
      </w:r>
      <w:r w:rsidRPr="00CE299A">
        <w:rPr>
          <w:rFonts w:ascii="Times New Roman" w:hAnsi="Times New Roman" w:cs="Times New Roman"/>
        </w:rPr>
        <w:t>régionale</w:t>
      </w:r>
      <w:r w:rsidRPr="00B82C1D">
        <w:rPr>
          <w:rFonts w:ascii="Times New Roman" w:hAnsi="Times New Roman" w:cs="Times New Roman"/>
        </w:rPr>
        <w:t xml:space="preserve"> des </w:t>
      </w:r>
      <w:r w:rsidRPr="00E90366">
        <w:rPr>
          <w:rFonts w:ascii="Times New Roman" w:hAnsi="Times New Roman" w:cs="Times New Roman"/>
        </w:rPr>
        <w:t>comptes de Languedoc-Roussillon, par l</w:t>
      </w:r>
      <w:r w:rsidRPr="00B82C1D">
        <w:rPr>
          <w:rFonts w:ascii="Times New Roman" w:hAnsi="Times New Roman" w:cs="Times New Roman"/>
        </w:rPr>
        <w:t xml:space="preserve">aquelle </w:t>
      </w:r>
      <w:r>
        <w:rPr>
          <w:rFonts w:ascii="Times New Roman" w:hAnsi="Times New Roman" w:cs="Times New Roman"/>
        </w:rPr>
        <w:t xml:space="preserve">le directeur du </w:t>
      </w:r>
      <w:r w:rsidRPr="00856685">
        <w:rPr>
          <w:rFonts w:ascii="Times New Roman" w:hAnsi="Times New Roman" w:cs="Times New Roman"/>
          <w:caps/>
        </w:rPr>
        <w:t>centre hospitalier intercommunal du bassin de Thau</w:t>
      </w:r>
      <w:r>
        <w:rPr>
          <w:rFonts w:ascii="Times New Roman" w:hAnsi="Times New Roman" w:cs="Times New Roman"/>
        </w:rPr>
        <w:t xml:space="preserve"> </w:t>
      </w:r>
      <w:r w:rsidRPr="00B82C1D">
        <w:rPr>
          <w:rFonts w:ascii="Times New Roman" w:hAnsi="Times New Roman" w:cs="Times New Roman"/>
        </w:rPr>
        <w:t xml:space="preserve">a élevé appel du jugement </w:t>
      </w:r>
      <w:r>
        <w:rPr>
          <w:rFonts w:ascii="Times New Roman" w:hAnsi="Times New Roman" w:cs="Times New Roman"/>
        </w:rPr>
        <w:t xml:space="preserve">n° 2010-0015 </w:t>
      </w:r>
      <w:r w:rsidRPr="00B82C1D">
        <w:rPr>
          <w:rFonts w:ascii="Times New Roman" w:hAnsi="Times New Roman" w:cs="Times New Roman"/>
        </w:rPr>
        <w:t xml:space="preserve">du </w:t>
      </w:r>
      <w:r>
        <w:rPr>
          <w:rFonts w:ascii="Times New Roman" w:hAnsi="Times New Roman" w:cs="Times New Roman"/>
        </w:rPr>
        <w:t>17 février 2011</w:t>
      </w:r>
      <w:r w:rsidRPr="00B82C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par lequel ladite chambre </w:t>
      </w:r>
      <w:r w:rsidRPr="00B82C1D">
        <w:rPr>
          <w:rFonts w:ascii="Times New Roman" w:hAnsi="Times New Roman" w:cs="Times New Roman"/>
        </w:rPr>
        <w:t xml:space="preserve">a constitué </w:t>
      </w:r>
      <w:r>
        <w:rPr>
          <w:rFonts w:ascii="Times New Roman" w:hAnsi="Times New Roman" w:cs="Times New Roman"/>
        </w:rPr>
        <w:t xml:space="preserve">M.  </w:t>
      </w:r>
      <w:r w:rsidRPr="00856685">
        <w:rPr>
          <w:rFonts w:ascii="Times New Roman" w:hAnsi="Times New Roman" w:cs="Times New Roman"/>
          <w:caps/>
        </w:rPr>
        <w:t>X</w:t>
      </w:r>
      <w:r>
        <w:rPr>
          <w:rFonts w:ascii="Times New Roman" w:hAnsi="Times New Roman" w:cs="Times New Roman"/>
        </w:rPr>
        <w:t>, comptable, débiteur des deniers dudit établissement pour les</w:t>
      </w:r>
      <w:r w:rsidRPr="00B82C1D">
        <w:rPr>
          <w:rFonts w:ascii="Times New Roman" w:hAnsi="Times New Roman" w:cs="Times New Roman"/>
        </w:rPr>
        <w:t xml:space="preserve"> somme</w:t>
      </w:r>
      <w:r>
        <w:rPr>
          <w:rFonts w:ascii="Times New Roman" w:hAnsi="Times New Roman" w:cs="Times New Roman"/>
        </w:rPr>
        <w:t>s</w:t>
      </w:r>
      <w:r w:rsidRPr="00B82C1D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6 602,99 € et 20 768,02 </w:t>
      </w:r>
      <w:r w:rsidRPr="00B82C1D">
        <w:rPr>
          <w:rFonts w:ascii="Times New Roman" w:hAnsi="Times New Roman" w:cs="Times New Roman"/>
        </w:rPr>
        <w:t>€ augmentée</w:t>
      </w:r>
      <w:r>
        <w:rPr>
          <w:rFonts w:ascii="Times New Roman" w:hAnsi="Times New Roman" w:cs="Times New Roman"/>
        </w:rPr>
        <w:t>s</w:t>
      </w:r>
      <w:r w:rsidRPr="00B82C1D">
        <w:rPr>
          <w:rFonts w:ascii="Times New Roman" w:hAnsi="Times New Roman" w:cs="Times New Roman"/>
        </w:rPr>
        <w:t xml:space="preserve"> des intérêts de droit</w:t>
      </w:r>
      <w:r>
        <w:rPr>
          <w:rFonts w:ascii="Times New Roman" w:hAnsi="Times New Roman" w:cs="Times New Roman"/>
        </w:rPr>
        <w:t xml:space="preserve"> </w:t>
      </w:r>
      <w:r w:rsidRPr="00B82C1D">
        <w:rPr>
          <w:rFonts w:ascii="Times New Roman" w:hAnsi="Times New Roman" w:cs="Times New Roman"/>
        </w:rPr>
        <w:t>;</w:t>
      </w:r>
    </w:p>
    <w:p w:rsidR="009004DF" w:rsidRDefault="009004DF" w:rsidP="00BF7B0B">
      <w:pPr>
        <w:spacing w:after="440"/>
        <w:ind w:left="567" w:firstLine="510"/>
      </w:pPr>
      <w:r w:rsidRPr="00497A94">
        <w:t>Vu le réquisitoire</w:t>
      </w:r>
      <w:r>
        <w:t xml:space="preserve"> n° 2011-58</w:t>
      </w:r>
      <w:r w:rsidRPr="00497A94">
        <w:t xml:space="preserve"> du </w:t>
      </w:r>
      <w:r>
        <w:t>P</w:t>
      </w:r>
      <w:r w:rsidRPr="00497A94">
        <w:t>rocureur général</w:t>
      </w:r>
      <w:r>
        <w:t xml:space="preserve"> </w:t>
      </w:r>
      <w:r w:rsidRPr="00497A94">
        <w:t xml:space="preserve">du </w:t>
      </w:r>
      <w:r>
        <w:t>9 juin 2011 transmettant</w:t>
      </w:r>
      <w:r w:rsidRPr="00497A94">
        <w:t xml:space="preserve"> la requête précitée ;</w:t>
      </w:r>
    </w:p>
    <w:p w:rsidR="009004DF" w:rsidRPr="00B82C1D" w:rsidRDefault="009004DF" w:rsidP="00BF7B0B">
      <w:pPr>
        <w:pStyle w:val="PS0"/>
        <w:spacing w:after="440"/>
        <w:ind w:left="567" w:firstLine="5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 le réquisitoire n° 2009-14 du 16 décembre 2009 du procureur financier ;</w:t>
      </w:r>
    </w:p>
    <w:p w:rsidR="009004DF" w:rsidRDefault="009004DF" w:rsidP="00BF7B0B">
      <w:pPr>
        <w:pStyle w:val="PS0"/>
        <w:spacing w:after="440"/>
        <w:ind w:left="567" w:firstLine="51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les pièces de la procédure suivie en première instance</w:t>
      </w:r>
      <w:r>
        <w:rPr>
          <w:rFonts w:ascii="Times New Roman" w:hAnsi="Times New Roman" w:cs="Times New Roman"/>
        </w:rPr>
        <w:t xml:space="preserve"> </w:t>
      </w:r>
      <w:r w:rsidRPr="00B82C1D">
        <w:rPr>
          <w:rFonts w:ascii="Times New Roman" w:hAnsi="Times New Roman" w:cs="Times New Roman"/>
        </w:rPr>
        <w:t>;</w:t>
      </w:r>
    </w:p>
    <w:p w:rsidR="009004DF" w:rsidRDefault="009004DF" w:rsidP="000E117A">
      <w:pPr>
        <w:pStyle w:val="PS0"/>
        <w:ind w:left="567" w:firstLine="51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l’article 60 de la loi de finances n° 63-156 du 23 février 1963 modifiée ;</w:t>
      </w:r>
    </w:p>
    <w:p w:rsidR="009004DF" w:rsidRDefault="009004DF" w:rsidP="00BF7B0B">
      <w:pPr>
        <w:pStyle w:val="PS0"/>
        <w:ind w:left="567" w:firstLine="5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004DF" w:rsidRPr="00B82C1D" w:rsidRDefault="009004DF" w:rsidP="008F3E26">
      <w:pPr>
        <w:pStyle w:val="PS0"/>
        <w:ind w:left="567" w:firstLine="513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le décret n°</w:t>
      </w:r>
      <w:r>
        <w:rPr>
          <w:rFonts w:ascii="Times New Roman" w:hAnsi="Times New Roman" w:cs="Times New Roman"/>
        </w:rPr>
        <w:t> </w:t>
      </w:r>
      <w:r w:rsidRPr="00B82C1D">
        <w:rPr>
          <w:rFonts w:ascii="Times New Roman" w:hAnsi="Times New Roman" w:cs="Times New Roman"/>
        </w:rPr>
        <w:t>62-1587 du 29 décembre 1962 modifié portant règlement général sur la comptabilité publique ;</w:t>
      </w:r>
    </w:p>
    <w:p w:rsidR="009004DF" w:rsidRPr="00B82C1D" w:rsidRDefault="009004DF" w:rsidP="008F3E26">
      <w:pPr>
        <w:pStyle w:val="PS0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>Vu le code des juridictions financières ;</w:t>
      </w:r>
    </w:p>
    <w:p w:rsidR="009004DF" w:rsidRPr="00B82C1D" w:rsidRDefault="009004DF" w:rsidP="008F3E26">
      <w:pPr>
        <w:pStyle w:val="PS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Vu</w:t>
      </w:r>
      <w:r w:rsidRPr="00B82C1D">
        <w:rPr>
          <w:rFonts w:ascii="Times New Roman" w:hAnsi="Times New Roman" w:cs="Times New Roman"/>
        </w:rPr>
        <w:t xml:space="preserve"> le rapport de M</w:t>
      </w:r>
      <w:r>
        <w:rPr>
          <w:rFonts w:ascii="Times New Roman" w:hAnsi="Times New Roman" w:cs="Times New Roman"/>
        </w:rPr>
        <w:t>me Catherine Démier, conseillère maître</w:t>
      </w:r>
      <w:r w:rsidRPr="00B82C1D">
        <w:rPr>
          <w:rFonts w:ascii="Times New Roman" w:hAnsi="Times New Roman" w:cs="Times New Roman"/>
        </w:rPr>
        <w:t> ;</w:t>
      </w:r>
    </w:p>
    <w:p w:rsidR="009004DF" w:rsidRPr="00B82C1D" w:rsidRDefault="009004DF" w:rsidP="008F3E26">
      <w:pPr>
        <w:pStyle w:val="PS0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 xml:space="preserve">Vu les conclusions </w:t>
      </w:r>
      <w:r>
        <w:rPr>
          <w:rFonts w:ascii="Times New Roman" w:hAnsi="Times New Roman" w:cs="Times New Roman"/>
        </w:rPr>
        <w:t xml:space="preserve">n° 608 </w:t>
      </w:r>
      <w:r w:rsidRPr="00B82C1D">
        <w:rPr>
          <w:rFonts w:ascii="Times New Roman" w:hAnsi="Times New Roman" w:cs="Times New Roman"/>
        </w:rPr>
        <w:t>du Procureur général</w:t>
      </w:r>
      <w:r>
        <w:rPr>
          <w:rFonts w:ascii="Times New Roman" w:hAnsi="Times New Roman" w:cs="Times New Roman"/>
        </w:rPr>
        <w:t xml:space="preserve"> du 5 octobre 2011 </w:t>
      </w:r>
      <w:r w:rsidRPr="00B82C1D">
        <w:rPr>
          <w:rFonts w:ascii="Times New Roman" w:hAnsi="Times New Roman" w:cs="Times New Roman"/>
        </w:rPr>
        <w:t>;</w:t>
      </w:r>
    </w:p>
    <w:p w:rsidR="009004DF" w:rsidRPr="00B82C1D" w:rsidRDefault="009004DF" w:rsidP="00C94FAB">
      <w:pPr>
        <w:pStyle w:val="PS0"/>
        <w:ind w:left="0"/>
        <w:rPr>
          <w:rFonts w:ascii="Times New Roman" w:hAnsi="Times New Roman" w:cs="Times New Roman"/>
        </w:rPr>
      </w:pPr>
      <w:r w:rsidRPr="00B82C1D">
        <w:rPr>
          <w:rFonts w:ascii="Times New Roman" w:hAnsi="Times New Roman" w:cs="Times New Roman"/>
        </w:rPr>
        <w:t xml:space="preserve">Entendu, lors de l’audience publique de ce jour, </w:t>
      </w:r>
      <w:r>
        <w:rPr>
          <w:rFonts w:ascii="Times New Roman" w:hAnsi="Times New Roman" w:cs="Times New Roman"/>
        </w:rPr>
        <w:t>Mme Démier,</w:t>
      </w:r>
      <w:r w:rsidRPr="00B82C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</w:t>
      </w:r>
      <w:r w:rsidRPr="00B82C1D">
        <w:rPr>
          <w:rFonts w:ascii="Times New Roman" w:hAnsi="Times New Roman" w:cs="Times New Roman"/>
        </w:rPr>
        <w:t xml:space="preserve"> son </w:t>
      </w:r>
      <w:r>
        <w:rPr>
          <w:rFonts w:ascii="Times New Roman" w:hAnsi="Times New Roman" w:cs="Times New Roman"/>
        </w:rPr>
        <w:t>rapport</w:t>
      </w:r>
      <w:r w:rsidRPr="00B82C1D">
        <w:rPr>
          <w:rFonts w:ascii="Times New Roman" w:hAnsi="Times New Roman" w:cs="Times New Roman"/>
        </w:rPr>
        <w:t>, M.</w:t>
      </w:r>
      <w:r>
        <w:rPr>
          <w:rFonts w:ascii="Times New Roman" w:hAnsi="Times New Roman" w:cs="Times New Roman"/>
        </w:rPr>
        <w:t> Christian Michaut</w:t>
      </w:r>
      <w:r w:rsidRPr="00B82C1D">
        <w:rPr>
          <w:rFonts w:ascii="Times New Roman" w:hAnsi="Times New Roman" w:cs="Times New Roman"/>
        </w:rPr>
        <w:t xml:space="preserve">, avocat général, en </w:t>
      </w:r>
      <w:r w:rsidRPr="00CE299A">
        <w:rPr>
          <w:rFonts w:ascii="Times New Roman" w:hAnsi="Times New Roman" w:cs="Times New Roman"/>
        </w:rPr>
        <w:t>l</w:t>
      </w:r>
      <w:r w:rsidRPr="00AA35D6">
        <w:rPr>
          <w:rFonts w:ascii="Times New Roman" w:hAnsi="Times New Roman" w:cs="Times New Roman"/>
        </w:rPr>
        <w:t>es</w:t>
      </w:r>
      <w:r w:rsidRPr="00B82C1D">
        <w:rPr>
          <w:rFonts w:ascii="Times New Roman" w:hAnsi="Times New Roman" w:cs="Times New Roman"/>
        </w:rPr>
        <w:t xml:space="preserve"> conclusions</w:t>
      </w:r>
      <w:r>
        <w:rPr>
          <w:rFonts w:ascii="Times New Roman" w:hAnsi="Times New Roman" w:cs="Times New Roman"/>
        </w:rPr>
        <w:t xml:space="preserve"> </w:t>
      </w:r>
      <w:r w:rsidRPr="00CE299A">
        <w:rPr>
          <w:rFonts w:ascii="Times New Roman" w:hAnsi="Times New Roman" w:cs="Times New Roman"/>
        </w:rPr>
        <w:t>du parquet</w:t>
      </w:r>
      <w:r w:rsidRPr="00B82C1D">
        <w:rPr>
          <w:rFonts w:ascii="Times New Roman" w:hAnsi="Times New Roman" w:cs="Times New Roman"/>
        </w:rPr>
        <w:t xml:space="preserve">, l’appelant, informé de l’audience, </w:t>
      </w:r>
      <w:r>
        <w:rPr>
          <w:rFonts w:ascii="Times New Roman" w:hAnsi="Times New Roman" w:cs="Times New Roman"/>
        </w:rPr>
        <w:t xml:space="preserve">représenté par Me Accariès (cabinet Fidal), étant intervenu en dernier </w:t>
      </w:r>
      <w:r w:rsidRPr="00B82C1D">
        <w:rPr>
          <w:rFonts w:ascii="Times New Roman" w:hAnsi="Times New Roman" w:cs="Times New Roman"/>
        </w:rPr>
        <w:t>;</w:t>
      </w:r>
    </w:p>
    <w:p w:rsidR="009004DF" w:rsidRDefault="009004DF" w:rsidP="009A6197">
      <w:pPr>
        <w:pStyle w:val="PS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Après avoir e</w:t>
      </w:r>
      <w:r w:rsidRPr="00B82C1D">
        <w:rPr>
          <w:rFonts w:ascii="Times New Roman" w:hAnsi="Times New Roman" w:cs="Times New Roman"/>
        </w:rPr>
        <w:t xml:space="preserve">ntendu, </w:t>
      </w:r>
      <w:r>
        <w:rPr>
          <w:rFonts w:ascii="Times New Roman" w:hAnsi="Times New Roman" w:cs="Times New Roman"/>
        </w:rPr>
        <w:t>en délibéré</w:t>
      </w:r>
      <w:r w:rsidRPr="00B82C1D">
        <w:rPr>
          <w:rFonts w:ascii="Times New Roman" w:hAnsi="Times New Roman" w:cs="Times New Roman"/>
        </w:rPr>
        <w:t>, M.</w:t>
      </w:r>
      <w:r>
        <w:rPr>
          <w:rFonts w:ascii="Times New Roman" w:hAnsi="Times New Roman" w:cs="Times New Roman"/>
        </w:rPr>
        <w:t xml:space="preserve"> Philippe Geoffroy, conseiller maître, </w:t>
      </w:r>
      <w:r w:rsidRPr="00B82C1D">
        <w:rPr>
          <w:rFonts w:ascii="Times New Roman" w:hAnsi="Times New Roman" w:cs="Times New Roman"/>
        </w:rPr>
        <w:t>en ses observations ;</w:t>
      </w:r>
    </w:p>
    <w:p w:rsidR="009004DF" w:rsidRPr="0012255A" w:rsidRDefault="009004DF" w:rsidP="00BF716A">
      <w:pPr>
        <w:pStyle w:val="PS0"/>
        <w:ind w:left="0"/>
        <w:rPr>
          <w:rFonts w:ascii="Times New Roman" w:hAnsi="Times New Roman" w:cs="Times New Roman"/>
          <w:b/>
          <w:bCs/>
          <w:u w:val="single"/>
        </w:rPr>
      </w:pPr>
      <w:r w:rsidRPr="0012255A">
        <w:rPr>
          <w:rFonts w:ascii="Times New Roman" w:hAnsi="Times New Roman" w:cs="Times New Roman"/>
          <w:b/>
          <w:bCs/>
          <w:u w:val="single"/>
        </w:rPr>
        <w:t>Sur la recevabilité :</w:t>
      </w:r>
    </w:p>
    <w:p w:rsidR="009004DF" w:rsidRPr="0012255A" w:rsidRDefault="009004DF" w:rsidP="0062721F">
      <w:pPr>
        <w:pStyle w:val="PS0"/>
        <w:ind w:left="0"/>
        <w:rPr>
          <w:rFonts w:ascii="Times New Roman" w:hAnsi="Times New Roman" w:cs="Times New Roman"/>
        </w:rPr>
      </w:pPr>
      <w:r w:rsidRPr="0012255A">
        <w:rPr>
          <w:rFonts w:ascii="Times New Roman" w:hAnsi="Times New Roman" w:cs="Times New Roman"/>
        </w:rPr>
        <w:t xml:space="preserve">Attendu que le représentant légal d’un organisme a </w:t>
      </w:r>
      <w:r>
        <w:rPr>
          <w:rFonts w:ascii="Times New Roman" w:hAnsi="Times New Roman" w:cs="Times New Roman"/>
        </w:rPr>
        <w:t>qualité</w:t>
      </w:r>
      <w:r w:rsidRPr="0012255A">
        <w:rPr>
          <w:rFonts w:ascii="Times New Roman" w:hAnsi="Times New Roman" w:cs="Times New Roman"/>
        </w:rPr>
        <w:t xml:space="preserve"> pour agir contre tout jugement statuant sur les comptes dudit organisme ;</w:t>
      </w:r>
    </w:p>
    <w:p w:rsidR="009004DF" w:rsidRPr="0012255A" w:rsidRDefault="009004DF" w:rsidP="009A6197">
      <w:pPr>
        <w:pStyle w:val="PS0"/>
        <w:ind w:left="0"/>
        <w:rPr>
          <w:rFonts w:ascii="Times New Roman" w:hAnsi="Times New Roman" w:cs="Times New Roman"/>
        </w:rPr>
      </w:pPr>
      <w:r w:rsidRPr="0012255A">
        <w:rPr>
          <w:rFonts w:ascii="Times New Roman" w:hAnsi="Times New Roman" w:cs="Times New Roman"/>
        </w:rPr>
        <w:t>Attendu que l’appelant a produit en réponse aux conclusions du Procureur généra</w:t>
      </w:r>
      <w:r>
        <w:rPr>
          <w:rFonts w:ascii="Times New Roman" w:hAnsi="Times New Roman" w:cs="Times New Roman"/>
        </w:rPr>
        <w:t>l un document attestant que la s</w:t>
      </w:r>
      <w:r w:rsidRPr="0012255A">
        <w:rPr>
          <w:rFonts w:ascii="Times New Roman" w:hAnsi="Times New Roman" w:cs="Times New Roman"/>
        </w:rPr>
        <w:t xml:space="preserve">ociété Fidal avait été dûment mandatée par </w:t>
      </w:r>
      <w:r>
        <w:rPr>
          <w:rFonts w:ascii="Times New Roman" w:hAnsi="Times New Roman" w:cs="Times New Roman"/>
        </w:rPr>
        <w:t>M. </w:t>
      </w:r>
      <w:r w:rsidRPr="004022C2">
        <w:rPr>
          <w:rFonts w:ascii="Times New Roman" w:hAnsi="Times New Roman" w:cs="Times New Roman"/>
          <w:caps/>
        </w:rPr>
        <w:t>Y</w:t>
      </w:r>
      <w:r>
        <w:rPr>
          <w:rFonts w:ascii="Times New Roman" w:hAnsi="Times New Roman" w:cs="Times New Roman"/>
        </w:rPr>
        <w:t xml:space="preserve">, </w:t>
      </w:r>
      <w:r w:rsidRPr="0012255A">
        <w:rPr>
          <w:rFonts w:ascii="Times New Roman" w:hAnsi="Times New Roman" w:cs="Times New Roman"/>
        </w:rPr>
        <w:t>directeur de l’établissement, représentant légal compétent pour interjeter appel</w:t>
      </w:r>
      <w:r>
        <w:rPr>
          <w:rStyle w:val="Appelnotedebasdep"/>
          <w:rFonts w:ascii="Times New Roman" w:hAnsi="Times New Roman" w:cs="Times New Roman"/>
        </w:rPr>
        <w:t xml:space="preserve"> </w:t>
      </w:r>
      <w:r w:rsidRPr="0012255A">
        <w:rPr>
          <w:rFonts w:ascii="Times New Roman" w:hAnsi="Times New Roman" w:cs="Times New Roman"/>
        </w:rPr>
        <w:t xml:space="preserve">; </w:t>
      </w:r>
    </w:p>
    <w:p w:rsidR="009004DF" w:rsidRPr="0012255A" w:rsidRDefault="009004DF" w:rsidP="0062721F">
      <w:pPr>
        <w:pStyle w:val="PS0"/>
        <w:ind w:left="0"/>
        <w:rPr>
          <w:rFonts w:ascii="Times New Roman" w:hAnsi="Times New Roman" w:cs="Times New Roman"/>
        </w:rPr>
      </w:pPr>
      <w:r w:rsidRPr="0012255A">
        <w:rPr>
          <w:rFonts w:ascii="Times New Roman" w:hAnsi="Times New Roman" w:cs="Times New Roman"/>
        </w:rPr>
        <w:t xml:space="preserve">Attendu que si la requête susvisée ne conclut expressément qu’à l’infirmation du jugement, la nature des moyens invoqués conduit à l’interpréter comme </w:t>
      </w:r>
      <w:r>
        <w:rPr>
          <w:rFonts w:ascii="Times New Roman" w:hAnsi="Times New Roman" w:cs="Times New Roman"/>
        </w:rPr>
        <w:t xml:space="preserve">une </w:t>
      </w:r>
      <w:r w:rsidRPr="0012255A">
        <w:rPr>
          <w:rFonts w:ascii="Times New Roman" w:hAnsi="Times New Roman" w:cs="Times New Roman"/>
        </w:rPr>
        <w:t>demande faite au juge d’appel d’infirmer ou d’annuler le jugement entrepris</w:t>
      </w:r>
      <w:r>
        <w:rPr>
          <w:rStyle w:val="Appelnotedebasdep"/>
          <w:rFonts w:ascii="Times New Roman" w:hAnsi="Times New Roman" w:cs="Times New Roman"/>
        </w:rPr>
        <w:t xml:space="preserve"> </w:t>
      </w:r>
      <w:r w:rsidRPr="0012255A">
        <w:rPr>
          <w:rFonts w:ascii="Times New Roman" w:hAnsi="Times New Roman" w:cs="Times New Roman"/>
        </w:rPr>
        <w:t>;</w:t>
      </w:r>
    </w:p>
    <w:p w:rsidR="009004DF" w:rsidRDefault="009004DF" w:rsidP="009A6197">
      <w:pPr>
        <w:pStyle w:val="PS0"/>
        <w:ind w:left="0"/>
        <w:rPr>
          <w:rFonts w:ascii="Times New Roman" w:hAnsi="Times New Roman" w:cs="Times New Roman"/>
        </w:rPr>
      </w:pPr>
      <w:r w:rsidRPr="0012255A">
        <w:rPr>
          <w:rFonts w:ascii="Times New Roman" w:hAnsi="Times New Roman" w:cs="Times New Roman"/>
        </w:rPr>
        <w:t>Attendu que la chambre de Languedoc-Roussillon, statuant sur les comptes 2002 à 2004, a prononcé, par le jugement entrepris, des débets à l’encontre de M.</w:t>
      </w:r>
      <w:r>
        <w:rPr>
          <w:rFonts w:ascii="Times New Roman" w:hAnsi="Times New Roman" w:cs="Times New Roman"/>
        </w:rPr>
        <w:t> </w:t>
      </w:r>
      <w:r w:rsidRPr="0012255A">
        <w:rPr>
          <w:rFonts w:ascii="Times New Roman" w:hAnsi="Times New Roman" w:cs="Times New Roman"/>
        </w:rPr>
        <w:t>X ; qu’elle n’était alors saisie par le ministère public</w:t>
      </w:r>
      <w:r>
        <w:rPr>
          <w:rFonts w:ascii="Times New Roman" w:hAnsi="Times New Roman" w:cs="Times New Roman"/>
        </w:rPr>
        <w:t xml:space="preserve"> </w:t>
      </w:r>
      <w:r w:rsidRPr="0012255A">
        <w:rPr>
          <w:rFonts w:ascii="Times New Roman" w:hAnsi="Times New Roman" w:cs="Times New Roman"/>
        </w:rPr>
        <w:t>d’aucun autre élément susceptible de constituer une charge sur lequel il lui serait resté à statuer au titre des mêmes</w:t>
      </w:r>
      <w:r>
        <w:rPr>
          <w:rFonts w:ascii="Times New Roman" w:hAnsi="Times New Roman" w:cs="Times New Roman"/>
        </w:rPr>
        <w:t xml:space="preserve"> </w:t>
      </w:r>
      <w:r w:rsidRPr="0012255A">
        <w:rPr>
          <w:rFonts w:ascii="Times New Roman" w:hAnsi="Times New Roman" w:cs="Times New Roman"/>
        </w:rPr>
        <w:t xml:space="preserve">exercices ; que par aucune mention expresse au jugement, la chambre ne se réservait la possibilité </w:t>
      </w:r>
      <w:r>
        <w:rPr>
          <w:rFonts w:ascii="Times New Roman" w:hAnsi="Times New Roman" w:cs="Times New Roman"/>
        </w:rPr>
        <w:t xml:space="preserve">de </w:t>
      </w:r>
      <w:r w:rsidRPr="0012255A">
        <w:rPr>
          <w:rFonts w:ascii="Times New Roman" w:hAnsi="Times New Roman" w:cs="Times New Roman"/>
        </w:rPr>
        <w:t xml:space="preserve">mettre en jeu la responsabilité du comptable sur d’autres opérations des mêmes exercices ; </w:t>
      </w:r>
    </w:p>
    <w:p w:rsidR="009004DF" w:rsidRDefault="009004DF" w:rsidP="00BF7B0B">
      <w:pPr>
        <w:pStyle w:val="PS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</w:rPr>
        <w:lastRenderedPageBreak/>
        <w:t>Q</w:t>
      </w:r>
      <w:r w:rsidRPr="0012255A">
        <w:rPr>
          <w:rFonts w:ascii="Times New Roman" w:hAnsi="Times New Roman" w:cs="Times New Roman"/>
        </w:rPr>
        <w:t xml:space="preserve">ue dès lors, une fois ce jugement entré en force de chose jugée, aucun élément à charge ne pourrait plus être invoqué sur </w:t>
      </w:r>
      <w:r>
        <w:rPr>
          <w:rFonts w:ascii="Times New Roman" w:hAnsi="Times New Roman" w:cs="Times New Roman"/>
        </w:rPr>
        <w:t xml:space="preserve">ces opérations </w:t>
      </w:r>
      <w:r w:rsidRPr="0012255A">
        <w:rPr>
          <w:rFonts w:ascii="Times New Roman" w:hAnsi="Times New Roman" w:cs="Times New Roman"/>
        </w:rPr>
        <w:t>; qu’il en irait ainsi, notamment, de celles évoquées par l’appelant en réponse au réquisitoire</w:t>
      </w:r>
      <w:r>
        <w:rPr>
          <w:rFonts w:ascii="Times New Roman" w:hAnsi="Times New Roman" w:cs="Times New Roman"/>
        </w:rPr>
        <w:t xml:space="preserve"> </w:t>
      </w:r>
      <w:r w:rsidRPr="0012255A">
        <w:rPr>
          <w:rFonts w:ascii="Times New Roman" w:hAnsi="Times New Roman" w:cs="Times New Roman"/>
        </w:rPr>
        <w:t>du 16</w:t>
      </w:r>
      <w:r>
        <w:rPr>
          <w:rFonts w:ascii="Times New Roman" w:hAnsi="Times New Roman" w:cs="Times New Roman"/>
        </w:rPr>
        <w:t> </w:t>
      </w:r>
      <w:r w:rsidRPr="0012255A">
        <w:rPr>
          <w:rFonts w:ascii="Times New Roman" w:hAnsi="Times New Roman" w:cs="Times New Roman"/>
        </w:rPr>
        <w:t>décembre</w:t>
      </w:r>
      <w:r>
        <w:rPr>
          <w:rFonts w:ascii="Times New Roman" w:hAnsi="Times New Roman" w:cs="Times New Roman"/>
        </w:rPr>
        <w:t> </w:t>
      </w:r>
      <w:r w:rsidRPr="0012255A">
        <w:rPr>
          <w:rFonts w:ascii="Times New Roman" w:hAnsi="Times New Roman" w:cs="Times New Roman"/>
        </w:rPr>
        <w:t>2009 susvisé du procureur financier ; que ce non-lieu à charge est définitif au sens de l’article R</w:t>
      </w:r>
      <w:r>
        <w:rPr>
          <w:rFonts w:ascii="Times New Roman" w:hAnsi="Times New Roman" w:cs="Times New Roman"/>
        </w:rPr>
        <w:t>. </w:t>
      </w:r>
      <w:r w:rsidRPr="0012255A">
        <w:rPr>
          <w:rFonts w:ascii="Times New Roman" w:hAnsi="Times New Roman" w:cs="Times New Roman"/>
        </w:rPr>
        <w:t>243-1 du code des juridictions financières et qu’il peut, comme tel, être attaqué par la voie de l’appel ;</w:t>
      </w:r>
    </w:p>
    <w:p w:rsidR="009004DF" w:rsidRPr="0012255A" w:rsidRDefault="009004DF" w:rsidP="00E2147F">
      <w:pPr>
        <w:pStyle w:val="PS0"/>
        <w:ind w:left="0"/>
        <w:rPr>
          <w:rFonts w:ascii="Times New Roman" w:hAnsi="Times New Roman" w:cs="Times New Roman"/>
        </w:rPr>
      </w:pPr>
      <w:r w:rsidRPr="0012255A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ue</w:t>
      </w:r>
      <w:r w:rsidRPr="0012255A">
        <w:rPr>
          <w:rFonts w:ascii="Times New Roman" w:hAnsi="Times New Roman" w:cs="Times New Roman"/>
        </w:rPr>
        <w:t xml:space="preserve"> la requête présentée par le centre hospitalier est recevable ;</w:t>
      </w:r>
    </w:p>
    <w:p w:rsidR="009004DF" w:rsidRPr="0012255A" w:rsidRDefault="009004DF" w:rsidP="008F3E26">
      <w:pPr>
        <w:pStyle w:val="PS0"/>
        <w:ind w:left="0"/>
        <w:rPr>
          <w:rFonts w:ascii="Times New Roman" w:hAnsi="Times New Roman" w:cs="Times New Roman"/>
          <w:b/>
          <w:bCs/>
          <w:u w:val="single"/>
        </w:rPr>
      </w:pPr>
      <w:r w:rsidRPr="0012255A">
        <w:rPr>
          <w:rFonts w:ascii="Times New Roman" w:hAnsi="Times New Roman" w:cs="Times New Roman"/>
          <w:b/>
          <w:bCs/>
          <w:u w:val="single"/>
        </w:rPr>
        <w:t>Sur la régularité du jugement :</w:t>
      </w:r>
    </w:p>
    <w:p w:rsidR="009004DF" w:rsidRPr="00E90366" w:rsidRDefault="009004DF" w:rsidP="00AA5E0A">
      <w:pPr>
        <w:pStyle w:val="PS0"/>
        <w:spacing w:after="360"/>
        <w:ind w:left="0"/>
        <w:rPr>
          <w:rFonts w:ascii="Times New Roman" w:hAnsi="Times New Roman" w:cs="Times New Roman"/>
        </w:rPr>
      </w:pPr>
      <w:r w:rsidRPr="00E90366">
        <w:rPr>
          <w:rFonts w:ascii="Times New Roman" w:hAnsi="Times New Roman" w:cs="Times New Roman"/>
        </w:rPr>
        <w:t>Attendu, selon l’appelant, que l’instruction doit se faire à charge et à décharge, et qu’il revient au juge des comptes de s’affranchir du périmètre fixé par le ministère public dès lors que, dans la procédure contradictoire, les parties apportent des éléments nouveaux ;</w:t>
      </w:r>
    </w:p>
    <w:p w:rsidR="009004DF" w:rsidRPr="00E90366" w:rsidRDefault="009004DF" w:rsidP="008E3BA7">
      <w:pPr>
        <w:pStyle w:val="PS0"/>
        <w:spacing w:after="360"/>
        <w:ind w:left="0"/>
        <w:rPr>
          <w:rFonts w:ascii="Times New Roman" w:hAnsi="Times New Roman" w:cs="Times New Roman"/>
        </w:rPr>
      </w:pPr>
      <w:r w:rsidRPr="00E90366">
        <w:rPr>
          <w:rFonts w:ascii="Times New Roman" w:hAnsi="Times New Roman" w:cs="Times New Roman"/>
        </w:rPr>
        <w:t xml:space="preserve">Attendu que le code des juridictions financières dispose, en son article R. 241-33, que, lors de l’examen des comptes, le magistrat rapporteur instruit à charge et à décharge les comptes dont il est saisi ; </w:t>
      </w:r>
    </w:p>
    <w:p w:rsidR="009004DF" w:rsidRPr="00E90366" w:rsidRDefault="009004DF" w:rsidP="008E3BA7">
      <w:pPr>
        <w:pStyle w:val="PS0"/>
        <w:spacing w:after="360"/>
        <w:ind w:left="0"/>
        <w:rPr>
          <w:rFonts w:ascii="Times New Roman" w:hAnsi="Times New Roman" w:cs="Times New Roman"/>
        </w:rPr>
      </w:pPr>
      <w:r w:rsidRPr="00E90366">
        <w:rPr>
          <w:rFonts w:ascii="Times New Roman" w:hAnsi="Times New Roman" w:cs="Times New Roman"/>
        </w:rPr>
        <w:t xml:space="preserve">Que le contrôle a été notifié à l’ordonnateur en fonction, par application de l’article R. 241-32 ; mais que les éventuelles observations de ce dernier n’apparaissent pas avoir été recueillies, préalablement à l’établissement du rapport d’examen des comptes, et à sa transmission au procureur financier ; </w:t>
      </w:r>
    </w:p>
    <w:p w:rsidR="009004DF" w:rsidRPr="00E90366" w:rsidRDefault="009004DF" w:rsidP="00AA5E0A">
      <w:pPr>
        <w:pStyle w:val="PS0"/>
        <w:spacing w:after="360"/>
        <w:ind w:left="0"/>
        <w:rPr>
          <w:rFonts w:ascii="Times New Roman" w:hAnsi="Times New Roman" w:cs="Times New Roman"/>
        </w:rPr>
      </w:pPr>
      <w:r w:rsidRPr="00E90366">
        <w:rPr>
          <w:rFonts w:ascii="Times New Roman" w:hAnsi="Times New Roman" w:cs="Times New Roman"/>
        </w:rPr>
        <w:t>Que la procédure est contradictoire, et que l’ordonnateur, partie à l’instance, a d’ailleurs de droit accès au dossier, à l’instar du comptable ;</w:t>
      </w:r>
    </w:p>
    <w:p w:rsidR="009004DF" w:rsidRPr="00E90366" w:rsidRDefault="009004DF" w:rsidP="008E3BA7">
      <w:pPr>
        <w:pStyle w:val="PS0"/>
        <w:spacing w:after="360"/>
        <w:ind w:left="0"/>
        <w:rPr>
          <w:rFonts w:ascii="Times New Roman" w:hAnsi="Times New Roman" w:cs="Times New Roman"/>
        </w:rPr>
      </w:pPr>
      <w:r w:rsidRPr="00E90366">
        <w:rPr>
          <w:rFonts w:ascii="Times New Roman" w:hAnsi="Times New Roman" w:cs="Times New Roman"/>
        </w:rPr>
        <w:t>Que, lorsque le ministère public relève</w:t>
      </w:r>
      <w:r>
        <w:rPr>
          <w:rFonts w:ascii="Times New Roman" w:hAnsi="Times New Roman" w:cs="Times New Roman"/>
        </w:rPr>
        <w:t xml:space="preserve"> </w:t>
      </w:r>
      <w:r w:rsidRPr="00E90366">
        <w:rPr>
          <w:rFonts w:ascii="Times New Roman" w:hAnsi="Times New Roman" w:cs="Times New Roman"/>
        </w:rPr>
        <w:t>un élément susceptible de conduire à la mise en jeu de la responsabilité personnelle et pécuniaire du comptable, il saisit la formation de jugement,</w:t>
      </w:r>
      <w:r>
        <w:rPr>
          <w:rFonts w:ascii="Times New Roman" w:hAnsi="Times New Roman" w:cs="Times New Roman"/>
        </w:rPr>
        <w:t xml:space="preserve"> </w:t>
      </w:r>
      <w:r w:rsidRPr="00E90366">
        <w:rPr>
          <w:rFonts w:ascii="Times New Roman" w:hAnsi="Times New Roman" w:cs="Times New Roman"/>
        </w:rPr>
        <w:t xml:space="preserve">par application de l’article L. 242-1 ; </w:t>
      </w:r>
    </w:p>
    <w:p w:rsidR="009004DF" w:rsidRPr="00E90366" w:rsidRDefault="009004DF" w:rsidP="008E3BA7">
      <w:pPr>
        <w:pStyle w:val="PS0"/>
        <w:spacing w:after="360"/>
        <w:ind w:left="0"/>
        <w:rPr>
          <w:rFonts w:ascii="Times New Roman" w:hAnsi="Times New Roman" w:cs="Times New Roman"/>
        </w:rPr>
      </w:pPr>
      <w:r w:rsidRPr="00E90366">
        <w:rPr>
          <w:rFonts w:ascii="Times New Roman" w:hAnsi="Times New Roman" w:cs="Times New Roman"/>
        </w:rPr>
        <w:t>Que l’article R. 241-34 mentionne que le réquisitoire est notifié à l’ordonnateur en fonctions ; en son article R. 241-41, que le jugement est motivé et qu’il statue sur les propositions du rapporteur, les conclusions du ministère public et les observations des autres</w:t>
      </w:r>
      <w:r>
        <w:rPr>
          <w:rFonts w:ascii="Times New Roman" w:hAnsi="Times New Roman" w:cs="Times New Roman"/>
        </w:rPr>
        <w:t xml:space="preserve"> </w:t>
      </w:r>
      <w:r w:rsidRPr="00E90366">
        <w:rPr>
          <w:rFonts w:ascii="Times New Roman" w:hAnsi="Times New Roman" w:cs="Times New Roman"/>
        </w:rPr>
        <w:t xml:space="preserve">parties ; </w:t>
      </w:r>
    </w:p>
    <w:p w:rsidR="009004DF" w:rsidRPr="00E90366" w:rsidRDefault="009004DF" w:rsidP="00AA5E0A">
      <w:pPr>
        <w:pStyle w:val="PS0"/>
        <w:spacing w:after="360"/>
        <w:ind w:left="0"/>
        <w:rPr>
          <w:rFonts w:ascii="Times New Roman" w:hAnsi="Times New Roman" w:cs="Times New Roman"/>
        </w:rPr>
      </w:pPr>
      <w:r w:rsidRPr="00E90366">
        <w:rPr>
          <w:rFonts w:ascii="Times New Roman" w:hAnsi="Times New Roman" w:cs="Times New Roman"/>
        </w:rPr>
        <w:t>Considérant que ces dispositions n’autorisent pas la chambre régionale à mettre le comptable en débet au titre d’éléments dont elle n’aurait pas été saisie par le ministère public ;</w:t>
      </w:r>
    </w:p>
    <w:p w:rsidR="009004DF" w:rsidRPr="00E90366" w:rsidRDefault="009004DF" w:rsidP="00AA5E0A">
      <w:pPr>
        <w:pStyle w:val="PS0"/>
        <w:spacing w:after="360"/>
        <w:ind w:left="0"/>
        <w:rPr>
          <w:rFonts w:ascii="Times New Roman" w:hAnsi="Times New Roman" w:cs="Times New Roman"/>
        </w:rPr>
      </w:pPr>
      <w:r w:rsidRPr="00E90366">
        <w:rPr>
          <w:rFonts w:ascii="Times New Roman" w:hAnsi="Times New Roman" w:cs="Times New Roman"/>
        </w:rPr>
        <w:t xml:space="preserve">Considérant pour autant que, sauf à manquer aux droits fondamentaux des parties, et notamment au caractère contradictoire de la procédure, les observations en réponse au réquisitoire qui comprennent des éléments susceptibles d’être retenus à l’encontre du comptable, non recueillis précédemment, doivent être instruites à charge et à décharge comme il est prévu lors de l’examen des comptes ; qu’ainsi le ministère public est mis en état de saisir, si nécessaire, la formation de jugement par un réquisitoire complémentaire ; </w:t>
      </w:r>
    </w:p>
    <w:p w:rsidR="009004DF" w:rsidRPr="00E90366" w:rsidRDefault="009004DF" w:rsidP="009B0D87">
      <w:pPr>
        <w:pStyle w:val="PS0"/>
        <w:ind w:left="0"/>
        <w:rPr>
          <w:rFonts w:ascii="Times New Roman" w:hAnsi="Times New Roman" w:cs="Times New Roman"/>
        </w:rPr>
      </w:pPr>
      <w:r w:rsidRPr="00E90366">
        <w:rPr>
          <w:rFonts w:ascii="Times New Roman" w:hAnsi="Times New Roman" w:cs="Times New Roman"/>
        </w:rPr>
        <w:lastRenderedPageBreak/>
        <w:t>Considérant qu’une formation de jugement qui statue définitivement sur les comptes concernés sans que ces observations émises par les parties aient pu être instruites entache sa décision d’irrégularité ;</w:t>
      </w:r>
    </w:p>
    <w:p w:rsidR="009004DF" w:rsidRPr="00E90366" w:rsidRDefault="009004DF" w:rsidP="008F6FE4">
      <w:pPr>
        <w:pStyle w:val="PS0"/>
        <w:ind w:left="0"/>
        <w:rPr>
          <w:rFonts w:ascii="Times New Roman" w:hAnsi="Times New Roman" w:cs="Times New Roman"/>
        </w:rPr>
      </w:pPr>
      <w:r w:rsidRPr="00E90366">
        <w:rPr>
          <w:rFonts w:ascii="Times New Roman" w:hAnsi="Times New Roman" w:cs="Times New Roman"/>
        </w:rPr>
        <w:t xml:space="preserve">Attendu qu’en l’espèce les présomptions de charge invoquées par l’ordonnateur en réponse au réquisitoire n’ont pas été examinées dans un rapport d’instruction ; </w:t>
      </w:r>
    </w:p>
    <w:p w:rsidR="009004DF" w:rsidRPr="00E90366" w:rsidRDefault="009004DF" w:rsidP="008F6FE4">
      <w:pPr>
        <w:pStyle w:val="PS0"/>
        <w:ind w:left="0"/>
        <w:rPr>
          <w:rFonts w:ascii="Times New Roman" w:hAnsi="Times New Roman" w:cs="Times New Roman"/>
        </w:rPr>
      </w:pPr>
      <w:r w:rsidRPr="00E90366">
        <w:rPr>
          <w:rFonts w:ascii="Times New Roman" w:hAnsi="Times New Roman" w:cs="Times New Roman"/>
        </w:rPr>
        <w:t>Considérant que le jugement entrepris a été rendu de façon irrégulière ; que dès lors, sans qu’il soit besoin de se prononcer sur les autres moyens de l’appelant, il y a lieu d’annuler ledit jugement en toutes ses dispositions ;</w:t>
      </w:r>
    </w:p>
    <w:p w:rsidR="009004DF" w:rsidRPr="00E90366" w:rsidRDefault="009004DF" w:rsidP="00B97962">
      <w:pPr>
        <w:pStyle w:val="PS0"/>
        <w:ind w:left="0"/>
        <w:rPr>
          <w:rFonts w:ascii="Times New Roman" w:hAnsi="Times New Roman" w:cs="Times New Roman"/>
        </w:rPr>
      </w:pPr>
      <w:r w:rsidRPr="00E90366">
        <w:rPr>
          <w:rFonts w:ascii="Times New Roman" w:hAnsi="Times New Roman" w:cs="Times New Roman"/>
        </w:rPr>
        <w:t>Par ces motifs,</w:t>
      </w:r>
    </w:p>
    <w:p w:rsidR="009004DF" w:rsidRPr="00E90366" w:rsidRDefault="009004DF" w:rsidP="008F3E26">
      <w:pPr>
        <w:pStyle w:val="PS0"/>
        <w:ind w:left="0"/>
        <w:jc w:val="center"/>
        <w:rPr>
          <w:rFonts w:ascii="Times New Roman" w:hAnsi="Times New Roman" w:cs="Times New Roman"/>
        </w:rPr>
      </w:pPr>
      <w:r w:rsidRPr="00E90366">
        <w:rPr>
          <w:rFonts w:ascii="Times New Roman" w:hAnsi="Times New Roman" w:cs="Times New Roman"/>
        </w:rPr>
        <w:t>ORDONNE :</w:t>
      </w:r>
    </w:p>
    <w:p w:rsidR="009004DF" w:rsidRPr="00E90366" w:rsidRDefault="009004DF" w:rsidP="00CF5240">
      <w:pPr>
        <w:spacing w:after="360"/>
        <w:ind w:firstLine="1080"/>
      </w:pPr>
      <w:r w:rsidRPr="00E90366">
        <w:t>Le jugement n° 2010-0015 du 17 février 2011 de la chambre régionale des comptes de Languedoc-Roussillon est annulé.</w:t>
      </w:r>
    </w:p>
    <w:p w:rsidR="009004DF" w:rsidRPr="0012255A" w:rsidRDefault="009004DF" w:rsidP="004C3834">
      <w:pPr>
        <w:spacing w:after="240"/>
        <w:ind w:firstLine="1077"/>
      </w:pPr>
      <w:r w:rsidRPr="0012255A">
        <w:t>L’affaire est renvoyée devant la chambre régionale des comptes de Languedoc-Roussillon.</w:t>
      </w:r>
    </w:p>
    <w:p w:rsidR="009004DF" w:rsidRPr="0012255A" w:rsidRDefault="009004DF" w:rsidP="008F3E26">
      <w:pPr>
        <w:pStyle w:val="PS0"/>
        <w:ind w:left="0"/>
        <w:jc w:val="center"/>
        <w:rPr>
          <w:rFonts w:ascii="Times New Roman" w:hAnsi="Times New Roman" w:cs="Times New Roman"/>
        </w:rPr>
      </w:pPr>
      <w:r w:rsidRPr="0012255A">
        <w:rPr>
          <w:rFonts w:ascii="Times New Roman" w:hAnsi="Times New Roman" w:cs="Times New Roman"/>
        </w:rPr>
        <w:t>------------</w:t>
      </w:r>
    </w:p>
    <w:p w:rsidR="009004DF" w:rsidRPr="00E90366" w:rsidRDefault="009004DF" w:rsidP="00CF5240">
      <w:pPr>
        <w:pStyle w:val="PS0"/>
        <w:spacing w:after="600"/>
        <w:ind w:left="0"/>
        <w:rPr>
          <w:rFonts w:ascii="Times New Roman" w:hAnsi="Times New Roman" w:cs="Times New Roman"/>
        </w:rPr>
      </w:pPr>
      <w:r w:rsidRPr="00E90366">
        <w:rPr>
          <w:rFonts w:ascii="Times New Roman" w:hAnsi="Times New Roman" w:cs="Times New Roman"/>
        </w:rPr>
        <w:t>Fait et jugé en la Cour des comptes, quatrième chambre, première section. Présents : MM. Bayle, président, Cazanave, président de section, Ganser, Vermeulen, Geoffroy et Senhaji, conseillers maîtres.</w:t>
      </w:r>
    </w:p>
    <w:p w:rsidR="009004DF" w:rsidRPr="00E90366" w:rsidRDefault="009004DF" w:rsidP="00B71D6A">
      <w:pPr>
        <w:pStyle w:val="PS0"/>
        <w:ind w:left="0"/>
        <w:rPr>
          <w:rFonts w:ascii="Times New Roman" w:hAnsi="Times New Roman" w:cs="Times New Roman"/>
        </w:rPr>
      </w:pPr>
      <w:r w:rsidRPr="00E90366">
        <w:rPr>
          <w:rFonts w:ascii="Times New Roman" w:hAnsi="Times New Roman" w:cs="Times New Roman"/>
        </w:rPr>
        <w:t>Signé : Bayle, président, et Férez, greffier.</w:t>
      </w:r>
    </w:p>
    <w:p w:rsidR="009004DF" w:rsidRPr="00E90366" w:rsidRDefault="009004DF" w:rsidP="004C3834">
      <w:pPr>
        <w:pStyle w:val="PS0"/>
        <w:spacing w:after="360"/>
        <w:ind w:left="0"/>
        <w:rPr>
          <w:rFonts w:ascii="Times New Roman" w:hAnsi="Times New Roman" w:cs="Times New Roman"/>
        </w:rPr>
      </w:pPr>
      <w:r w:rsidRPr="00E90366">
        <w:rPr>
          <w:rFonts w:ascii="Times New Roman" w:hAnsi="Times New Roman" w:cs="Times New Roman"/>
        </w:rPr>
        <w:t>Collationné, certifié conforme à la minute étant au greffe de la Cour des comptes et délivré par moi, secrétaire général.</w:t>
      </w:r>
    </w:p>
    <w:p w:rsidR="009004DF" w:rsidRPr="00E90366" w:rsidRDefault="009004DF" w:rsidP="00534F48">
      <w:pPr>
        <w:pStyle w:val="Corpsdetexte"/>
        <w:spacing w:before="0" w:after="0"/>
        <w:ind w:firstLine="5103"/>
        <w:jc w:val="center"/>
        <w:rPr>
          <w:b/>
          <w:bCs/>
        </w:rPr>
      </w:pPr>
      <w:r w:rsidRPr="00E90366">
        <w:rPr>
          <w:b/>
          <w:bCs/>
        </w:rPr>
        <w:t>Pour le Secrétaire général</w:t>
      </w:r>
    </w:p>
    <w:p w:rsidR="009004DF" w:rsidRPr="00E90366" w:rsidRDefault="009004DF" w:rsidP="00534F48">
      <w:pPr>
        <w:pStyle w:val="Corpsdetexte"/>
        <w:spacing w:before="0" w:after="0"/>
        <w:ind w:firstLine="5103"/>
        <w:jc w:val="center"/>
        <w:rPr>
          <w:b/>
          <w:bCs/>
        </w:rPr>
      </w:pPr>
      <w:r w:rsidRPr="00E90366">
        <w:rPr>
          <w:b/>
          <w:bCs/>
        </w:rPr>
        <w:t>et par délégation,</w:t>
      </w:r>
    </w:p>
    <w:p w:rsidR="009004DF" w:rsidRPr="00E90366" w:rsidRDefault="009004DF" w:rsidP="004C3834">
      <w:pPr>
        <w:pStyle w:val="Corpsdetexte"/>
        <w:spacing w:before="0" w:after="1560"/>
        <w:ind w:firstLine="5103"/>
        <w:jc w:val="center"/>
        <w:rPr>
          <w:b/>
          <w:bCs/>
        </w:rPr>
      </w:pPr>
      <w:r w:rsidRPr="00E90366">
        <w:rPr>
          <w:b/>
          <w:bCs/>
        </w:rPr>
        <w:t>Le Chef du greffe contentieux</w:t>
      </w:r>
    </w:p>
    <w:p w:rsidR="009004DF" w:rsidRPr="00E90366" w:rsidRDefault="009004DF" w:rsidP="00537E6E">
      <w:pPr>
        <w:pStyle w:val="Corpsdetexte"/>
        <w:spacing w:after="360"/>
        <w:ind w:firstLine="5400"/>
        <w:jc w:val="center"/>
        <w:rPr>
          <w:b/>
          <w:bCs/>
        </w:rPr>
      </w:pPr>
      <w:r w:rsidRPr="00E90366">
        <w:rPr>
          <w:b/>
          <w:bCs/>
        </w:rPr>
        <w:t>Daniel FEREZ</w:t>
      </w:r>
    </w:p>
    <w:p w:rsidR="009004DF" w:rsidRDefault="009004DF" w:rsidP="00534F48">
      <w:pPr>
        <w:pStyle w:val="PS0"/>
        <w:ind w:left="0"/>
      </w:pPr>
    </w:p>
    <w:sectPr w:rsidR="009004DF" w:rsidSect="008C0929">
      <w:head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4DF" w:rsidRDefault="009004DF">
      <w:r>
        <w:separator/>
      </w:r>
    </w:p>
  </w:endnote>
  <w:endnote w:type="continuationSeparator" w:id="0">
    <w:p w:rsidR="009004DF" w:rsidRDefault="00900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4DF" w:rsidRDefault="009004DF">
      <w:r>
        <w:separator/>
      </w:r>
    </w:p>
  </w:footnote>
  <w:footnote w:type="continuationSeparator" w:id="0">
    <w:p w:rsidR="009004DF" w:rsidRDefault="009004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4DF" w:rsidRDefault="009004DF" w:rsidP="008C0929">
    <w:pPr>
      <w:pStyle w:val="En-tte"/>
      <w:framePr w:wrap="auto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D6C08">
      <w:rPr>
        <w:rStyle w:val="Numrodepage"/>
        <w:noProof/>
      </w:rPr>
      <w:t>5</w:t>
    </w:r>
    <w:r>
      <w:rPr>
        <w:rStyle w:val="Numrodepage"/>
      </w:rPr>
      <w:fldChar w:fldCharType="end"/>
    </w:r>
  </w:p>
  <w:p w:rsidR="009004DF" w:rsidRDefault="009004DF" w:rsidP="008C0929">
    <w:pPr>
      <w:pStyle w:val="En-tte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7549"/>
    <w:multiLevelType w:val="hybridMultilevel"/>
    <w:tmpl w:val="1A22DE96"/>
    <w:lvl w:ilvl="0" w:tplc="3DAA06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5313538C"/>
    <w:multiLevelType w:val="multilevel"/>
    <w:tmpl w:val="8882886C"/>
    <w:lvl w:ilvl="0">
      <w:start w:val="1"/>
      <w:numFmt w:val="upperRoman"/>
      <w:pStyle w:val="Titre1"/>
      <w:suff w:val="nothing"/>
      <w:lvlText w:val="PARTIE %1 : "/>
      <w:lvlJc w:val="left"/>
      <w:pPr>
        <w:ind w:left="1985" w:hanging="284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1">
      <w:start w:val="1"/>
      <w:numFmt w:val="upperRoman"/>
      <w:pStyle w:val="Titre2"/>
      <w:lvlText w:val="%2."/>
      <w:lvlJc w:val="left"/>
      <w:pPr>
        <w:tabs>
          <w:tab w:val="num" w:pos="720"/>
        </w:tabs>
        <w:ind w:left="510" w:hanging="510"/>
      </w:pPr>
    </w:lvl>
    <w:lvl w:ilvl="2">
      <w:start w:val="1"/>
      <w:numFmt w:val="upperLetter"/>
      <w:pStyle w:val="Titre3"/>
      <w:lvlText w:val="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Titre4"/>
      <w:lvlText w:val="%4."/>
      <w:lvlJc w:val="left"/>
      <w:pPr>
        <w:tabs>
          <w:tab w:val="num" w:pos="879"/>
        </w:tabs>
        <w:ind w:left="879" w:hanging="879"/>
      </w:pPr>
      <w:rPr>
        <w:u w:val="none"/>
      </w:rPr>
    </w:lvl>
    <w:lvl w:ilvl="4">
      <w:start w:val="1"/>
      <w:numFmt w:val="lowerLetter"/>
      <w:pStyle w:val="Titre5"/>
      <w:lvlText w:val="%5."/>
      <w:lvlJc w:val="left"/>
      <w:pPr>
        <w:tabs>
          <w:tab w:val="num" w:pos="992"/>
        </w:tabs>
        <w:ind w:left="992" w:hanging="992"/>
      </w:pPr>
      <w:rPr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5245"/>
    <w:rsid w:val="00000758"/>
    <w:rsid w:val="0003318C"/>
    <w:rsid w:val="00042DE1"/>
    <w:rsid w:val="0005741D"/>
    <w:rsid w:val="00057596"/>
    <w:rsid w:val="00072C15"/>
    <w:rsid w:val="000A2A30"/>
    <w:rsid w:val="000C6BF4"/>
    <w:rsid w:val="000E117A"/>
    <w:rsid w:val="000E745F"/>
    <w:rsid w:val="0012255A"/>
    <w:rsid w:val="001669BC"/>
    <w:rsid w:val="001765CC"/>
    <w:rsid w:val="0018581F"/>
    <w:rsid w:val="00192013"/>
    <w:rsid w:val="00193FFC"/>
    <w:rsid w:val="001C74FB"/>
    <w:rsid w:val="001E19CD"/>
    <w:rsid w:val="001F736C"/>
    <w:rsid w:val="00244F15"/>
    <w:rsid w:val="002557A8"/>
    <w:rsid w:val="00294A2E"/>
    <w:rsid w:val="002B12D2"/>
    <w:rsid w:val="002B20D4"/>
    <w:rsid w:val="002D162E"/>
    <w:rsid w:val="002E0A89"/>
    <w:rsid w:val="002E3D4E"/>
    <w:rsid w:val="00341B27"/>
    <w:rsid w:val="00342280"/>
    <w:rsid w:val="00357FC6"/>
    <w:rsid w:val="00365245"/>
    <w:rsid w:val="00392C27"/>
    <w:rsid w:val="003F62FF"/>
    <w:rsid w:val="004022C2"/>
    <w:rsid w:val="004330A1"/>
    <w:rsid w:val="00493526"/>
    <w:rsid w:val="00497A94"/>
    <w:rsid w:val="004A7FCA"/>
    <w:rsid w:val="004C3834"/>
    <w:rsid w:val="004F2842"/>
    <w:rsid w:val="005279B8"/>
    <w:rsid w:val="00534F48"/>
    <w:rsid w:val="00537E6E"/>
    <w:rsid w:val="00552A85"/>
    <w:rsid w:val="0057392B"/>
    <w:rsid w:val="005752F1"/>
    <w:rsid w:val="00592148"/>
    <w:rsid w:val="005C506A"/>
    <w:rsid w:val="005F045E"/>
    <w:rsid w:val="005F2FDF"/>
    <w:rsid w:val="00615501"/>
    <w:rsid w:val="00620988"/>
    <w:rsid w:val="0062721F"/>
    <w:rsid w:val="00643CDE"/>
    <w:rsid w:val="00660E38"/>
    <w:rsid w:val="00690447"/>
    <w:rsid w:val="006939D1"/>
    <w:rsid w:val="006A321F"/>
    <w:rsid w:val="006B551C"/>
    <w:rsid w:val="006D7CFB"/>
    <w:rsid w:val="006E209A"/>
    <w:rsid w:val="006F6C76"/>
    <w:rsid w:val="00710466"/>
    <w:rsid w:val="00714C1F"/>
    <w:rsid w:val="007378FC"/>
    <w:rsid w:val="00744F43"/>
    <w:rsid w:val="007656D7"/>
    <w:rsid w:val="0078022A"/>
    <w:rsid w:val="007A0936"/>
    <w:rsid w:val="007B2050"/>
    <w:rsid w:val="007F3218"/>
    <w:rsid w:val="0080029A"/>
    <w:rsid w:val="00812D56"/>
    <w:rsid w:val="00814B21"/>
    <w:rsid w:val="0084466D"/>
    <w:rsid w:val="00852829"/>
    <w:rsid w:val="00856685"/>
    <w:rsid w:val="00860246"/>
    <w:rsid w:val="00873A5C"/>
    <w:rsid w:val="00894F1C"/>
    <w:rsid w:val="008C0929"/>
    <w:rsid w:val="008D7E0F"/>
    <w:rsid w:val="008E3BA7"/>
    <w:rsid w:val="008F3E26"/>
    <w:rsid w:val="008F6FE4"/>
    <w:rsid w:val="009004DF"/>
    <w:rsid w:val="00907A40"/>
    <w:rsid w:val="00920236"/>
    <w:rsid w:val="0092667D"/>
    <w:rsid w:val="00935F57"/>
    <w:rsid w:val="00936113"/>
    <w:rsid w:val="00954AA0"/>
    <w:rsid w:val="009615E4"/>
    <w:rsid w:val="00991F05"/>
    <w:rsid w:val="009929BB"/>
    <w:rsid w:val="009A6197"/>
    <w:rsid w:val="009B0D87"/>
    <w:rsid w:val="009C6C5C"/>
    <w:rsid w:val="00A512EE"/>
    <w:rsid w:val="00A631D6"/>
    <w:rsid w:val="00A72916"/>
    <w:rsid w:val="00A814F1"/>
    <w:rsid w:val="00A949ED"/>
    <w:rsid w:val="00AA35D6"/>
    <w:rsid w:val="00AA5E0A"/>
    <w:rsid w:val="00AE759D"/>
    <w:rsid w:val="00B02DE8"/>
    <w:rsid w:val="00B71D6A"/>
    <w:rsid w:val="00B82C1D"/>
    <w:rsid w:val="00B97962"/>
    <w:rsid w:val="00BA7249"/>
    <w:rsid w:val="00BB1DA6"/>
    <w:rsid w:val="00BC2FFD"/>
    <w:rsid w:val="00BD43D8"/>
    <w:rsid w:val="00BF716A"/>
    <w:rsid w:val="00BF7B0B"/>
    <w:rsid w:val="00C0061C"/>
    <w:rsid w:val="00C14630"/>
    <w:rsid w:val="00C25107"/>
    <w:rsid w:val="00C31562"/>
    <w:rsid w:val="00C40171"/>
    <w:rsid w:val="00C42BE8"/>
    <w:rsid w:val="00C436D4"/>
    <w:rsid w:val="00C5488F"/>
    <w:rsid w:val="00C5596C"/>
    <w:rsid w:val="00C57B82"/>
    <w:rsid w:val="00C63815"/>
    <w:rsid w:val="00C86E33"/>
    <w:rsid w:val="00C94FAB"/>
    <w:rsid w:val="00CD6C08"/>
    <w:rsid w:val="00CE299A"/>
    <w:rsid w:val="00CF5240"/>
    <w:rsid w:val="00D039CA"/>
    <w:rsid w:val="00D25E25"/>
    <w:rsid w:val="00D61E0D"/>
    <w:rsid w:val="00D65E9E"/>
    <w:rsid w:val="00DF3797"/>
    <w:rsid w:val="00E2147F"/>
    <w:rsid w:val="00E22C13"/>
    <w:rsid w:val="00E54528"/>
    <w:rsid w:val="00E55509"/>
    <w:rsid w:val="00E608A0"/>
    <w:rsid w:val="00E80E1F"/>
    <w:rsid w:val="00E90366"/>
    <w:rsid w:val="00E95293"/>
    <w:rsid w:val="00EA2DE1"/>
    <w:rsid w:val="00EB6713"/>
    <w:rsid w:val="00EB772A"/>
    <w:rsid w:val="00F00135"/>
    <w:rsid w:val="00F006FD"/>
    <w:rsid w:val="00F00D14"/>
    <w:rsid w:val="00F0725C"/>
    <w:rsid w:val="00F10784"/>
    <w:rsid w:val="00F33413"/>
    <w:rsid w:val="00F47284"/>
    <w:rsid w:val="00FC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locked="1" w:uiPriority="0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locked="1" w:uiPriority="0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Corpsdetexte"/>
    <w:qFormat/>
    <w:rsid w:val="008F3E26"/>
    <w:pPr>
      <w:spacing w:before="120" w:after="120"/>
      <w:ind w:firstLine="709"/>
      <w:jc w:val="both"/>
    </w:pPr>
    <w:rPr>
      <w:sz w:val="24"/>
      <w:szCs w:val="24"/>
    </w:rPr>
  </w:style>
  <w:style w:type="paragraph" w:styleId="Titre1">
    <w:name w:val="heading 1"/>
    <w:basedOn w:val="Normal"/>
    <w:next w:val="Corpsdetexte"/>
    <w:link w:val="Titre1Car"/>
    <w:uiPriority w:val="99"/>
    <w:qFormat/>
    <w:rsid w:val="008F3E26"/>
    <w:pPr>
      <w:keepNext/>
      <w:numPr>
        <w:numId w:val="1"/>
      </w:numPr>
      <w:spacing w:before="480" w:after="480"/>
      <w:jc w:val="left"/>
      <w:outlineLvl w:val="0"/>
    </w:pPr>
    <w:rPr>
      <w:b/>
      <w:bCs/>
      <w:caps/>
      <w:kern w:val="28"/>
      <w:sz w:val="28"/>
      <w:szCs w:val="28"/>
    </w:rPr>
  </w:style>
  <w:style w:type="paragraph" w:styleId="Titre2">
    <w:name w:val="heading 2"/>
    <w:basedOn w:val="Normal"/>
    <w:next w:val="Corpsdetexte"/>
    <w:link w:val="Titre2Car"/>
    <w:uiPriority w:val="99"/>
    <w:qFormat/>
    <w:rsid w:val="008F3E26"/>
    <w:pPr>
      <w:keepNext/>
      <w:keepLines/>
      <w:numPr>
        <w:ilvl w:val="1"/>
        <w:numId w:val="1"/>
      </w:numPr>
      <w:spacing w:before="360" w:after="360"/>
      <w:jc w:val="left"/>
      <w:outlineLvl w:val="1"/>
    </w:pPr>
    <w:rPr>
      <w:b/>
      <w:bCs/>
      <w:caps/>
    </w:rPr>
  </w:style>
  <w:style w:type="paragraph" w:styleId="Titre3">
    <w:name w:val="heading 3"/>
    <w:basedOn w:val="Normal"/>
    <w:next w:val="Corpsdetexte"/>
    <w:link w:val="Titre3Car"/>
    <w:uiPriority w:val="99"/>
    <w:qFormat/>
    <w:rsid w:val="008F3E26"/>
    <w:pPr>
      <w:keepNext/>
      <w:keepLines/>
      <w:numPr>
        <w:ilvl w:val="2"/>
        <w:numId w:val="1"/>
      </w:numPr>
      <w:spacing w:before="240" w:after="240"/>
      <w:jc w:val="left"/>
      <w:outlineLvl w:val="2"/>
    </w:pPr>
    <w:rPr>
      <w:b/>
      <w:bCs/>
      <w:smallCaps/>
    </w:rPr>
  </w:style>
  <w:style w:type="paragraph" w:styleId="Titre4">
    <w:name w:val="heading 4"/>
    <w:basedOn w:val="Normal"/>
    <w:next w:val="Corpsdetexte"/>
    <w:link w:val="Titre4Car"/>
    <w:uiPriority w:val="99"/>
    <w:qFormat/>
    <w:rsid w:val="008F3E26"/>
    <w:pPr>
      <w:keepNext/>
      <w:keepLines/>
      <w:numPr>
        <w:ilvl w:val="3"/>
        <w:numId w:val="1"/>
      </w:numPr>
      <w:spacing w:before="240"/>
      <w:jc w:val="left"/>
      <w:outlineLvl w:val="3"/>
    </w:pPr>
    <w:rPr>
      <w:b/>
      <w:bCs/>
    </w:rPr>
  </w:style>
  <w:style w:type="paragraph" w:styleId="Titre5">
    <w:name w:val="heading 5"/>
    <w:basedOn w:val="Normal"/>
    <w:next w:val="Corpsdetexte"/>
    <w:link w:val="Titre5Car"/>
    <w:uiPriority w:val="99"/>
    <w:qFormat/>
    <w:rsid w:val="008F3E26"/>
    <w:pPr>
      <w:keepNext/>
      <w:keepLines/>
      <w:numPr>
        <w:ilvl w:val="4"/>
        <w:numId w:val="1"/>
      </w:numPr>
      <w:spacing w:before="240"/>
      <w:jc w:val="left"/>
      <w:outlineLvl w:val="4"/>
    </w:pPr>
    <w:rPr>
      <w:u w:val="single"/>
    </w:rPr>
  </w:style>
  <w:style w:type="character" w:default="1" w:styleId="Policepardfaut">
    <w:name w:val="Default Paragraph Font"/>
    <w:uiPriority w:val="99"/>
    <w:semiHidden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294A2E"/>
    <w:rPr>
      <w:rFonts w:ascii="Cambria" w:hAnsi="Cambria" w:cs="Cambria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semiHidden/>
    <w:locked/>
    <w:rsid w:val="00294A2E"/>
    <w:rPr>
      <w:rFonts w:ascii="Cambria" w:hAnsi="Cambria" w:cs="Cambria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semiHidden/>
    <w:locked/>
    <w:rsid w:val="00294A2E"/>
    <w:rPr>
      <w:rFonts w:ascii="Cambria" w:hAnsi="Cambria" w:cs="Cambria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9"/>
    <w:semiHidden/>
    <w:locked/>
    <w:rsid w:val="00294A2E"/>
    <w:rPr>
      <w:rFonts w:ascii="Calibri" w:hAnsi="Calibri" w:cs="Calibr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9"/>
    <w:semiHidden/>
    <w:locked/>
    <w:rsid w:val="00294A2E"/>
    <w:rPr>
      <w:rFonts w:ascii="Calibri" w:hAnsi="Calibri" w:cs="Calibri"/>
      <w:b/>
      <w:bCs/>
      <w:i/>
      <w:iCs/>
      <w:sz w:val="26"/>
      <w:szCs w:val="26"/>
    </w:rPr>
  </w:style>
  <w:style w:type="paragraph" w:styleId="Corpsdetexte">
    <w:name w:val="Body Text"/>
    <w:basedOn w:val="Normal"/>
    <w:link w:val="CorpsdetexteCar"/>
    <w:uiPriority w:val="99"/>
    <w:rsid w:val="008F3E26"/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294A2E"/>
    <w:rPr>
      <w:sz w:val="24"/>
      <w:szCs w:val="24"/>
    </w:rPr>
  </w:style>
  <w:style w:type="paragraph" w:customStyle="1" w:styleId="ps">
    <w:name w:val="ps"/>
    <w:basedOn w:val="Normal"/>
    <w:uiPriority w:val="99"/>
    <w:rsid w:val="008F3E26"/>
    <w:pPr>
      <w:spacing w:before="0" w:after="480"/>
      <w:ind w:left="1701" w:firstLine="1134"/>
    </w:pPr>
  </w:style>
  <w:style w:type="paragraph" w:customStyle="1" w:styleId="Style">
    <w:name w:val="Style"/>
    <w:basedOn w:val="Normal"/>
    <w:uiPriority w:val="99"/>
    <w:rsid w:val="008F3E26"/>
    <w:pPr>
      <w:spacing w:before="0" w:after="160" w:line="240" w:lineRule="exact"/>
      <w:ind w:firstLine="0"/>
      <w:jc w:val="left"/>
    </w:pPr>
    <w:rPr>
      <w:rFonts w:ascii="Tahoma" w:hAnsi="Tahoma" w:cs="Tahoma"/>
      <w:sz w:val="20"/>
      <w:szCs w:val="20"/>
      <w:lang w:val="en-US" w:eastAsia="en-US"/>
    </w:rPr>
  </w:style>
  <w:style w:type="table" w:styleId="Grilledutableau">
    <w:name w:val="Table Grid"/>
    <w:basedOn w:val="TableauNormal"/>
    <w:uiPriority w:val="99"/>
    <w:rsid w:val="008F3E26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S0">
    <w:name w:val="PS"/>
    <w:basedOn w:val="Normal"/>
    <w:link w:val="PSCar"/>
    <w:uiPriority w:val="99"/>
    <w:rsid w:val="008F3E26"/>
    <w:pPr>
      <w:spacing w:before="0" w:after="480"/>
      <w:ind w:left="1701" w:firstLine="1134"/>
    </w:pPr>
    <w:rPr>
      <w:rFonts w:ascii="CG Times (WN)" w:hAnsi="CG Times (WN)" w:cs="CG Times (WN)"/>
    </w:rPr>
  </w:style>
  <w:style w:type="character" w:customStyle="1" w:styleId="PSCar">
    <w:name w:val="PS Car"/>
    <w:basedOn w:val="Policepardfaut"/>
    <w:link w:val="PS0"/>
    <w:uiPriority w:val="99"/>
    <w:locked/>
    <w:rsid w:val="008F3E26"/>
    <w:rPr>
      <w:rFonts w:ascii="CG Times (WN)" w:hAnsi="CG Times (WN)" w:cs="CG Times (WN)"/>
      <w:sz w:val="24"/>
      <w:szCs w:val="24"/>
      <w:lang w:val="fr-FR" w:eastAsia="fr-FR"/>
    </w:rPr>
  </w:style>
  <w:style w:type="paragraph" w:styleId="NormalWeb">
    <w:name w:val="Normal (Web)"/>
    <w:basedOn w:val="Normal"/>
    <w:uiPriority w:val="99"/>
    <w:rsid w:val="00A512EE"/>
    <w:pPr>
      <w:spacing w:before="100" w:beforeAutospacing="1" w:after="100" w:afterAutospacing="1"/>
      <w:ind w:firstLine="0"/>
      <w:jc w:val="left"/>
    </w:pPr>
  </w:style>
  <w:style w:type="paragraph" w:styleId="Textedebulles">
    <w:name w:val="Balloon Text"/>
    <w:basedOn w:val="Normal"/>
    <w:link w:val="TextedebullesCar"/>
    <w:uiPriority w:val="99"/>
    <w:semiHidden/>
    <w:rsid w:val="001858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294A2E"/>
    <w:rPr>
      <w:sz w:val="2"/>
      <w:szCs w:val="2"/>
    </w:rPr>
  </w:style>
  <w:style w:type="character" w:styleId="Marquedecommentaire">
    <w:name w:val="annotation reference"/>
    <w:basedOn w:val="Policepardfaut"/>
    <w:uiPriority w:val="99"/>
    <w:semiHidden/>
    <w:rsid w:val="006A321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6A321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locked/>
    <w:rsid w:val="00294A2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rsid w:val="006A321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locked/>
    <w:rsid w:val="00294A2E"/>
    <w:rPr>
      <w:b/>
      <w:bCs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rsid w:val="002B20D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locked/>
    <w:rsid w:val="00294A2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rsid w:val="002B20D4"/>
    <w:rPr>
      <w:vertAlign w:val="superscript"/>
    </w:rPr>
  </w:style>
  <w:style w:type="paragraph" w:styleId="En-tte">
    <w:name w:val="header"/>
    <w:basedOn w:val="Normal"/>
    <w:link w:val="En-tteCar"/>
    <w:uiPriority w:val="99"/>
    <w:rsid w:val="008C092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294A2E"/>
    <w:rPr>
      <w:sz w:val="24"/>
      <w:szCs w:val="24"/>
    </w:rPr>
  </w:style>
  <w:style w:type="character" w:styleId="Numrodepage">
    <w:name w:val="page number"/>
    <w:basedOn w:val="Policepardfaut"/>
    <w:uiPriority w:val="99"/>
    <w:rsid w:val="008C0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43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1078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 DES COMPTES</vt:lpstr>
    </vt:vector>
  </TitlesOfParts>
  <Company>Cour des Comptes</Company>
  <LinksUpToDate>false</LinksUpToDate>
  <CharactersWithSpaces>6996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 DES COMPTES</dc:title>
  <dc:subject/>
  <dc:creator>cdemier</dc:creator>
  <cp:keywords/>
  <dc:description/>
  <cp:lastModifiedBy>mtlecroisey</cp:lastModifiedBy>
  <cp:revision>2</cp:revision>
  <cp:lastPrinted>2012-01-17T09:22:00Z</cp:lastPrinted>
  <dcterms:created xsi:type="dcterms:W3CDTF">2012-11-27T16:46:00Z</dcterms:created>
  <dcterms:modified xsi:type="dcterms:W3CDTF">2012-11-27T16:46:00Z</dcterms:modified>
</cp:coreProperties>
</file>