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68" w:type="dxa"/>
        <w:tblLayout w:type="fixed"/>
        <w:tblCellMar>
          <w:left w:w="70" w:type="dxa"/>
          <w:right w:w="70" w:type="dxa"/>
        </w:tblCellMar>
        <w:tblLook w:val="0000" w:firstRow="0" w:lastRow="0" w:firstColumn="0" w:lastColumn="0" w:noHBand="0" w:noVBand="0"/>
      </w:tblPr>
      <w:tblGrid>
        <w:gridCol w:w="3545"/>
        <w:gridCol w:w="1842"/>
        <w:gridCol w:w="4678"/>
      </w:tblGrid>
      <w:tr w:rsidR="00FD3E6F">
        <w:tc>
          <w:tcPr>
            <w:tcW w:w="3545" w:type="dxa"/>
            <w:vAlign w:val="center"/>
          </w:tcPr>
          <w:p w:rsidR="00FD3E6F" w:rsidRDefault="00FD3E6F" w:rsidP="003A6CFF">
            <w:pPr>
              <w:pStyle w:val="1pageCour"/>
              <w:ind w:right="-211"/>
            </w:pPr>
            <w:bookmarkStart w:id="0" w:name="_GoBack"/>
            <w:bookmarkEnd w:id="0"/>
            <w:r>
              <w:t>Cour des comptes</w:t>
            </w:r>
          </w:p>
        </w:tc>
        <w:tc>
          <w:tcPr>
            <w:tcW w:w="1842" w:type="dxa"/>
            <w:vAlign w:val="center"/>
          </w:tcPr>
          <w:p w:rsidR="00FD3E6F" w:rsidRDefault="00FD3E6F" w:rsidP="00E92A8F">
            <w:pPr>
              <w:pStyle w:val="Corpsdetexte"/>
              <w:spacing w:before="0" w:after="0"/>
              <w:ind w:left="0" w:firstLine="0"/>
            </w:pPr>
          </w:p>
        </w:tc>
        <w:tc>
          <w:tcPr>
            <w:tcW w:w="4678" w:type="dxa"/>
            <w:vAlign w:val="center"/>
          </w:tcPr>
          <w:p w:rsidR="00FD3E6F" w:rsidRDefault="00FD3E6F" w:rsidP="00E92A8F">
            <w:pPr>
              <w:pStyle w:val="Corpsdetexte"/>
              <w:spacing w:before="0" w:after="0"/>
              <w:ind w:left="0" w:firstLine="0"/>
            </w:pPr>
          </w:p>
        </w:tc>
      </w:tr>
      <w:tr w:rsidR="00FD3E6F" w:rsidRPr="00BE69A2">
        <w:tc>
          <w:tcPr>
            <w:tcW w:w="3545" w:type="dxa"/>
            <w:vAlign w:val="center"/>
          </w:tcPr>
          <w:p w:rsidR="00FD3E6F" w:rsidRPr="00BE69A2" w:rsidRDefault="00FD3E6F" w:rsidP="003A6CFF">
            <w:pPr>
              <w:pStyle w:val="Corpsdetexte"/>
              <w:spacing w:before="0" w:after="0"/>
              <w:ind w:left="0" w:right="-211" w:firstLine="0"/>
              <w:jc w:val="center"/>
              <w:rPr>
                <w:smallCaps/>
                <w:sz w:val="16"/>
                <w:szCs w:val="16"/>
              </w:rPr>
            </w:pPr>
            <w:r w:rsidRPr="00BE69A2">
              <w:rPr>
                <w:smallCaps/>
                <w:sz w:val="16"/>
                <w:szCs w:val="16"/>
              </w:rPr>
              <w:t>----------</w:t>
            </w:r>
          </w:p>
        </w:tc>
        <w:tc>
          <w:tcPr>
            <w:tcW w:w="1842" w:type="dxa"/>
            <w:vAlign w:val="center"/>
          </w:tcPr>
          <w:p w:rsidR="00FD3E6F" w:rsidRPr="00BE69A2" w:rsidRDefault="00FD3E6F" w:rsidP="00E92A8F">
            <w:pPr>
              <w:pStyle w:val="Corpsdetexte"/>
              <w:spacing w:before="0" w:after="0"/>
              <w:ind w:left="0" w:firstLine="0"/>
              <w:rPr>
                <w:sz w:val="16"/>
                <w:szCs w:val="16"/>
              </w:rPr>
            </w:pPr>
          </w:p>
        </w:tc>
        <w:tc>
          <w:tcPr>
            <w:tcW w:w="4678" w:type="dxa"/>
            <w:vAlign w:val="center"/>
          </w:tcPr>
          <w:p w:rsidR="00FD3E6F" w:rsidRPr="00BE69A2" w:rsidRDefault="00FD3E6F" w:rsidP="00E92A8F">
            <w:pPr>
              <w:pStyle w:val="Corpsdetexte"/>
              <w:spacing w:before="0" w:after="0"/>
              <w:ind w:left="0" w:firstLine="0"/>
              <w:rPr>
                <w:sz w:val="16"/>
                <w:szCs w:val="16"/>
              </w:rPr>
            </w:pPr>
          </w:p>
        </w:tc>
      </w:tr>
      <w:tr w:rsidR="00FD3E6F">
        <w:tc>
          <w:tcPr>
            <w:tcW w:w="3545" w:type="dxa"/>
            <w:vAlign w:val="center"/>
          </w:tcPr>
          <w:p w:rsidR="00FD3E6F" w:rsidRDefault="00FD3E6F" w:rsidP="003A6CFF">
            <w:pPr>
              <w:pStyle w:val="1pageChambre"/>
              <w:ind w:right="-211"/>
            </w:pPr>
            <w:r>
              <w:t>Chambres réunies</w:t>
            </w:r>
          </w:p>
        </w:tc>
        <w:tc>
          <w:tcPr>
            <w:tcW w:w="1842" w:type="dxa"/>
            <w:vAlign w:val="center"/>
          </w:tcPr>
          <w:p w:rsidR="00FD3E6F" w:rsidRDefault="00FD3E6F" w:rsidP="00E92A8F">
            <w:pPr>
              <w:pStyle w:val="Corpsdetexte"/>
              <w:spacing w:before="0" w:after="0"/>
              <w:ind w:left="0" w:firstLine="0"/>
            </w:pPr>
          </w:p>
        </w:tc>
        <w:tc>
          <w:tcPr>
            <w:tcW w:w="4678" w:type="dxa"/>
            <w:vAlign w:val="center"/>
          </w:tcPr>
          <w:p w:rsidR="00FD3E6F" w:rsidRDefault="00FD3E6F" w:rsidP="00E92A8F">
            <w:pPr>
              <w:pStyle w:val="Corpsdetexte"/>
              <w:spacing w:before="0" w:after="0"/>
              <w:ind w:left="0" w:firstLine="0"/>
            </w:pPr>
          </w:p>
        </w:tc>
      </w:tr>
      <w:tr w:rsidR="00FD3E6F" w:rsidRPr="00BE69A2">
        <w:tc>
          <w:tcPr>
            <w:tcW w:w="3545" w:type="dxa"/>
            <w:vAlign w:val="center"/>
          </w:tcPr>
          <w:p w:rsidR="00FD3E6F" w:rsidRPr="00BE69A2" w:rsidRDefault="00FD3E6F" w:rsidP="003A6CFF">
            <w:pPr>
              <w:pStyle w:val="Corpsdetexte"/>
              <w:spacing w:before="0" w:after="0"/>
              <w:ind w:left="0" w:right="-211" w:firstLine="0"/>
              <w:jc w:val="center"/>
              <w:rPr>
                <w:smallCaps/>
                <w:sz w:val="16"/>
                <w:szCs w:val="16"/>
              </w:rPr>
            </w:pPr>
            <w:r w:rsidRPr="00BE69A2">
              <w:rPr>
                <w:smallCaps/>
                <w:sz w:val="16"/>
                <w:szCs w:val="16"/>
              </w:rPr>
              <w:t>----------</w:t>
            </w:r>
          </w:p>
        </w:tc>
        <w:tc>
          <w:tcPr>
            <w:tcW w:w="1842" w:type="dxa"/>
            <w:vAlign w:val="center"/>
          </w:tcPr>
          <w:p w:rsidR="00FD3E6F" w:rsidRPr="00BE69A2" w:rsidRDefault="00FD3E6F" w:rsidP="00E92A8F">
            <w:pPr>
              <w:pStyle w:val="Corpsdetexte"/>
              <w:spacing w:before="0" w:after="0"/>
              <w:ind w:left="0" w:firstLine="0"/>
              <w:rPr>
                <w:sz w:val="16"/>
                <w:szCs w:val="16"/>
              </w:rPr>
            </w:pPr>
          </w:p>
        </w:tc>
        <w:tc>
          <w:tcPr>
            <w:tcW w:w="4678" w:type="dxa"/>
            <w:vAlign w:val="center"/>
          </w:tcPr>
          <w:p w:rsidR="00FD3E6F" w:rsidRPr="00BE69A2" w:rsidRDefault="00FD3E6F" w:rsidP="00E92A8F">
            <w:pPr>
              <w:pStyle w:val="Corpsdetexte"/>
              <w:spacing w:before="0" w:after="0"/>
              <w:ind w:left="0" w:firstLine="0"/>
              <w:rPr>
                <w:sz w:val="16"/>
                <w:szCs w:val="16"/>
              </w:rPr>
            </w:pPr>
          </w:p>
        </w:tc>
      </w:tr>
      <w:tr w:rsidR="00FD3E6F" w:rsidRPr="00BE69A2">
        <w:tc>
          <w:tcPr>
            <w:tcW w:w="3545" w:type="dxa"/>
            <w:vAlign w:val="center"/>
          </w:tcPr>
          <w:p w:rsidR="00FD3E6F" w:rsidRDefault="00FD3E6F" w:rsidP="003A6CFF">
            <w:pPr>
              <w:pStyle w:val="1pageChambre"/>
              <w:ind w:right="-211"/>
              <w:rPr>
                <w:i/>
                <w:iCs/>
                <w:sz w:val="20"/>
                <w:szCs w:val="20"/>
              </w:rPr>
            </w:pPr>
            <w:r>
              <w:t>Formation restreinte</w:t>
            </w:r>
          </w:p>
        </w:tc>
        <w:tc>
          <w:tcPr>
            <w:tcW w:w="1842" w:type="dxa"/>
            <w:vAlign w:val="center"/>
          </w:tcPr>
          <w:p w:rsidR="00FD3E6F" w:rsidRPr="00BE69A2" w:rsidRDefault="00FD3E6F" w:rsidP="00E92A8F">
            <w:pPr>
              <w:pStyle w:val="Corpsdetexte"/>
              <w:spacing w:before="0" w:after="0"/>
              <w:ind w:left="0" w:firstLine="0"/>
              <w:rPr>
                <w:sz w:val="16"/>
                <w:szCs w:val="16"/>
              </w:rPr>
            </w:pPr>
          </w:p>
        </w:tc>
        <w:tc>
          <w:tcPr>
            <w:tcW w:w="4678" w:type="dxa"/>
            <w:vAlign w:val="center"/>
          </w:tcPr>
          <w:p w:rsidR="00FD3E6F" w:rsidRPr="00BE69A2" w:rsidRDefault="00FD3E6F" w:rsidP="00E92A8F">
            <w:pPr>
              <w:pStyle w:val="Corpsdetexte"/>
              <w:spacing w:before="0" w:after="0"/>
              <w:ind w:left="0" w:firstLine="0"/>
              <w:rPr>
                <w:sz w:val="16"/>
                <w:szCs w:val="16"/>
              </w:rPr>
            </w:pPr>
          </w:p>
        </w:tc>
      </w:tr>
      <w:tr w:rsidR="00FD3E6F" w:rsidRPr="00BE69A2">
        <w:tc>
          <w:tcPr>
            <w:tcW w:w="3545" w:type="dxa"/>
            <w:vAlign w:val="center"/>
          </w:tcPr>
          <w:p w:rsidR="00FD3E6F" w:rsidRPr="00BE69A2" w:rsidRDefault="00FD3E6F" w:rsidP="003A6CFF">
            <w:pPr>
              <w:pStyle w:val="Corpsdetexte"/>
              <w:spacing w:before="0" w:after="120"/>
              <w:ind w:left="0" w:right="-211" w:firstLine="0"/>
              <w:jc w:val="center"/>
              <w:rPr>
                <w:smallCaps/>
                <w:sz w:val="16"/>
                <w:szCs w:val="16"/>
              </w:rPr>
            </w:pPr>
            <w:r w:rsidRPr="00BE69A2">
              <w:rPr>
                <w:smallCaps/>
                <w:sz w:val="16"/>
                <w:szCs w:val="16"/>
              </w:rPr>
              <w:t>----------</w:t>
            </w:r>
          </w:p>
        </w:tc>
        <w:tc>
          <w:tcPr>
            <w:tcW w:w="1842" w:type="dxa"/>
            <w:vAlign w:val="center"/>
          </w:tcPr>
          <w:p w:rsidR="00FD3E6F" w:rsidRPr="00BE69A2" w:rsidRDefault="00FD3E6F" w:rsidP="00E92A8F">
            <w:pPr>
              <w:pStyle w:val="Corpsdetexte"/>
              <w:spacing w:before="0" w:after="0"/>
              <w:ind w:left="0" w:firstLine="0"/>
              <w:rPr>
                <w:sz w:val="16"/>
                <w:szCs w:val="16"/>
              </w:rPr>
            </w:pPr>
          </w:p>
        </w:tc>
        <w:tc>
          <w:tcPr>
            <w:tcW w:w="4678" w:type="dxa"/>
            <w:vAlign w:val="center"/>
          </w:tcPr>
          <w:p w:rsidR="00FD3E6F" w:rsidRPr="00BE69A2" w:rsidRDefault="00FD3E6F" w:rsidP="00E92A8F">
            <w:pPr>
              <w:pStyle w:val="Corpsdetexte"/>
              <w:spacing w:before="0" w:after="0"/>
              <w:ind w:left="0" w:firstLine="0"/>
              <w:rPr>
                <w:sz w:val="16"/>
                <w:szCs w:val="16"/>
              </w:rPr>
            </w:pPr>
          </w:p>
        </w:tc>
      </w:tr>
      <w:tr w:rsidR="00FD3E6F" w:rsidRPr="00BE69A2">
        <w:tc>
          <w:tcPr>
            <w:tcW w:w="3545" w:type="dxa"/>
            <w:vAlign w:val="center"/>
          </w:tcPr>
          <w:p w:rsidR="00FD3E6F" w:rsidRPr="00BE69A2" w:rsidRDefault="00FD3E6F" w:rsidP="003A6CFF">
            <w:pPr>
              <w:pStyle w:val="Corpsdetexte"/>
              <w:spacing w:before="0" w:after="0"/>
              <w:ind w:left="-68" w:right="-211" w:firstLine="0"/>
              <w:jc w:val="center"/>
              <w:rPr>
                <w:smallCaps/>
                <w:sz w:val="16"/>
                <w:szCs w:val="16"/>
              </w:rPr>
            </w:pPr>
            <w:r>
              <w:rPr>
                <w:b/>
                <w:bCs/>
                <w:i/>
                <w:iCs/>
                <w:sz w:val="20"/>
                <w:szCs w:val="20"/>
              </w:rPr>
              <w:t>Arrêt n° 62851</w:t>
            </w:r>
          </w:p>
        </w:tc>
        <w:tc>
          <w:tcPr>
            <w:tcW w:w="1842" w:type="dxa"/>
            <w:vAlign w:val="center"/>
          </w:tcPr>
          <w:p w:rsidR="00FD3E6F" w:rsidRPr="00BE69A2" w:rsidRDefault="00FD3E6F" w:rsidP="00E92A8F">
            <w:pPr>
              <w:pStyle w:val="Corpsdetexte"/>
              <w:spacing w:before="0" w:after="0"/>
              <w:ind w:left="0" w:firstLine="0"/>
              <w:rPr>
                <w:sz w:val="16"/>
                <w:szCs w:val="16"/>
              </w:rPr>
            </w:pPr>
          </w:p>
        </w:tc>
        <w:tc>
          <w:tcPr>
            <w:tcW w:w="4678" w:type="dxa"/>
            <w:vAlign w:val="center"/>
          </w:tcPr>
          <w:p w:rsidR="00FD3E6F" w:rsidRPr="00BE69A2" w:rsidRDefault="00FD3E6F" w:rsidP="00E92A8F">
            <w:pPr>
              <w:pStyle w:val="Corpsdetexte"/>
              <w:spacing w:before="0" w:after="0"/>
              <w:ind w:left="0" w:firstLine="0"/>
              <w:rPr>
                <w:sz w:val="16"/>
                <w:szCs w:val="16"/>
              </w:rPr>
            </w:pPr>
          </w:p>
        </w:tc>
      </w:tr>
    </w:tbl>
    <w:p w:rsidR="00FD3E6F" w:rsidRDefault="00FD3E6F">
      <w:pPr>
        <w:pStyle w:val="ET"/>
      </w:pPr>
    </w:p>
    <w:p w:rsidR="00FD3E6F" w:rsidRDefault="00FD3E6F" w:rsidP="0093710B">
      <w:pPr>
        <w:pStyle w:val="OR"/>
      </w:pPr>
      <w:r>
        <w:t>GESTION DE FAIT DES DENIERS</w:t>
      </w:r>
    </w:p>
    <w:p w:rsidR="00FD3E6F" w:rsidRDefault="00FD3E6F" w:rsidP="0093710B">
      <w:pPr>
        <w:pStyle w:val="OR"/>
      </w:pPr>
      <w:r w:rsidRPr="0093710B">
        <w:t>DE LA COMMUNE DE MERU (OISE</w:t>
      </w:r>
      <w:r>
        <w:t>)</w:t>
      </w:r>
    </w:p>
    <w:p w:rsidR="00FD3E6F" w:rsidRPr="0093710B" w:rsidRDefault="00FD3E6F" w:rsidP="0093710B">
      <w:pPr>
        <w:pStyle w:val="OR"/>
      </w:pPr>
      <w:r w:rsidRPr="0093710B">
        <w:t>PAR L’ASSOCIATION DE FORMATION DES ELUS MERUVIENS (AFEM)</w:t>
      </w:r>
    </w:p>
    <w:p w:rsidR="00FD3E6F" w:rsidRPr="0093710B" w:rsidRDefault="00FD3E6F" w:rsidP="0093710B">
      <w:pPr>
        <w:pStyle w:val="OR"/>
      </w:pPr>
    </w:p>
    <w:p w:rsidR="00FD3E6F" w:rsidRDefault="00FD3E6F" w:rsidP="00506CB7">
      <w:pPr>
        <w:pStyle w:val="OR"/>
      </w:pPr>
    </w:p>
    <w:p w:rsidR="00FD3E6F" w:rsidRDefault="00FD3E6F" w:rsidP="002B3A80">
      <w:pPr>
        <w:pStyle w:val="OR"/>
        <w:spacing w:after="360"/>
      </w:pPr>
      <w:r>
        <w:t>Rapport n° 2011-659-0</w:t>
      </w:r>
    </w:p>
    <w:p w:rsidR="00FD3E6F" w:rsidRDefault="00FD3E6F" w:rsidP="00506CB7">
      <w:pPr>
        <w:pStyle w:val="OR"/>
        <w:spacing w:after="360"/>
      </w:pPr>
      <w:r>
        <w:t>Audience publique du 19 décembre 2011</w:t>
      </w:r>
    </w:p>
    <w:p w:rsidR="00FD3E6F" w:rsidRPr="00D632B0" w:rsidRDefault="00FD3E6F" w:rsidP="00310544">
      <w:pPr>
        <w:pStyle w:val="OR"/>
        <w:spacing w:after="720"/>
      </w:pPr>
      <w:r>
        <w:t>Lecture publique du 16 janvier 2012</w:t>
      </w:r>
    </w:p>
    <w:p w:rsidR="00FD3E6F" w:rsidRPr="00DA4790" w:rsidRDefault="00FD3E6F" w:rsidP="00FB641C">
      <w:pPr>
        <w:pStyle w:val="PS"/>
      </w:pPr>
      <w:r w:rsidRPr="00DA4790">
        <w:t>LA COUR DES COMPTES a rendu l’arr</w:t>
      </w:r>
      <w:r>
        <w:t>êt suivant :</w:t>
      </w:r>
    </w:p>
    <w:p w:rsidR="00FD3E6F" w:rsidRPr="00D53083" w:rsidRDefault="00FD3E6F" w:rsidP="00FB641C">
      <w:pPr>
        <w:pStyle w:val="PS"/>
        <w:rPr>
          <w:lang w:val="pt-BR"/>
        </w:rPr>
      </w:pPr>
      <w:r w:rsidRPr="00D53083">
        <w:rPr>
          <w:lang w:val="pt-BR"/>
        </w:rPr>
        <w:t>LA COUR,</w:t>
      </w:r>
    </w:p>
    <w:p w:rsidR="00FD3E6F" w:rsidRDefault="00FD3E6F" w:rsidP="00EF675A">
      <w:pPr>
        <w:pStyle w:val="PS"/>
      </w:pPr>
      <w:r>
        <w:t xml:space="preserve">Vu l’arrêt provisoire de la Cour des comptes du 15 juillet 2009 (n° 55526) condamnant MM. X et Y chacun à une amende de 100 € pour gestion de fait des deniers de </w:t>
      </w:r>
      <w:r w:rsidRPr="004C07E9">
        <w:rPr>
          <w:caps/>
        </w:rPr>
        <w:t>la commune de Méru (Oise) par l’association de formation des élus méruviens</w:t>
      </w:r>
      <w:r>
        <w:t xml:space="preserve"> (AFEM) ;</w:t>
      </w:r>
    </w:p>
    <w:p w:rsidR="00FD3E6F" w:rsidRDefault="00FD3E6F" w:rsidP="00A65C17">
      <w:pPr>
        <w:pStyle w:val="PS"/>
      </w:pPr>
      <w:r>
        <w:t>Vu l’arrêt du Conseil d’Etat du 13 juillet 2011 rejetant le pourvoi en cassation du Procureur général près la Cour des comptes contre l’arrêt définitif de la Cour des comptes du 15 juillet 2009 (arrêt n° 55525) ;</w:t>
      </w:r>
    </w:p>
    <w:p w:rsidR="00FD3E6F" w:rsidRDefault="00FD3E6F" w:rsidP="00A65C17">
      <w:pPr>
        <w:pStyle w:val="PS"/>
      </w:pPr>
      <w:r>
        <w:t>Vu la lettre du 20 octobre 2009 du Trésorier payeur général de la Trésorerie générale des créances spéciales du Trésor au Procureur général près la Cour des comptes, indiquant que MM. X et Y s’étaient acquittés de leur amende ;</w:t>
      </w:r>
    </w:p>
    <w:p w:rsidR="00FD3E6F" w:rsidRDefault="00FD3E6F" w:rsidP="003D4A3B">
      <w:pPr>
        <w:pStyle w:val="PS"/>
        <w:spacing w:after="600"/>
      </w:pPr>
      <w:r>
        <w:t xml:space="preserve">Vu les décisions des 2 septembre et 20 octobre 2011 du Premier président de la Cour des comptes désignant respectivement, M. Eric </w:t>
      </w:r>
      <w:proofErr w:type="spellStart"/>
      <w:r>
        <w:t>Thévenon</w:t>
      </w:r>
      <w:proofErr w:type="spellEnd"/>
      <w:r>
        <w:t>, conseiller référendaire, rapporteur du dossier et M. Jean-Marie Le Méné, conseiller maître, contre-rapporteur ;</w:t>
      </w:r>
    </w:p>
    <w:p w:rsidR="00FD3E6F" w:rsidRDefault="00FD3E6F">
      <w:pPr>
        <w:pStyle w:val="P0"/>
        <w:sectPr w:rsidR="00FD3E6F">
          <w:pgSz w:w="11907" w:h="16840"/>
          <w:pgMar w:top="1134" w:right="1134" w:bottom="1134" w:left="567" w:header="720" w:footer="720" w:gutter="0"/>
          <w:cols w:space="720"/>
        </w:sectPr>
      </w:pPr>
    </w:p>
    <w:p w:rsidR="00FD3E6F" w:rsidRDefault="00FD3E6F" w:rsidP="005A57B3">
      <w:pPr>
        <w:pStyle w:val="PS"/>
      </w:pPr>
      <w:r>
        <w:lastRenderedPageBreak/>
        <w:t>Vu la lettre du 25 octobre 2011 du chef du greffe contentieux de la Cour des comptes informant les parties de la clôture de l’instruction ;</w:t>
      </w:r>
    </w:p>
    <w:p w:rsidR="00FD3E6F" w:rsidRDefault="00FD3E6F" w:rsidP="006F7D9B">
      <w:pPr>
        <w:pStyle w:val="PS"/>
      </w:pPr>
      <w:r>
        <w:t>Vu la lettre du 9 novembre 2011 du chef du greffe contentieux de la Cour des comptes communiquant aux parties, à leur demande, le rapport d’instruction ;</w:t>
      </w:r>
    </w:p>
    <w:p w:rsidR="00FD3E6F" w:rsidRDefault="00FD3E6F" w:rsidP="006F7D9B">
      <w:pPr>
        <w:pStyle w:val="PS"/>
      </w:pPr>
      <w:r>
        <w:t>Vu la lettre du 23 novembre 2011 du chef du greffe contentieux de la Cour des comptes informant les parties de la date de l’audience publique ;</w:t>
      </w:r>
    </w:p>
    <w:p w:rsidR="00FD3E6F" w:rsidRDefault="00FD3E6F" w:rsidP="006F7D9B">
      <w:pPr>
        <w:pStyle w:val="PS"/>
      </w:pPr>
      <w:r>
        <w:t>Vu les conclusions du 1</w:t>
      </w:r>
      <w:r>
        <w:rPr>
          <w:vertAlign w:val="superscript"/>
        </w:rPr>
        <w:t>er</w:t>
      </w:r>
      <w:r>
        <w:t xml:space="preserve"> décembre 2011 du Procureur général près la Cour des comptes ;</w:t>
      </w:r>
    </w:p>
    <w:p w:rsidR="00FD3E6F" w:rsidRDefault="00FD3E6F" w:rsidP="006F7D9B">
      <w:pPr>
        <w:pStyle w:val="PS"/>
      </w:pPr>
      <w:r>
        <w:t>Vu la lettre du 2 décembre 2011 du chef du greffe contentieux de la Cour des comptes informant les parties du dépôt des conclusions du ministère public ;</w:t>
      </w:r>
    </w:p>
    <w:p w:rsidR="00FD3E6F" w:rsidRDefault="00FD3E6F" w:rsidP="006F7D9B">
      <w:pPr>
        <w:pStyle w:val="PS"/>
      </w:pPr>
      <w:r>
        <w:t>Vu la lettre du 13 décembre 2011 de l’avocat de MM. X et Y indiquant qu’il n’assistera pas à l’audience publique du 19 décembre 2011 ;</w:t>
      </w:r>
    </w:p>
    <w:p w:rsidR="00FD3E6F" w:rsidRDefault="00FD3E6F" w:rsidP="006F7D9B">
      <w:pPr>
        <w:pStyle w:val="PS"/>
      </w:pPr>
      <w:r>
        <w:t>Vu la lettre du 14 décembre 2011 de M. X indiquant qu’il n’assistera pas à l’audience publique.</w:t>
      </w:r>
    </w:p>
    <w:p w:rsidR="00FD3E6F" w:rsidRDefault="00FD3E6F" w:rsidP="006F7D9B">
      <w:pPr>
        <w:pStyle w:val="PS"/>
      </w:pPr>
      <w:r>
        <w:t xml:space="preserve">Après avoir entendu en audience publique M. Eric </w:t>
      </w:r>
      <w:proofErr w:type="spellStart"/>
      <w:r>
        <w:t>Thévenon</w:t>
      </w:r>
      <w:proofErr w:type="spellEnd"/>
      <w:r>
        <w:t>, conseiller référendaire, en son rapport et M. Christian Michaut, avocat général, en ses conclusions orales ;</w:t>
      </w:r>
    </w:p>
    <w:p w:rsidR="00FD3E6F" w:rsidRDefault="00FD3E6F" w:rsidP="005A57B3">
      <w:pPr>
        <w:pStyle w:val="PS"/>
      </w:pPr>
      <w:r>
        <w:t>Après avoir délibéré hors la présence du rapporteur et du représentant du ministère public.</w:t>
      </w:r>
    </w:p>
    <w:p w:rsidR="00FD3E6F" w:rsidRPr="006F7D9B" w:rsidRDefault="00FD3E6F" w:rsidP="005A57B3">
      <w:pPr>
        <w:pStyle w:val="PS"/>
        <w:rPr>
          <w:b/>
          <w:bCs/>
        </w:rPr>
      </w:pPr>
      <w:r w:rsidRPr="006F7D9B">
        <w:rPr>
          <w:b/>
          <w:bCs/>
        </w:rPr>
        <w:t>1 – Sur l’amende pour gestion de fait</w:t>
      </w:r>
    </w:p>
    <w:p w:rsidR="00FD3E6F" w:rsidRDefault="00FD3E6F" w:rsidP="00A001DD">
      <w:pPr>
        <w:pStyle w:val="PS"/>
      </w:pPr>
      <w:r>
        <w:t>Attendu que, conformément aux dispositions de l’article L. 131-11 du code des juridictions financières, les comptables de fait peuvent, dans le cas où ils n’ont pas fait l’objet pour les mêmes opérations des poursuites prévues à l’article 433-12 du code pénal, être condamnés à l’amende par la Cour des comptes en raison de leur immixtion dans les fonctions de comptable public ;</w:t>
      </w:r>
    </w:p>
    <w:p w:rsidR="00FD3E6F" w:rsidRDefault="00FD3E6F" w:rsidP="00A001DD">
      <w:pPr>
        <w:pStyle w:val="PS"/>
      </w:pPr>
      <w:r>
        <w:t>Attendu que, par l’arrêt provisoire susvisé du 15 juillet 2009, la Cour des comptes a condamné MM. X et Y à une amende de 100 € chacun pour leur immixtion dans les fonctions de comptable public ;</w:t>
      </w:r>
    </w:p>
    <w:p w:rsidR="00FD3E6F" w:rsidRDefault="00FD3E6F" w:rsidP="005B4595">
      <w:pPr>
        <w:pStyle w:val="PS"/>
      </w:pPr>
      <w:r>
        <w:lastRenderedPageBreak/>
        <w:t>Attendu que l’application des règles de prescription est sans effet sur une amende déjà prononcée à titre provisoire, que par la suite les comptables de fait n’ont pas apporté d’éléments nouveaux susceptibles de les exonérer d’une condamnation à l’amende d’un même montant à titre définitif.</w:t>
      </w:r>
    </w:p>
    <w:p w:rsidR="00FD3E6F" w:rsidRPr="00A001DD" w:rsidRDefault="00FD3E6F" w:rsidP="00E0170F">
      <w:pPr>
        <w:pStyle w:val="PS"/>
        <w:rPr>
          <w:b/>
          <w:bCs/>
        </w:rPr>
      </w:pPr>
      <w:r w:rsidRPr="00A001DD">
        <w:rPr>
          <w:b/>
          <w:bCs/>
        </w:rPr>
        <w:t>2</w:t>
      </w:r>
      <w:r>
        <w:rPr>
          <w:b/>
          <w:bCs/>
        </w:rPr>
        <w:t> </w:t>
      </w:r>
      <w:r w:rsidRPr="00A001DD">
        <w:rPr>
          <w:b/>
          <w:bCs/>
        </w:rPr>
        <w:t>–</w:t>
      </w:r>
      <w:r>
        <w:rPr>
          <w:b/>
          <w:bCs/>
        </w:rPr>
        <w:t> </w:t>
      </w:r>
      <w:r w:rsidRPr="00A001DD">
        <w:rPr>
          <w:b/>
          <w:bCs/>
        </w:rPr>
        <w:t>Sur le quitus à accorder aux comptables de fait</w:t>
      </w:r>
    </w:p>
    <w:p w:rsidR="00FD3E6F" w:rsidRDefault="00FD3E6F" w:rsidP="005B4595">
      <w:pPr>
        <w:pStyle w:val="PS"/>
      </w:pPr>
      <w:r>
        <w:t>Attendu que la lettre susvisée du 20 octobre 2009 du Trésorier-payeur général de la Trésorerie générale des créances spéciales du Trésor au Procureur général près la Cour des comptes atteste que MM. X et Y se sont bien acquittés de leur amende, respectivement le 15 octobre 2009 et le 21 décembre 2009 ;</w:t>
      </w:r>
    </w:p>
    <w:p w:rsidR="00FD3E6F" w:rsidRDefault="00FD3E6F" w:rsidP="00A001DD">
      <w:pPr>
        <w:pStyle w:val="PS"/>
      </w:pPr>
      <w:r>
        <w:t>Que l’amende étant ainsi apurée et aucune autre charge ne subsistant, MM. X et Y peuvent être déclarés quittes et libérés de leur gestion de fait à la date du versement de l’amende.</w:t>
      </w:r>
    </w:p>
    <w:p w:rsidR="00FD3E6F" w:rsidRDefault="00FD3E6F" w:rsidP="005A57B3">
      <w:pPr>
        <w:pStyle w:val="PS"/>
      </w:pPr>
      <w:r>
        <w:t>Par ces motifs,</w:t>
      </w:r>
    </w:p>
    <w:p w:rsidR="00FD3E6F" w:rsidRDefault="00FD3E6F" w:rsidP="00A001DD">
      <w:pPr>
        <w:pStyle w:val="PS"/>
        <w:ind w:firstLine="0"/>
        <w:jc w:val="center"/>
      </w:pPr>
      <w:r>
        <w:t>STATUANT DEFINITIVEMENT :</w:t>
      </w:r>
    </w:p>
    <w:p w:rsidR="00FD3E6F" w:rsidRDefault="00FD3E6F" w:rsidP="003120D8">
      <w:pPr>
        <w:pStyle w:val="PS"/>
      </w:pPr>
      <w:r>
        <w:t>1 – MM. X et Y sont condamnés à une amende de 100 € chacun pour immixtion dans les fonctions de comptable public.</w:t>
      </w:r>
    </w:p>
    <w:p w:rsidR="00FD3E6F" w:rsidRDefault="00FD3E6F" w:rsidP="00707273">
      <w:pPr>
        <w:pStyle w:val="PS"/>
      </w:pPr>
      <w:r>
        <w:t>2 – Après apurement de cette amende MM. X et Y sont déclarés quittes et libérés de la gestion de fait des deniers de la commune de Méru (Oise), respectivement au 15 octobre 2009 et au 21 décembre 2009.</w:t>
      </w:r>
    </w:p>
    <w:p w:rsidR="00FD3E6F" w:rsidRDefault="00FD3E6F" w:rsidP="008A7029">
      <w:pPr>
        <w:pStyle w:val="PS"/>
        <w:ind w:firstLine="0"/>
        <w:jc w:val="center"/>
      </w:pPr>
      <w:r>
        <w:t>----------</w:t>
      </w:r>
    </w:p>
    <w:p w:rsidR="00FD3E6F" w:rsidRDefault="00FD3E6F" w:rsidP="00707273">
      <w:pPr>
        <w:pStyle w:val="PS"/>
      </w:pPr>
      <w:r>
        <w:t xml:space="preserve">Fait et jugé en la Cour des comptes, toutes chambres réunies en formation restreinte, le dix-neuf décembre deux mil onze. Présents : M. Descheemaeker, président, Mme Levy-Rosenwald, M. Tournier, Mmes </w:t>
      </w:r>
      <w:proofErr w:type="spellStart"/>
      <w:r>
        <w:t>Moati</w:t>
      </w:r>
      <w:proofErr w:type="spellEnd"/>
      <w:r>
        <w:t>, Aubin-</w:t>
      </w:r>
      <w:proofErr w:type="spellStart"/>
      <w:r>
        <w:t>Saulière</w:t>
      </w:r>
      <w:proofErr w:type="spellEnd"/>
      <w:r>
        <w:t xml:space="preserve">, </w:t>
      </w:r>
      <w:proofErr w:type="spellStart"/>
      <w:r>
        <w:t>Gadriot</w:t>
      </w:r>
      <w:proofErr w:type="spellEnd"/>
      <w:r>
        <w:t>-Renard et M. Le Méné, conseillers maîtres.</w:t>
      </w:r>
    </w:p>
    <w:p w:rsidR="00FD3E6F" w:rsidRPr="00FF1A8F" w:rsidRDefault="00FD3E6F" w:rsidP="00C25E7C">
      <w:pPr>
        <w:pStyle w:val="PS"/>
      </w:pPr>
      <w:r>
        <w:br w:type="page"/>
      </w:r>
      <w:r w:rsidRPr="00FF1A8F">
        <w:lastRenderedPageBreak/>
        <w:t>Signé :</w:t>
      </w:r>
      <w:r>
        <w:t> </w:t>
      </w:r>
      <w:r w:rsidRPr="00FF1A8F">
        <w:t xml:space="preserve">Descheemaeker, président, et </w:t>
      </w:r>
      <w:r>
        <w:t>Le Baron</w:t>
      </w:r>
      <w:r w:rsidRPr="00FF1A8F">
        <w:t>, greffier.</w:t>
      </w:r>
    </w:p>
    <w:p w:rsidR="00FD3E6F" w:rsidRDefault="00FD3E6F" w:rsidP="00B845C1">
      <w:pPr>
        <w:pStyle w:val="PS"/>
        <w:spacing w:after="360"/>
      </w:pPr>
      <w:r w:rsidRPr="00B16F88">
        <w:t>C</w:t>
      </w:r>
      <w:r>
        <w:t>ollationné, certifié conforme à la minute étant au greffe de la Cour des comptes et délivré par moi, secrétaire général.</w:t>
      </w:r>
    </w:p>
    <w:p w:rsidR="00FD3E6F" w:rsidRPr="00C97B40" w:rsidRDefault="00FD3E6F" w:rsidP="00B20AC9">
      <w:pPr>
        <w:pStyle w:val="P0"/>
        <w:spacing w:before="120"/>
        <w:ind w:left="2268" w:right="-2" w:firstLine="3969"/>
        <w:jc w:val="center"/>
        <w:rPr>
          <w:b/>
          <w:bCs/>
        </w:rPr>
      </w:pPr>
      <w:r w:rsidRPr="00C97B40">
        <w:rPr>
          <w:b/>
          <w:bCs/>
        </w:rPr>
        <w:t>Pour le Secrétaire général</w:t>
      </w:r>
    </w:p>
    <w:p w:rsidR="00FD3E6F" w:rsidRPr="00C97B40" w:rsidRDefault="00FD3E6F" w:rsidP="00B20AC9">
      <w:pPr>
        <w:pStyle w:val="P0"/>
        <w:ind w:left="2268" w:right="-2" w:firstLine="3969"/>
        <w:jc w:val="center"/>
        <w:rPr>
          <w:b/>
          <w:bCs/>
        </w:rPr>
      </w:pPr>
      <w:proofErr w:type="gramStart"/>
      <w:r w:rsidRPr="00C97B40">
        <w:rPr>
          <w:b/>
          <w:bCs/>
        </w:rPr>
        <w:t>et</w:t>
      </w:r>
      <w:proofErr w:type="gramEnd"/>
      <w:r w:rsidRPr="00C97B40">
        <w:rPr>
          <w:b/>
          <w:bCs/>
        </w:rPr>
        <w:t xml:space="preserve"> par délégation,</w:t>
      </w:r>
    </w:p>
    <w:p w:rsidR="00FD3E6F" w:rsidRPr="00C97B40" w:rsidRDefault="00FD3E6F" w:rsidP="00B20AC9">
      <w:pPr>
        <w:pStyle w:val="P0"/>
        <w:spacing w:after="1080"/>
        <w:ind w:left="2268" w:firstLine="3969"/>
        <w:jc w:val="center"/>
        <w:rPr>
          <w:b/>
          <w:bCs/>
        </w:rPr>
      </w:pPr>
      <w:proofErr w:type="gramStart"/>
      <w:r w:rsidRPr="00C97B40">
        <w:rPr>
          <w:b/>
          <w:bCs/>
        </w:rPr>
        <w:t>le</w:t>
      </w:r>
      <w:proofErr w:type="gramEnd"/>
      <w:r w:rsidRPr="00C97B40">
        <w:rPr>
          <w:b/>
          <w:bCs/>
        </w:rPr>
        <w:t xml:space="preserve"> Chef du greffe contentieux</w:t>
      </w:r>
    </w:p>
    <w:p w:rsidR="00FD3E6F" w:rsidRPr="00C97B40" w:rsidRDefault="00FD3E6F" w:rsidP="00B20AC9">
      <w:pPr>
        <w:pStyle w:val="P0"/>
        <w:spacing w:after="120"/>
        <w:ind w:left="2268" w:firstLine="3969"/>
        <w:jc w:val="center"/>
        <w:rPr>
          <w:b/>
          <w:bCs/>
        </w:rPr>
      </w:pPr>
    </w:p>
    <w:p w:rsidR="00FD3E6F" w:rsidRPr="00C97B40" w:rsidRDefault="00FD3E6F" w:rsidP="00B20AC9">
      <w:pPr>
        <w:pStyle w:val="P0"/>
        <w:ind w:left="2268" w:right="-2" w:firstLine="4253"/>
        <w:jc w:val="center"/>
        <w:rPr>
          <w:b/>
          <w:bCs/>
        </w:rPr>
      </w:pPr>
      <w:r w:rsidRPr="00C97B40">
        <w:rPr>
          <w:b/>
          <w:bCs/>
        </w:rPr>
        <w:t>Daniel FEREZ</w:t>
      </w:r>
    </w:p>
    <w:sectPr w:rsidR="00FD3E6F" w:rsidRPr="00C97B40" w:rsidSect="006E4E3B">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E6F" w:rsidRDefault="00FD3E6F">
      <w:r>
        <w:separator/>
      </w:r>
    </w:p>
  </w:endnote>
  <w:endnote w:type="continuationSeparator" w:id="0">
    <w:p w:rsidR="00FD3E6F" w:rsidRDefault="00FD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E6F" w:rsidRDefault="00FD3E6F">
      <w:r>
        <w:separator/>
      </w:r>
    </w:p>
  </w:footnote>
  <w:footnote w:type="continuationSeparator" w:id="0">
    <w:p w:rsidR="00FD3E6F" w:rsidRDefault="00FD3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E6F" w:rsidRDefault="00FD3E6F">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CA62DE">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006"/>
    <w:rsid w:val="000010E2"/>
    <w:rsid w:val="000224BA"/>
    <w:rsid w:val="00031BB2"/>
    <w:rsid w:val="00073E24"/>
    <w:rsid w:val="000F3E36"/>
    <w:rsid w:val="001B699C"/>
    <w:rsid w:val="001C3DCC"/>
    <w:rsid w:val="00247A57"/>
    <w:rsid w:val="0029347A"/>
    <w:rsid w:val="002B3A80"/>
    <w:rsid w:val="002E50BC"/>
    <w:rsid w:val="00310544"/>
    <w:rsid w:val="003120D8"/>
    <w:rsid w:val="003153B6"/>
    <w:rsid w:val="003A6CFF"/>
    <w:rsid w:val="003B5907"/>
    <w:rsid w:val="003D4A3B"/>
    <w:rsid w:val="0042713D"/>
    <w:rsid w:val="00433150"/>
    <w:rsid w:val="00457B1D"/>
    <w:rsid w:val="00484742"/>
    <w:rsid w:val="004A0715"/>
    <w:rsid w:val="004B4B6C"/>
    <w:rsid w:val="004C07E9"/>
    <w:rsid w:val="00503BCE"/>
    <w:rsid w:val="00506CB7"/>
    <w:rsid w:val="005A20FE"/>
    <w:rsid w:val="005A57B3"/>
    <w:rsid w:val="005B4595"/>
    <w:rsid w:val="005B60EC"/>
    <w:rsid w:val="00605D52"/>
    <w:rsid w:val="006D39BA"/>
    <w:rsid w:val="006E4E3B"/>
    <w:rsid w:val="006F7D9B"/>
    <w:rsid w:val="00707273"/>
    <w:rsid w:val="007072B0"/>
    <w:rsid w:val="00773087"/>
    <w:rsid w:val="007B53FF"/>
    <w:rsid w:val="007D0886"/>
    <w:rsid w:val="008A7029"/>
    <w:rsid w:val="008C3C3C"/>
    <w:rsid w:val="008D345F"/>
    <w:rsid w:val="0093710B"/>
    <w:rsid w:val="00945AD8"/>
    <w:rsid w:val="00956839"/>
    <w:rsid w:val="0095776A"/>
    <w:rsid w:val="009D46D0"/>
    <w:rsid w:val="00A001DD"/>
    <w:rsid w:val="00A379C1"/>
    <w:rsid w:val="00A65C17"/>
    <w:rsid w:val="00AD35C4"/>
    <w:rsid w:val="00AD662B"/>
    <w:rsid w:val="00B16F88"/>
    <w:rsid w:val="00B20AC9"/>
    <w:rsid w:val="00B42A90"/>
    <w:rsid w:val="00B845C1"/>
    <w:rsid w:val="00BE69A2"/>
    <w:rsid w:val="00C25E7C"/>
    <w:rsid w:val="00C431A0"/>
    <w:rsid w:val="00C501E7"/>
    <w:rsid w:val="00C6506E"/>
    <w:rsid w:val="00C965B2"/>
    <w:rsid w:val="00C97B40"/>
    <w:rsid w:val="00CA5038"/>
    <w:rsid w:val="00CA62DE"/>
    <w:rsid w:val="00CC482B"/>
    <w:rsid w:val="00D51044"/>
    <w:rsid w:val="00D53083"/>
    <w:rsid w:val="00D632B0"/>
    <w:rsid w:val="00DA1C56"/>
    <w:rsid w:val="00DA4790"/>
    <w:rsid w:val="00DC7F92"/>
    <w:rsid w:val="00DE3FE9"/>
    <w:rsid w:val="00E0170F"/>
    <w:rsid w:val="00E87575"/>
    <w:rsid w:val="00E92A8F"/>
    <w:rsid w:val="00EA73FB"/>
    <w:rsid w:val="00EB7DD5"/>
    <w:rsid w:val="00EC677A"/>
    <w:rsid w:val="00EF675A"/>
    <w:rsid w:val="00F51FFB"/>
    <w:rsid w:val="00FB641C"/>
    <w:rsid w:val="00FD1A61"/>
    <w:rsid w:val="00FD3E6F"/>
    <w:rsid w:val="00FF1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FB"/>
    <w:rPr>
      <w:sz w:val="20"/>
      <w:szCs w:val="20"/>
    </w:rPr>
  </w:style>
  <w:style w:type="paragraph" w:styleId="Titre1">
    <w:name w:val="heading 1"/>
    <w:basedOn w:val="Normal"/>
    <w:next w:val="Normal"/>
    <w:link w:val="Titre1Car"/>
    <w:uiPriority w:val="99"/>
    <w:qFormat/>
    <w:rsid w:val="00F51FFB"/>
    <w:pPr>
      <w:spacing w:before="240"/>
      <w:outlineLvl w:val="0"/>
    </w:pPr>
    <w:rPr>
      <w:b/>
      <w:bCs/>
      <w:sz w:val="24"/>
      <w:szCs w:val="24"/>
      <w:u w:val="single"/>
    </w:rPr>
  </w:style>
  <w:style w:type="paragraph" w:styleId="Titre2">
    <w:name w:val="heading 2"/>
    <w:basedOn w:val="Normal"/>
    <w:next w:val="Normal"/>
    <w:link w:val="Titre2Car"/>
    <w:uiPriority w:val="99"/>
    <w:qFormat/>
    <w:rsid w:val="00F51FFB"/>
    <w:pPr>
      <w:spacing w:before="120"/>
      <w:outlineLvl w:val="1"/>
    </w:pPr>
    <w:rPr>
      <w:b/>
      <w:bCs/>
      <w:sz w:val="24"/>
      <w:szCs w:val="24"/>
    </w:rPr>
  </w:style>
  <w:style w:type="paragraph" w:styleId="Titre3">
    <w:name w:val="heading 3"/>
    <w:basedOn w:val="Normal"/>
    <w:next w:val="Retraitnormal"/>
    <w:link w:val="Titre3Car"/>
    <w:uiPriority w:val="99"/>
    <w:qFormat/>
    <w:rsid w:val="00F51FFB"/>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457B1D"/>
    <w:rPr>
      <w:rFonts w:ascii="Cambria" w:hAnsi="Cambria" w:cs="Cambria"/>
      <w:b/>
      <w:bCs/>
      <w:kern w:val="32"/>
      <w:sz w:val="32"/>
      <w:szCs w:val="32"/>
    </w:rPr>
  </w:style>
  <w:style w:type="character" w:customStyle="1" w:styleId="Titre2Car">
    <w:name w:val="Titre 2 Car"/>
    <w:basedOn w:val="Policepardfaut"/>
    <w:link w:val="Titre2"/>
    <w:uiPriority w:val="99"/>
    <w:semiHidden/>
    <w:rsid w:val="00457B1D"/>
    <w:rPr>
      <w:rFonts w:ascii="Cambria" w:hAnsi="Cambria" w:cs="Cambria"/>
      <w:b/>
      <w:bCs/>
      <w:i/>
      <w:iCs/>
      <w:sz w:val="28"/>
      <w:szCs w:val="28"/>
    </w:rPr>
  </w:style>
  <w:style w:type="character" w:customStyle="1" w:styleId="Titre3Car">
    <w:name w:val="Titre 3 Car"/>
    <w:basedOn w:val="Policepardfaut"/>
    <w:link w:val="Titre3"/>
    <w:uiPriority w:val="99"/>
    <w:semiHidden/>
    <w:rsid w:val="00457B1D"/>
    <w:rPr>
      <w:rFonts w:ascii="Cambria" w:hAnsi="Cambria" w:cs="Cambria"/>
      <w:b/>
      <w:bCs/>
      <w:sz w:val="26"/>
      <w:szCs w:val="26"/>
    </w:rPr>
  </w:style>
  <w:style w:type="paragraph" w:styleId="Retraitnormal">
    <w:name w:val="Normal Indent"/>
    <w:basedOn w:val="Normal"/>
    <w:uiPriority w:val="99"/>
    <w:rsid w:val="00F51FFB"/>
    <w:pPr>
      <w:ind w:left="708"/>
    </w:pPr>
  </w:style>
  <w:style w:type="paragraph" w:styleId="En-tte">
    <w:name w:val="header"/>
    <w:basedOn w:val="Normal"/>
    <w:link w:val="En-tteCar"/>
    <w:uiPriority w:val="99"/>
    <w:rsid w:val="00F51FFB"/>
    <w:pPr>
      <w:tabs>
        <w:tab w:val="center" w:pos="4819"/>
        <w:tab w:val="right" w:pos="9071"/>
      </w:tabs>
    </w:pPr>
  </w:style>
  <w:style w:type="character" w:customStyle="1" w:styleId="En-tteCar">
    <w:name w:val="En-tête Car"/>
    <w:basedOn w:val="Policepardfaut"/>
    <w:link w:val="En-tte"/>
    <w:uiPriority w:val="99"/>
    <w:semiHidden/>
    <w:rsid w:val="00457B1D"/>
    <w:rPr>
      <w:sz w:val="20"/>
      <w:szCs w:val="20"/>
    </w:rPr>
  </w:style>
  <w:style w:type="paragraph" w:customStyle="1" w:styleId="ET">
    <w:name w:val="ET"/>
    <w:basedOn w:val="Normal"/>
    <w:uiPriority w:val="99"/>
    <w:rsid w:val="00F51FFB"/>
    <w:rPr>
      <w:b/>
      <w:bCs/>
      <w:caps/>
      <w:sz w:val="24"/>
      <w:szCs w:val="24"/>
    </w:rPr>
  </w:style>
  <w:style w:type="paragraph" w:customStyle="1" w:styleId="OR">
    <w:name w:val="OR"/>
    <w:basedOn w:val="ET"/>
    <w:uiPriority w:val="99"/>
    <w:rsid w:val="00F51FFB"/>
    <w:pPr>
      <w:ind w:left="5670"/>
    </w:pPr>
    <w:rPr>
      <w:b w:val="0"/>
      <w:bCs w:val="0"/>
      <w:caps w:val="0"/>
    </w:rPr>
  </w:style>
  <w:style w:type="paragraph" w:customStyle="1" w:styleId="TI">
    <w:name w:val="TI"/>
    <w:basedOn w:val="OR"/>
    <w:uiPriority w:val="99"/>
    <w:rsid w:val="00F51FFB"/>
    <w:pPr>
      <w:ind w:left="1701"/>
      <w:jc w:val="center"/>
    </w:pPr>
    <w:rPr>
      <w:caps/>
      <w:u w:val="single"/>
    </w:rPr>
  </w:style>
  <w:style w:type="paragraph" w:customStyle="1" w:styleId="P0">
    <w:name w:val="P0"/>
    <w:basedOn w:val="ET"/>
    <w:link w:val="P0Car"/>
    <w:uiPriority w:val="99"/>
    <w:rsid w:val="00F51FFB"/>
    <w:pPr>
      <w:ind w:left="1701"/>
      <w:jc w:val="both"/>
    </w:pPr>
    <w:rPr>
      <w:b w:val="0"/>
      <w:bCs w:val="0"/>
      <w:caps w:val="0"/>
    </w:rPr>
  </w:style>
  <w:style w:type="paragraph" w:customStyle="1" w:styleId="EL">
    <w:name w:val="EL"/>
    <w:basedOn w:val="P0"/>
    <w:uiPriority w:val="99"/>
    <w:rsid w:val="00F51FFB"/>
    <w:pPr>
      <w:spacing w:after="240"/>
      <w:ind w:firstLine="1418"/>
    </w:pPr>
  </w:style>
  <w:style w:type="paragraph" w:customStyle="1" w:styleId="IN">
    <w:name w:val="IN"/>
    <w:basedOn w:val="P0"/>
    <w:uiPriority w:val="99"/>
    <w:rsid w:val="00F51FFB"/>
    <w:pPr>
      <w:ind w:left="0"/>
      <w:jc w:val="left"/>
    </w:pPr>
    <w:rPr>
      <w:i/>
      <w:iCs/>
      <w:sz w:val="16"/>
      <w:szCs w:val="16"/>
    </w:rPr>
  </w:style>
  <w:style w:type="paragraph" w:customStyle="1" w:styleId="RE">
    <w:name w:val="RE"/>
    <w:basedOn w:val="P0"/>
    <w:uiPriority w:val="99"/>
    <w:rsid w:val="00F51FFB"/>
    <w:pPr>
      <w:ind w:left="0"/>
    </w:pPr>
  </w:style>
  <w:style w:type="paragraph" w:customStyle="1" w:styleId="PE">
    <w:name w:val="PE"/>
    <w:basedOn w:val="IN"/>
    <w:uiPriority w:val="99"/>
    <w:rsid w:val="00F51FFB"/>
    <w:pPr>
      <w:keepNext/>
      <w:ind w:left="1701"/>
      <w:jc w:val="both"/>
    </w:pPr>
    <w:rPr>
      <w:i w:val="0"/>
      <w:iCs w:val="0"/>
      <w:sz w:val="24"/>
      <w:szCs w:val="24"/>
    </w:rPr>
  </w:style>
  <w:style w:type="paragraph" w:customStyle="1" w:styleId="PC">
    <w:name w:val="PC"/>
    <w:basedOn w:val="IN"/>
    <w:uiPriority w:val="99"/>
    <w:rsid w:val="00F51FFB"/>
    <w:pPr>
      <w:spacing w:after="480"/>
      <w:ind w:left="2268" w:firstLine="1134"/>
      <w:jc w:val="both"/>
    </w:pPr>
    <w:rPr>
      <w:i w:val="0"/>
      <w:iCs w:val="0"/>
      <w:sz w:val="24"/>
      <w:szCs w:val="24"/>
    </w:rPr>
  </w:style>
  <w:style w:type="paragraph" w:customStyle="1" w:styleId="PS">
    <w:name w:val="PS"/>
    <w:basedOn w:val="IN"/>
    <w:uiPriority w:val="99"/>
    <w:rsid w:val="00F51FFB"/>
    <w:pPr>
      <w:spacing w:after="480"/>
      <w:ind w:left="1701" w:firstLine="1134"/>
      <w:jc w:val="both"/>
    </w:pPr>
    <w:rPr>
      <w:i w:val="0"/>
      <w:iCs w:val="0"/>
      <w:sz w:val="24"/>
      <w:szCs w:val="24"/>
    </w:rPr>
  </w:style>
  <w:style w:type="paragraph" w:customStyle="1" w:styleId="AR">
    <w:name w:val="AR"/>
    <w:basedOn w:val="IN"/>
    <w:uiPriority w:val="99"/>
    <w:rsid w:val="00F51FFB"/>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Corpsdetexte">
    <w:name w:val="Body Text"/>
    <w:basedOn w:val="Normal"/>
    <w:link w:val="CorpsdetexteCar"/>
    <w:uiPriority w:val="99"/>
    <w:rsid w:val="00073E24"/>
    <w:pPr>
      <w:spacing w:before="200" w:after="200"/>
      <w:ind w:left="567" w:firstLine="1134"/>
      <w:jc w:val="both"/>
    </w:pPr>
    <w:rPr>
      <w:sz w:val="24"/>
      <w:szCs w:val="24"/>
    </w:rPr>
  </w:style>
  <w:style w:type="character" w:customStyle="1" w:styleId="CorpsdetexteCar">
    <w:name w:val="Corps de texte Car"/>
    <w:basedOn w:val="Policepardfaut"/>
    <w:link w:val="Corpsdetexte"/>
    <w:uiPriority w:val="99"/>
    <w:semiHidden/>
    <w:rsid w:val="00457B1D"/>
    <w:rPr>
      <w:sz w:val="20"/>
      <w:szCs w:val="20"/>
    </w:rPr>
  </w:style>
  <w:style w:type="paragraph" w:customStyle="1" w:styleId="1pageChambre">
    <w:name w:val="1°page Chambre"/>
    <w:basedOn w:val="Normal"/>
    <w:uiPriority w:val="99"/>
    <w:rsid w:val="00073E24"/>
    <w:pPr>
      <w:keepNext/>
      <w:jc w:val="center"/>
      <w:outlineLvl w:val="5"/>
    </w:pPr>
    <w:rPr>
      <w:b/>
      <w:bCs/>
      <w:smallCaps/>
      <w:spacing w:val="6"/>
      <w:sz w:val="24"/>
      <w:szCs w:val="24"/>
    </w:rPr>
  </w:style>
  <w:style w:type="paragraph" w:customStyle="1" w:styleId="1pageCour">
    <w:name w:val="1°page Cour"/>
    <w:basedOn w:val="Normal"/>
    <w:uiPriority w:val="99"/>
    <w:rsid w:val="00073E24"/>
    <w:pPr>
      <w:jc w:val="center"/>
    </w:pPr>
    <w:rPr>
      <w:b/>
      <w:bCs/>
      <w:smallCaps/>
      <w:sz w:val="28"/>
      <w:szCs w:val="28"/>
    </w:rPr>
  </w:style>
  <w:style w:type="paragraph" w:customStyle="1" w:styleId="Style">
    <w:name w:val="Style"/>
    <w:basedOn w:val="Normal"/>
    <w:uiPriority w:val="99"/>
    <w:rsid w:val="00073E24"/>
    <w:pPr>
      <w:spacing w:after="160" w:line="240" w:lineRule="exact"/>
    </w:pPr>
    <w:rPr>
      <w:rFonts w:ascii="Tahoma" w:hAnsi="Tahoma" w:cs="Tahoma"/>
      <w:lang w:val="en-US" w:eastAsia="en-US"/>
    </w:rPr>
  </w:style>
  <w:style w:type="character" w:customStyle="1" w:styleId="P0Car">
    <w:name w:val="P0 Car"/>
    <w:basedOn w:val="Policepardfaut"/>
    <w:link w:val="P0"/>
    <w:uiPriority w:val="99"/>
    <w:rsid w:val="00001006"/>
    <w:rPr>
      <w:sz w:val="24"/>
      <w:szCs w:val="24"/>
      <w:lang w:val="fr-FR" w:eastAsia="fr-FR"/>
    </w:rPr>
  </w:style>
  <w:style w:type="table" w:styleId="Grilledutableau">
    <w:name w:val="Table Grid"/>
    <w:basedOn w:val="TableauNormal"/>
    <w:uiPriority w:val="99"/>
    <w:rsid w:val="0000100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037708">
      <w:marLeft w:val="0"/>
      <w:marRight w:val="0"/>
      <w:marTop w:val="0"/>
      <w:marBottom w:val="0"/>
      <w:divBdr>
        <w:top w:val="none" w:sz="0" w:space="0" w:color="auto"/>
        <w:left w:val="none" w:sz="0" w:space="0" w:color="auto"/>
        <w:bottom w:val="none" w:sz="0" w:space="0" w:color="auto"/>
        <w:right w:val="none" w:sz="0" w:space="0" w:color="auto"/>
      </w:divBdr>
    </w:div>
    <w:div w:id="20740377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4114</Characters>
  <Application>Microsoft Office Word</Application>
  <DocSecurity>0</DocSecurity>
  <Lines>34</Lines>
  <Paragraphs>9</Paragraphs>
  <ScaleCrop>false</ScaleCrop>
  <Company>COUR DES COMPTES</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2012-01-13T09:37:00Z</cp:lastPrinted>
  <dcterms:created xsi:type="dcterms:W3CDTF">2012-11-27T16:52:00Z</dcterms:created>
  <dcterms:modified xsi:type="dcterms:W3CDTF">2012-11-27T16:52:00Z</dcterms:modified>
</cp:coreProperties>
</file>