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2F3" w:rsidRDefault="00EB52F3" w:rsidP="00BB2027">
      <w:pPr>
        <w:pStyle w:val="ET"/>
      </w:pPr>
      <w:bookmarkStart w:id="0" w:name="_GoBack"/>
      <w:bookmarkEnd w:id="0"/>
      <w:r>
        <w:t>COUR DES COMPTES</w:t>
      </w:r>
    </w:p>
    <w:p w:rsidR="00EB52F3" w:rsidRDefault="00EB52F3" w:rsidP="00BB2027">
      <w:pPr>
        <w:pStyle w:val="ET"/>
      </w:pPr>
      <w:r>
        <w:tab/>
        <w:t xml:space="preserve">  ------- </w:t>
      </w:r>
    </w:p>
    <w:p w:rsidR="00EB52F3" w:rsidRDefault="00EB52F3" w:rsidP="00BB2027">
      <w:pPr>
        <w:pStyle w:val="ET"/>
      </w:pPr>
      <w:r>
        <w:t>TROISIEME CHAMBRE</w:t>
      </w:r>
    </w:p>
    <w:p w:rsidR="00EB52F3" w:rsidRDefault="00EB52F3" w:rsidP="00BB2027">
      <w:pPr>
        <w:pStyle w:val="ET"/>
      </w:pPr>
      <w:r>
        <w:tab/>
        <w:t xml:space="preserve">  ------- </w:t>
      </w:r>
    </w:p>
    <w:p w:rsidR="00EB52F3" w:rsidRDefault="00EB52F3" w:rsidP="00BB2027">
      <w:pPr>
        <w:pStyle w:val="ET"/>
      </w:pPr>
      <w:r>
        <w:t xml:space="preserve">QUATRIEME SECTION </w:t>
      </w:r>
    </w:p>
    <w:p w:rsidR="00EB52F3" w:rsidRDefault="00EB52F3" w:rsidP="00BB2027">
      <w:pPr>
        <w:pStyle w:val="ET"/>
        <w:spacing w:after="120"/>
      </w:pPr>
      <w:r>
        <w:tab/>
        <w:t xml:space="preserve">  ------- </w:t>
      </w:r>
    </w:p>
    <w:p w:rsidR="00EB52F3" w:rsidRPr="00BB2027" w:rsidRDefault="00EB52F3" w:rsidP="00873BCB">
      <w:pPr>
        <w:pStyle w:val="En-tte"/>
        <w:spacing w:after="240"/>
        <w:rPr>
          <w:b/>
          <w:bCs/>
          <w:i/>
          <w:iCs/>
        </w:rPr>
      </w:pPr>
      <w:r>
        <w:t xml:space="preserve">              </w:t>
      </w:r>
      <w:r w:rsidRPr="00BB2027">
        <w:rPr>
          <w:b/>
          <w:bCs/>
          <w:i/>
          <w:iCs/>
        </w:rPr>
        <w:t>Arrêt n° 63131</w:t>
      </w:r>
    </w:p>
    <w:p w:rsidR="00EB52F3" w:rsidRDefault="00EB52F3" w:rsidP="00BB2027">
      <w:pPr>
        <w:pStyle w:val="OR"/>
      </w:pPr>
      <w:r>
        <w:t>GESTION DE FAIT DES DENIERS</w:t>
      </w:r>
      <w:r>
        <w:br/>
        <w:t>DU MUSEE NATIONAL DU SPORT</w:t>
      </w:r>
    </w:p>
    <w:p w:rsidR="00EB52F3" w:rsidRDefault="00EB52F3" w:rsidP="00BB2027">
      <w:pPr>
        <w:pStyle w:val="OR"/>
      </w:pPr>
    </w:p>
    <w:p w:rsidR="00EB52F3" w:rsidRDefault="00EB52F3" w:rsidP="00BB2027">
      <w:pPr>
        <w:pStyle w:val="OR"/>
      </w:pPr>
    </w:p>
    <w:p w:rsidR="00EB52F3" w:rsidRDefault="00EB52F3" w:rsidP="00BB2027">
      <w:pPr>
        <w:pStyle w:val="OR"/>
      </w:pPr>
      <w:r>
        <w:t>Rapport n° 2012-047-0</w:t>
      </w:r>
    </w:p>
    <w:p w:rsidR="00EB52F3" w:rsidRDefault="00EB52F3" w:rsidP="00BB2027">
      <w:pPr>
        <w:pStyle w:val="OR"/>
      </w:pPr>
    </w:p>
    <w:p w:rsidR="00EB52F3" w:rsidRDefault="00EB52F3" w:rsidP="00CD4B95">
      <w:pPr>
        <w:pStyle w:val="OR"/>
      </w:pPr>
      <w:r>
        <w:t xml:space="preserve">Audience publique </w:t>
      </w:r>
    </w:p>
    <w:p w:rsidR="00EB52F3" w:rsidRDefault="00EB52F3" w:rsidP="00873BCB">
      <w:pPr>
        <w:pStyle w:val="OR"/>
      </w:pPr>
      <w:proofErr w:type="gramStart"/>
      <w:r>
        <w:t>et</w:t>
      </w:r>
      <w:proofErr w:type="gramEnd"/>
      <w:r>
        <w:t xml:space="preserve"> délibéré du 13 février 2012</w:t>
      </w:r>
    </w:p>
    <w:p w:rsidR="00EB52F3" w:rsidRDefault="00EB52F3" w:rsidP="00BB2027">
      <w:pPr>
        <w:pStyle w:val="OR"/>
      </w:pPr>
    </w:p>
    <w:p w:rsidR="00EB52F3" w:rsidRDefault="00EB52F3" w:rsidP="00873BCB">
      <w:pPr>
        <w:pStyle w:val="OR"/>
        <w:spacing w:after="480"/>
      </w:pPr>
      <w:r>
        <w:t>Lecture publique du 8 mars 2012</w:t>
      </w:r>
    </w:p>
    <w:p w:rsidR="00EB52F3" w:rsidRDefault="00EB52F3" w:rsidP="00306A73">
      <w:pPr>
        <w:pStyle w:val="P0"/>
        <w:spacing w:after="240"/>
        <w:ind w:left="540" w:right="-284" w:firstLine="594"/>
        <w:jc w:val="center"/>
      </w:pPr>
      <w:r>
        <w:t>REPUBLIQUE FRANÇAISE</w:t>
      </w:r>
    </w:p>
    <w:p w:rsidR="00EB52F3" w:rsidRDefault="00EB52F3" w:rsidP="00306A73">
      <w:pPr>
        <w:pStyle w:val="P0"/>
        <w:spacing w:after="360"/>
        <w:ind w:left="539" w:right="-284" w:firstLine="594"/>
        <w:jc w:val="center"/>
      </w:pPr>
      <w:r>
        <w:t>AU NOM DU PEUPLE FRANÇAIS</w:t>
      </w:r>
    </w:p>
    <w:p w:rsidR="00EB52F3" w:rsidRDefault="00EB52F3" w:rsidP="00F4770A">
      <w:pPr>
        <w:pStyle w:val="P0"/>
        <w:spacing w:after="480"/>
        <w:ind w:left="539" w:right="-284" w:firstLine="595"/>
        <w:jc w:val="center"/>
      </w:pPr>
      <w:r>
        <w:t>LA COUR DES COMPTES a rendu l’arrêt suivant :</w:t>
      </w:r>
    </w:p>
    <w:p w:rsidR="00EB52F3" w:rsidRPr="00BB2027" w:rsidRDefault="00EB52F3" w:rsidP="00BB2027">
      <w:pPr>
        <w:pStyle w:val="PS"/>
        <w:rPr>
          <w:lang w:val="pt-BR"/>
        </w:rPr>
      </w:pPr>
      <w:r w:rsidRPr="00BB2027">
        <w:rPr>
          <w:lang w:val="pt-BR"/>
        </w:rPr>
        <w:t>LA COUR,</w:t>
      </w:r>
    </w:p>
    <w:p w:rsidR="00EB52F3" w:rsidRDefault="00EB52F3" w:rsidP="006D4AE9">
      <w:pPr>
        <w:pStyle w:val="PS"/>
        <w:spacing w:after="360"/>
      </w:pPr>
      <w:r w:rsidRPr="008A57A1">
        <w:t>Vu l</w:t>
      </w:r>
      <w:r>
        <w:t xml:space="preserve">’arrêt n° 61032 du 26 mai 2011 par lequel la Cour a, d’une part, </w:t>
      </w:r>
      <w:r w:rsidRPr="00851F00">
        <w:t>déclaré M.</w:t>
      </w:r>
      <w:r>
        <w:t> </w:t>
      </w:r>
      <w:r w:rsidRPr="009F7A39">
        <w:rPr>
          <w:caps/>
        </w:rPr>
        <w:t>X</w:t>
      </w:r>
      <w:r w:rsidRPr="00851F00">
        <w:t xml:space="preserve"> comptable de fait des deniers du </w:t>
      </w:r>
      <w:r w:rsidRPr="009070A2">
        <w:rPr>
          <w:caps/>
        </w:rPr>
        <w:t>musée national du sport</w:t>
      </w:r>
      <w:r w:rsidRPr="00851F00">
        <w:t xml:space="preserve"> à raison d’opérations réalisées par la S</w:t>
      </w:r>
      <w:r>
        <w:t xml:space="preserve">arl </w:t>
      </w:r>
      <w:r w:rsidRPr="00851F00">
        <w:t>Assaï entre le 1</w:t>
      </w:r>
      <w:r w:rsidRPr="00851F00">
        <w:rPr>
          <w:vertAlign w:val="superscript"/>
        </w:rPr>
        <w:t>er</w:t>
      </w:r>
      <w:r>
        <w:rPr>
          <w:vertAlign w:val="superscript"/>
        </w:rPr>
        <w:t> </w:t>
      </w:r>
      <w:r w:rsidRPr="00851F00">
        <w:t>avr</w:t>
      </w:r>
      <w:r>
        <w:t>il 2005 et le 30 septembre 2007</w:t>
      </w:r>
      <w:r w:rsidRPr="00851F00">
        <w:t xml:space="preserve"> dans le cadre d’un contrat </w:t>
      </w:r>
      <w:r>
        <w:t xml:space="preserve">de mandat </w:t>
      </w:r>
      <w:r w:rsidRPr="00851F00">
        <w:t>conclu le 10</w:t>
      </w:r>
      <w:r>
        <w:t> </w:t>
      </w:r>
      <w:r w:rsidRPr="00851F00">
        <w:t>mars</w:t>
      </w:r>
      <w:r>
        <w:t> </w:t>
      </w:r>
      <w:r w:rsidRPr="00851F00">
        <w:t xml:space="preserve">2005 par </w:t>
      </w:r>
      <w:r>
        <w:t xml:space="preserve">le musée avec </w:t>
      </w:r>
      <w:r w:rsidRPr="00851F00">
        <w:t>cette entreprise</w:t>
      </w:r>
      <w:r>
        <w:t xml:space="preserve">, et, d’autre part, </w:t>
      </w:r>
      <w:r w:rsidRPr="00851F00">
        <w:t>lui a demandé de produire</w:t>
      </w:r>
      <w:r>
        <w:t xml:space="preserve"> </w:t>
      </w:r>
      <w:r w:rsidRPr="00851F00">
        <w:t xml:space="preserve">un compte retraçant, tant en recettes qu’en dépenses, la totalité des opérations effectuées au moyen des fonds publics en cause, </w:t>
      </w:r>
      <w:r>
        <w:t>ainsi qu’</w:t>
      </w:r>
      <w:r w:rsidRPr="00851F00">
        <w:t>une attestation de la reconnaissance par le conseil d’administration du musée de l’utilité publique des dépenses de la gestion de fait</w:t>
      </w:r>
      <w:r>
        <w:t> ;</w:t>
      </w:r>
    </w:p>
    <w:p w:rsidR="00EB52F3" w:rsidRPr="008A57A1" w:rsidRDefault="00EB52F3" w:rsidP="006D4AE9">
      <w:pPr>
        <w:pStyle w:val="PS"/>
        <w:spacing w:after="360"/>
      </w:pPr>
      <w:bookmarkStart w:id="1" w:name="term0"/>
      <w:r w:rsidRPr="008A57A1">
        <w:t>Vu le code des juridictions financières ;</w:t>
      </w:r>
    </w:p>
    <w:p w:rsidR="00EB52F3" w:rsidRPr="008A57A1" w:rsidRDefault="00EB52F3" w:rsidP="006D4AE9">
      <w:pPr>
        <w:pStyle w:val="PS"/>
        <w:spacing w:after="360"/>
      </w:pPr>
      <w:r w:rsidRPr="008A57A1">
        <w:t>Vu l'article 60 de la loi de finances n°</w:t>
      </w:r>
      <w:r>
        <w:t> </w:t>
      </w:r>
      <w:r w:rsidRPr="008A57A1">
        <w:t>63-156 du 23</w:t>
      </w:r>
      <w:r>
        <w:t> </w:t>
      </w:r>
      <w:r w:rsidRPr="008A57A1">
        <w:t>février</w:t>
      </w:r>
      <w:r>
        <w:t> </w:t>
      </w:r>
      <w:r w:rsidRPr="008A57A1">
        <w:t>1963</w:t>
      </w:r>
      <w:r>
        <w:t xml:space="preserve"> modifiée</w:t>
      </w:r>
      <w:r w:rsidRPr="008A57A1">
        <w:t>, et</w:t>
      </w:r>
      <w:r>
        <w:t> </w:t>
      </w:r>
      <w:r w:rsidRPr="008A57A1">
        <w:t>notamment son paragraphe XI ;</w:t>
      </w:r>
    </w:p>
    <w:p w:rsidR="00EB52F3" w:rsidRDefault="00EB52F3" w:rsidP="006D4AE9">
      <w:pPr>
        <w:pStyle w:val="PS"/>
      </w:pPr>
      <w:r>
        <w:t xml:space="preserve">Vu les réponses de M. X adressées à la Cour le 21 décembre 2011, comprenant un compte de la gestion de fait et ses pièces justificatives, ainsi qu’une attestation de reconnaissance de l’utilité publique des dépenses par le conseil d’administration de l’établissement en date du 10 novembre 2011, ensemble les justifications complémentaires produites le 9 févier 2012 ; </w:t>
      </w:r>
    </w:p>
    <w:bookmarkEnd w:id="1"/>
    <w:p w:rsidR="00EB52F3" w:rsidRPr="009F7A39" w:rsidRDefault="00EB52F3" w:rsidP="006D4AE9">
      <w:pPr>
        <w:pStyle w:val="PS"/>
        <w:spacing w:after="0"/>
        <w:ind w:hanging="1134"/>
        <w:rPr>
          <w:sz w:val="16"/>
          <w:szCs w:val="16"/>
        </w:rPr>
      </w:pPr>
      <w:r>
        <w:fldChar w:fldCharType="begin"/>
      </w:r>
      <w:r>
        <w:fldChar w:fldCharType="end"/>
      </w:r>
    </w:p>
    <w:p w:rsidR="00EB52F3" w:rsidRDefault="00EB52F3">
      <w:pPr>
        <w:pStyle w:val="P0"/>
        <w:sectPr w:rsidR="00EB52F3">
          <w:pgSz w:w="11907" w:h="16840"/>
          <w:pgMar w:top="1134" w:right="1134" w:bottom="1134" w:left="567" w:header="720" w:footer="720" w:gutter="0"/>
          <w:cols w:space="720"/>
        </w:sectPr>
      </w:pPr>
    </w:p>
    <w:p w:rsidR="00EB52F3" w:rsidRPr="008A57A1" w:rsidRDefault="00EB52F3" w:rsidP="009F7A39">
      <w:pPr>
        <w:pStyle w:val="PS"/>
      </w:pPr>
      <w:r w:rsidRPr="008A57A1">
        <w:lastRenderedPageBreak/>
        <w:t>Vu le rapport à fin d'arrêt n°</w:t>
      </w:r>
      <w:r>
        <w:t> </w:t>
      </w:r>
      <w:r w:rsidRPr="008A57A1">
        <w:t>201</w:t>
      </w:r>
      <w:r>
        <w:t>2</w:t>
      </w:r>
      <w:r w:rsidRPr="008A57A1">
        <w:t>-</w:t>
      </w:r>
      <w:r>
        <w:t>047</w:t>
      </w:r>
      <w:r w:rsidRPr="008A57A1">
        <w:t>-0 de M.</w:t>
      </w:r>
      <w:r>
        <w:t> </w:t>
      </w:r>
      <w:r w:rsidRPr="008A57A1">
        <w:t>Joël Montarnal, conseil</w:t>
      </w:r>
      <w:r>
        <w:t>ler référendaire, transmis le 17 janvier 2012</w:t>
      </w:r>
      <w:r w:rsidRPr="008A57A1">
        <w:t xml:space="preserve"> au Procureur général de la République ;</w:t>
      </w:r>
    </w:p>
    <w:p w:rsidR="00EB52F3" w:rsidRPr="008A57A1" w:rsidRDefault="00EB52F3" w:rsidP="007244CA">
      <w:pPr>
        <w:pStyle w:val="PS"/>
      </w:pPr>
      <w:r w:rsidRPr="008A57A1">
        <w:t xml:space="preserve">Vu les conclusions n° </w:t>
      </w:r>
      <w:r>
        <w:t>91</w:t>
      </w:r>
      <w:r w:rsidRPr="008A57A1">
        <w:t xml:space="preserve"> en date du </w:t>
      </w:r>
      <w:r>
        <w:t xml:space="preserve">7 février 2012 </w:t>
      </w:r>
      <w:r w:rsidRPr="008A57A1">
        <w:t>du Pro</w:t>
      </w:r>
      <w:r>
        <w:t>cureur général de la République </w:t>
      </w:r>
      <w:r w:rsidRPr="008A57A1">
        <w:t>;</w:t>
      </w:r>
    </w:p>
    <w:p w:rsidR="00EB52F3" w:rsidRPr="003C0A79" w:rsidRDefault="00EB52F3" w:rsidP="00E75549">
      <w:pPr>
        <w:pStyle w:val="PS"/>
      </w:pPr>
      <w:r w:rsidRPr="003C0A79">
        <w:t xml:space="preserve">Vu la </w:t>
      </w:r>
      <w:r>
        <w:t>communication</w:t>
      </w:r>
      <w:r w:rsidRPr="003C0A79">
        <w:t xml:space="preserve"> en date du</w:t>
      </w:r>
      <w:r>
        <w:t xml:space="preserve"> </w:t>
      </w:r>
      <w:r w:rsidRPr="004F79E7">
        <w:t>25</w:t>
      </w:r>
      <w:r>
        <w:t> </w:t>
      </w:r>
      <w:r w:rsidRPr="004F79E7">
        <w:t>janvier</w:t>
      </w:r>
      <w:r>
        <w:t> </w:t>
      </w:r>
      <w:r w:rsidRPr="004F79E7">
        <w:t>2012</w:t>
      </w:r>
      <w:r w:rsidRPr="003C0A79">
        <w:rPr>
          <w:i/>
          <w:iCs/>
        </w:rPr>
        <w:t xml:space="preserve"> </w:t>
      </w:r>
      <w:r w:rsidRPr="003C0A79">
        <w:t>informant M.</w:t>
      </w:r>
      <w:r>
        <w:t> </w:t>
      </w:r>
      <w:r w:rsidRPr="003C0A79">
        <w:t>X de la tenue de l'audience publique et de la possibilité d'y présenter ses observations ;</w:t>
      </w:r>
    </w:p>
    <w:p w:rsidR="00EB52F3" w:rsidRPr="008A57A1" w:rsidRDefault="00EB52F3" w:rsidP="00873BCB">
      <w:pPr>
        <w:pStyle w:val="PS"/>
      </w:pPr>
      <w:r>
        <w:t xml:space="preserve">Vu la communication en date du </w:t>
      </w:r>
      <w:r w:rsidRPr="004F79E7">
        <w:t>31 janvier 2012</w:t>
      </w:r>
      <w:r>
        <w:rPr>
          <w:i/>
          <w:iCs/>
        </w:rPr>
        <w:t xml:space="preserve"> </w:t>
      </w:r>
      <w:r>
        <w:t xml:space="preserve">transmettant </w:t>
      </w:r>
      <w:r w:rsidRPr="008A57A1">
        <w:t>à M.</w:t>
      </w:r>
      <w:r>
        <w:t> </w:t>
      </w:r>
      <w:r w:rsidRPr="008A57A1">
        <w:t>X le rapport à fin d'arrêt n°</w:t>
      </w:r>
      <w:r>
        <w:t> 2012</w:t>
      </w:r>
      <w:r w:rsidRPr="008A57A1">
        <w:t>-</w:t>
      </w:r>
      <w:r>
        <w:t>047</w:t>
      </w:r>
      <w:r w:rsidRPr="008A57A1">
        <w:t>-0</w:t>
      </w:r>
      <w:r>
        <w:t xml:space="preserve"> </w:t>
      </w:r>
      <w:r w:rsidRPr="008A57A1">
        <w:t>et les conclusions du ministère public ;</w:t>
      </w:r>
    </w:p>
    <w:p w:rsidR="00EB52F3" w:rsidRPr="008A57A1" w:rsidRDefault="00EB52F3" w:rsidP="00E75549">
      <w:pPr>
        <w:pStyle w:val="PS"/>
      </w:pPr>
      <w:r w:rsidRPr="008A57A1">
        <w:t xml:space="preserve">Vu la feuille de présence à l'audience publique qui s'est tenue le </w:t>
      </w:r>
      <w:r>
        <w:t>13 février 2012</w:t>
      </w:r>
      <w:r w:rsidRPr="008A57A1">
        <w:t xml:space="preserve">, attestant que M. X </w:t>
      </w:r>
      <w:r>
        <w:t>s’est présenté</w:t>
      </w:r>
      <w:r w:rsidRPr="008A57A1">
        <w:t xml:space="preserve"> à celle-ci</w:t>
      </w:r>
      <w:r>
        <w:t xml:space="preserve"> </w:t>
      </w:r>
      <w:r w:rsidRPr="008A57A1">
        <w:t>;</w:t>
      </w:r>
    </w:p>
    <w:p w:rsidR="00EB52F3" w:rsidRPr="008A57A1" w:rsidRDefault="00EB52F3" w:rsidP="00873BCB">
      <w:pPr>
        <w:pStyle w:val="PS"/>
      </w:pPr>
      <w:r w:rsidRPr="008A57A1">
        <w:t>Après avoir entendu en audience publique M.</w:t>
      </w:r>
      <w:r>
        <w:t> </w:t>
      </w:r>
      <w:r w:rsidRPr="008A57A1">
        <w:t>Joël Montarnal, conseiller référendaire, en son rapport, et M.</w:t>
      </w:r>
      <w:r>
        <w:t> Christian Michaut</w:t>
      </w:r>
      <w:r w:rsidRPr="008A57A1">
        <w:t>, avocat général, en ses conclusions orales, M.</w:t>
      </w:r>
      <w:r>
        <w:t xml:space="preserve"> X </w:t>
      </w:r>
      <w:r w:rsidRPr="008A57A1">
        <w:t xml:space="preserve">ayant présenté </w:t>
      </w:r>
      <w:r>
        <w:t>ses</w:t>
      </w:r>
      <w:r w:rsidRPr="008A57A1">
        <w:t xml:space="preserve"> observations et ayant eu la parole en dernier ;</w:t>
      </w:r>
    </w:p>
    <w:p w:rsidR="00EB52F3" w:rsidRPr="008A57A1" w:rsidRDefault="00EB52F3" w:rsidP="00873BCB">
      <w:pPr>
        <w:pStyle w:val="PS"/>
      </w:pPr>
      <w:r w:rsidRPr="008A57A1">
        <w:t>Après avoir délibéré hors la présence du rapporteur et du représentant du</w:t>
      </w:r>
      <w:r>
        <w:t xml:space="preserve"> </w:t>
      </w:r>
      <w:r w:rsidRPr="008A57A1">
        <w:t>ministère public, M.</w:t>
      </w:r>
      <w:r>
        <w:t> </w:t>
      </w:r>
      <w:r w:rsidRPr="008A57A1">
        <w:t>Pascal Duchadeuil, réviseur, étant entendu en ses observations ;</w:t>
      </w:r>
    </w:p>
    <w:p w:rsidR="00EB52F3" w:rsidRPr="00E75549" w:rsidRDefault="00EB52F3" w:rsidP="009F7A39">
      <w:pPr>
        <w:pStyle w:val="PS"/>
        <w:rPr>
          <w:b/>
          <w:bCs/>
        </w:rPr>
      </w:pPr>
      <w:r>
        <w:rPr>
          <w:b/>
          <w:bCs/>
        </w:rPr>
        <w:tab/>
      </w:r>
      <w:r w:rsidRPr="00E75549">
        <w:rPr>
          <w:b/>
          <w:bCs/>
        </w:rPr>
        <w:t>1. Sur la ligne de compte</w:t>
      </w:r>
    </w:p>
    <w:p w:rsidR="00EB52F3" w:rsidRPr="009070A2" w:rsidRDefault="00EB52F3" w:rsidP="00873BCB">
      <w:pPr>
        <w:pStyle w:val="PS"/>
      </w:pPr>
      <w:r w:rsidRPr="009070A2">
        <w:t>Attendu que M. X a satisfait à son obligation de produire le compte de sa gestion et la décision de l’organe délibérant sur l’utilité publique des dépenses ;</w:t>
      </w:r>
    </w:p>
    <w:p w:rsidR="00EB52F3" w:rsidRPr="009070A2" w:rsidRDefault="00EB52F3" w:rsidP="009F7A39">
      <w:pPr>
        <w:pStyle w:val="PS"/>
      </w:pPr>
      <w:r w:rsidRPr="009070A2">
        <w:t>Considérant que les recettes de la gestion de fait, obtenues au titre des recettes commerciales et du mécénat, s’élèvent à un montant total de 186 403,09 € ;</w:t>
      </w:r>
    </w:p>
    <w:p w:rsidR="00EB52F3" w:rsidRPr="009070A2" w:rsidRDefault="00EB52F3" w:rsidP="00E75549">
      <w:pPr>
        <w:pStyle w:val="PS"/>
      </w:pPr>
      <w:r w:rsidRPr="009070A2">
        <w:t>Considérant que les dépenses de la gestion de fait comprennent des achats auprès de fournisseurs pour un montant de 74 348,44 €, appuyées par les factures correspondantes, ainsi que la rémunération de diverses personnes engagées dans le cadre de contrats de travail pour un montant de 84 735,94 € ; que ces dépenses peuvent être allouées au compte de la gestion de fait ;</w:t>
      </w:r>
    </w:p>
    <w:p w:rsidR="00EB52F3" w:rsidRPr="009070A2" w:rsidRDefault="00EB52F3" w:rsidP="00E75549">
      <w:pPr>
        <w:pStyle w:val="PS"/>
      </w:pPr>
      <w:r w:rsidRPr="009070A2">
        <w:t>Considérant que le mandataire a accordé à l’occasion de stages des libéralités à des étudiants pour un montant total de 17 402,31 € ; que, dans les circonstances de l’espèce, ces dépenses peuvent être allouées au compte de la gestion de</w:t>
      </w:r>
      <w:r>
        <w:t xml:space="preserve"> </w:t>
      </w:r>
      <w:r w:rsidRPr="009070A2">
        <w:t>fait ;</w:t>
      </w:r>
    </w:p>
    <w:p w:rsidR="00EB52F3" w:rsidRPr="009070A2" w:rsidRDefault="00EB52F3" w:rsidP="00E75549">
      <w:pPr>
        <w:pStyle w:val="PS"/>
      </w:pPr>
      <w:r w:rsidRPr="009070A2">
        <w:lastRenderedPageBreak/>
        <w:t>Considérant que la convention de mandat autorisait le mandataire à</w:t>
      </w:r>
      <w:r>
        <w:t xml:space="preserve"> </w:t>
      </w:r>
      <w:r w:rsidRPr="009070A2">
        <w:t>imputer directement sa rémunération au compte de l’opération de mandat, soit un montant de</w:t>
      </w:r>
      <w:r>
        <w:t xml:space="preserve"> </w:t>
      </w:r>
      <w:r w:rsidRPr="009070A2">
        <w:t>19 413,77 € ; que le mandataire n’a pas été déclaré comptable de fait ; que, dans les circonstances de l’espèce, cette dépense peut être allouée au compte de la gestion de fait ;</w:t>
      </w:r>
    </w:p>
    <w:p w:rsidR="00EB52F3" w:rsidRPr="009070A2" w:rsidRDefault="00EB52F3" w:rsidP="00873BCB">
      <w:pPr>
        <w:pStyle w:val="PS"/>
      </w:pPr>
      <w:r w:rsidRPr="009070A2">
        <w:t>Considérant que les dépenses susceptibles d’être allouées s’élèvent en conséquence à</w:t>
      </w:r>
      <w:r>
        <w:t xml:space="preserve"> </w:t>
      </w:r>
      <w:r w:rsidRPr="009070A2">
        <w:t>un total de 195 900,46 €, soit un excédent de 9 497,37 € sur les recettes ; que toutefois le juge ne peut connaître d'une dépense supérieure au montant des deniers maniés dans le cadre d’une gestion occulte, cet excédent étant réputé constituer des fonds privés ; qu’il convient dès lors de ramener les dépenses au montant des recettes, soit 186 403,09 € ;</w:t>
      </w:r>
    </w:p>
    <w:p w:rsidR="00EB52F3" w:rsidRPr="00E75549" w:rsidRDefault="00EB52F3" w:rsidP="009F7A39">
      <w:pPr>
        <w:pStyle w:val="PS"/>
        <w:rPr>
          <w:b/>
          <w:bCs/>
        </w:rPr>
      </w:pPr>
      <w:r>
        <w:rPr>
          <w:b/>
          <w:bCs/>
        </w:rPr>
        <w:tab/>
        <w:t xml:space="preserve">2. </w:t>
      </w:r>
      <w:r w:rsidRPr="00E75549">
        <w:rPr>
          <w:b/>
          <w:bCs/>
        </w:rPr>
        <w:t>Sur l’amende</w:t>
      </w:r>
    </w:p>
    <w:p w:rsidR="00EB52F3" w:rsidRPr="009070A2" w:rsidRDefault="00EB52F3" w:rsidP="009070A2">
      <w:pPr>
        <w:pStyle w:val="PS"/>
      </w:pPr>
      <w:r w:rsidRPr="009070A2">
        <w:t>Considérant que M. X est susceptible de se voir infliger une amende dans les conditions prévues par l’article L. 131-11 du code des juridictions financières ; que le niveau de cette amende doit tenir compte de l’importance et de la durée du maniement des deniers publics ; qu’en l’espèce les irrégularités ont représenté un volume limité et ont pris fin au bout de trente mois ; que le comptable de fait a collaboré à l’apurement du compte de la gestion de fait ; qu’il n’a pas tiré personnellement bénéfice des opérations ; que toutefois c’est à dessein, notamment parce qu’il estimait les règles de la comptabilité publique inadaptées à la gestion d’un tel service, que</w:t>
      </w:r>
      <w:r>
        <w:t xml:space="preserve"> </w:t>
      </w:r>
      <w:r w:rsidRPr="009070A2">
        <w:t>M. X a mis en place ce dispositif ; qu’il sera fait en conséquence une juste appréciation des circonstances de l’espèce en fixant l’amende à un montant de 400</w:t>
      </w:r>
      <w:r>
        <w:t> </w:t>
      </w:r>
      <w:r w:rsidRPr="009070A2">
        <w:t>€.</w:t>
      </w:r>
    </w:p>
    <w:p w:rsidR="00EB52F3" w:rsidRPr="009070A2" w:rsidRDefault="00EB52F3" w:rsidP="009F7A39">
      <w:pPr>
        <w:pStyle w:val="PS"/>
      </w:pPr>
      <w:r w:rsidRPr="009070A2">
        <w:t>Par ces motifs,</w:t>
      </w:r>
    </w:p>
    <w:p w:rsidR="00EB52F3" w:rsidRPr="009070A2" w:rsidRDefault="00EB52F3" w:rsidP="00E75549">
      <w:pPr>
        <w:pStyle w:val="PS"/>
        <w:ind w:firstLine="0"/>
        <w:jc w:val="center"/>
      </w:pPr>
      <w:r w:rsidRPr="009070A2">
        <w:t>STATUANT DEFINITIVEMENT,</w:t>
      </w:r>
    </w:p>
    <w:p w:rsidR="00EB52F3" w:rsidRPr="009070A2" w:rsidRDefault="00EB52F3" w:rsidP="00E75549">
      <w:pPr>
        <w:pStyle w:val="PS"/>
        <w:ind w:firstLine="0"/>
        <w:jc w:val="center"/>
      </w:pPr>
      <w:r w:rsidRPr="009070A2">
        <w:t>ORDONNE :</w:t>
      </w:r>
    </w:p>
    <w:p w:rsidR="00EB52F3" w:rsidRPr="009070A2" w:rsidRDefault="00EB52F3" w:rsidP="00A05CB9">
      <w:pPr>
        <w:pStyle w:val="PS"/>
      </w:pPr>
      <w:r w:rsidRPr="009070A2">
        <w:t>La ligne de compte de la gestion de fait est arrêtée à 186 403,09 € en recettes et en dépenses, le reliquat étant ainsi fixé à 0</w:t>
      </w:r>
      <w:r>
        <w:t> </w:t>
      </w:r>
      <w:r w:rsidRPr="009070A2">
        <w:t>€.</w:t>
      </w:r>
    </w:p>
    <w:p w:rsidR="00EB52F3" w:rsidRPr="009070A2" w:rsidRDefault="00EB52F3" w:rsidP="00A05CB9">
      <w:pPr>
        <w:pStyle w:val="PS"/>
      </w:pPr>
      <w:r w:rsidRPr="009070A2">
        <w:t>M. X est condamné à une amende de 400,00</w:t>
      </w:r>
      <w:r>
        <w:t> </w:t>
      </w:r>
      <w:r w:rsidRPr="009070A2">
        <w:t>€.</w:t>
      </w:r>
    </w:p>
    <w:p w:rsidR="00EB52F3" w:rsidRPr="009070A2" w:rsidRDefault="00EB52F3" w:rsidP="00E75549">
      <w:pPr>
        <w:pStyle w:val="PS"/>
        <w:ind w:firstLine="0"/>
        <w:jc w:val="center"/>
      </w:pPr>
      <w:r w:rsidRPr="009070A2">
        <w:t>-----------</w:t>
      </w:r>
    </w:p>
    <w:p w:rsidR="00EB52F3" w:rsidRPr="009070A2" w:rsidRDefault="00EB52F3" w:rsidP="009070A2">
      <w:pPr>
        <w:pStyle w:val="PS"/>
      </w:pPr>
      <w:r w:rsidRPr="009070A2">
        <w:t xml:space="preserve">Fait et jugé en la Cour de comptes, troisième chambre, quatrième section. Le treize février deux mil douze. Présents : MM. Lefas, </w:t>
      </w:r>
      <w:r>
        <w:t>p</w:t>
      </w:r>
      <w:r w:rsidRPr="009070A2">
        <w:t>résident, Duchadeuil, Andréani, Tournier, et Sabbe, conseillers maîtres.</w:t>
      </w:r>
    </w:p>
    <w:p w:rsidR="00EB52F3" w:rsidRPr="009070A2" w:rsidRDefault="00EB52F3" w:rsidP="0006792A">
      <w:pPr>
        <w:pStyle w:val="PS"/>
      </w:pPr>
      <w:r w:rsidRPr="009070A2">
        <w:lastRenderedPageBreak/>
        <w:t>Signé :</w:t>
      </w:r>
      <w:r>
        <w:t> </w:t>
      </w:r>
      <w:r w:rsidRPr="009070A2">
        <w:t>Lefas, président, et Brulé, greffière.</w:t>
      </w:r>
    </w:p>
    <w:p w:rsidR="00EB52F3" w:rsidRDefault="00EB52F3" w:rsidP="00BF4CD5">
      <w:pPr>
        <w:pStyle w:val="PS"/>
      </w:pPr>
      <w:r>
        <w:t>Collationné, certifié conforme à la minute étant au greffe de la Cour des comptes.</w:t>
      </w:r>
    </w:p>
    <w:p w:rsidR="00EB52F3" w:rsidRDefault="00EB52F3" w:rsidP="00306A73">
      <w:pPr>
        <w:pStyle w:val="PS"/>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EB52F3" w:rsidRDefault="00EB52F3" w:rsidP="00CD4B95">
      <w:pPr>
        <w:pStyle w:val="PS"/>
      </w:pPr>
      <w:r>
        <w:t>Délivré par moi, secrétaire général.</w:t>
      </w:r>
    </w:p>
    <w:p w:rsidR="00EB52F3" w:rsidRDefault="00EB52F3" w:rsidP="00CD4B95">
      <w:pPr>
        <w:pStyle w:val="Corpsdetexte"/>
        <w:spacing w:before="0" w:after="0"/>
        <w:ind w:firstLine="6804"/>
        <w:jc w:val="center"/>
        <w:rPr>
          <w:b/>
          <w:bCs/>
        </w:rPr>
      </w:pPr>
      <w:r>
        <w:rPr>
          <w:b/>
          <w:bCs/>
        </w:rPr>
        <w:t>Pour le Secrétaire général</w:t>
      </w:r>
    </w:p>
    <w:p w:rsidR="00EB52F3" w:rsidRDefault="00EB52F3" w:rsidP="00CD4B95">
      <w:pPr>
        <w:pStyle w:val="Corpsdetexte"/>
        <w:spacing w:before="0" w:after="0"/>
        <w:ind w:firstLine="6804"/>
        <w:jc w:val="center"/>
        <w:rPr>
          <w:b/>
          <w:bCs/>
        </w:rPr>
      </w:pPr>
      <w:proofErr w:type="gramStart"/>
      <w:r>
        <w:rPr>
          <w:b/>
          <w:bCs/>
        </w:rPr>
        <w:t>et</w:t>
      </w:r>
      <w:proofErr w:type="gramEnd"/>
      <w:r>
        <w:rPr>
          <w:b/>
          <w:bCs/>
        </w:rPr>
        <w:t xml:space="preserve"> par délégation,</w:t>
      </w:r>
    </w:p>
    <w:p w:rsidR="00EB52F3" w:rsidRDefault="00EB52F3" w:rsidP="00BF4CD5">
      <w:pPr>
        <w:pStyle w:val="Corpsdetexte"/>
        <w:spacing w:before="0" w:after="480"/>
        <w:ind w:firstLine="6804"/>
        <w:jc w:val="center"/>
        <w:rPr>
          <w:b/>
          <w:bCs/>
        </w:rPr>
      </w:pPr>
      <w:r>
        <w:rPr>
          <w:b/>
          <w:bCs/>
        </w:rPr>
        <w:t>Le Chef du Greffe contentieux</w:t>
      </w:r>
    </w:p>
    <w:p w:rsidR="00EB52F3" w:rsidRDefault="00EB52F3" w:rsidP="0053230B">
      <w:pPr>
        <w:pStyle w:val="Corpsdetexte"/>
        <w:spacing w:after="1080"/>
        <w:ind w:firstLine="6804"/>
        <w:jc w:val="center"/>
        <w:rPr>
          <w:b/>
          <w:bCs/>
        </w:rPr>
      </w:pPr>
    </w:p>
    <w:p w:rsidR="00EB52F3" w:rsidRDefault="00EB52F3" w:rsidP="00CD4B95">
      <w:pPr>
        <w:pStyle w:val="Corpsdetexte"/>
        <w:spacing w:after="360"/>
        <w:ind w:firstLine="7088"/>
        <w:jc w:val="center"/>
        <w:rPr>
          <w:b/>
          <w:bCs/>
        </w:rPr>
      </w:pPr>
      <w:r>
        <w:rPr>
          <w:b/>
          <w:bCs/>
        </w:rPr>
        <w:t>Daniel FEREZ</w:t>
      </w:r>
    </w:p>
    <w:sectPr w:rsidR="00EB52F3" w:rsidSect="00C11399">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D93" w:rsidRDefault="00155D93">
      <w:r>
        <w:separator/>
      </w:r>
    </w:p>
  </w:endnote>
  <w:endnote w:type="continuationSeparator" w:id="0">
    <w:p w:rsidR="00155D93" w:rsidRDefault="00155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D93" w:rsidRDefault="00155D93">
      <w:r>
        <w:separator/>
      </w:r>
    </w:p>
  </w:footnote>
  <w:footnote w:type="continuationSeparator" w:id="0">
    <w:p w:rsidR="00155D93" w:rsidRDefault="00155D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2F3" w:rsidRDefault="00EB52F3">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D61CB6">
      <w:rPr>
        <w:rFonts w:ascii="CG Times (WN)" w:hAnsi="CG Times (WN)" w:cs="CG Times (WN)"/>
        <w:noProof/>
        <w:sz w:val="24"/>
        <w:szCs w:val="24"/>
      </w:rPr>
      <w:t>4</w:t>
    </w:r>
    <w:r>
      <w:rPr>
        <w:rFonts w:ascii="CG Times (WN)" w:hAnsi="CG Times (WN)" w:cs="CG Times (W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E4A18"/>
    <w:multiLevelType w:val="hybridMultilevel"/>
    <w:tmpl w:val="616A7DFA"/>
    <w:lvl w:ilvl="0" w:tplc="FD44E0F2">
      <w:start w:val="39"/>
      <w:numFmt w:val="bullet"/>
      <w:lvlText w:val="-"/>
      <w:lvlJc w:val="left"/>
      <w:pPr>
        <w:tabs>
          <w:tab w:val="num" w:pos="374"/>
        </w:tabs>
        <w:ind w:left="374" w:hanging="360"/>
      </w:pPr>
      <w:rPr>
        <w:rFonts w:ascii="Tahoma" w:eastAsia="Times New Roman" w:hAnsi="Tahoma" w:hint="default"/>
      </w:rPr>
    </w:lvl>
    <w:lvl w:ilvl="1" w:tplc="040C0003">
      <w:start w:val="1"/>
      <w:numFmt w:val="bullet"/>
      <w:lvlText w:val="o"/>
      <w:lvlJc w:val="left"/>
      <w:pPr>
        <w:tabs>
          <w:tab w:val="num" w:pos="1094"/>
        </w:tabs>
        <w:ind w:left="1094" w:hanging="360"/>
      </w:pPr>
      <w:rPr>
        <w:rFonts w:ascii="Courier New" w:hAnsi="Courier New" w:hint="default"/>
      </w:rPr>
    </w:lvl>
    <w:lvl w:ilvl="2" w:tplc="040C0005">
      <w:start w:val="1"/>
      <w:numFmt w:val="bullet"/>
      <w:lvlText w:val=""/>
      <w:lvlJc w:val="left"/>
      <w:pPr>
        <w:tabs>
          <w:tab w:val="num" w:pos="1814"/>
        </w:tabs>
        <w:ind w:left="1814" w:hanging="360"/>
      </w:pPr>
      <w:rPr>
        <w:rFonts w:ascii="Wingdings" w:hAnsi="Wingdings" w:hint="default"/>
      </w:rPr>
    </w:lvl>
    <w:lvl w:ilvl="3" w:tplc="040C0001">
      <w:start w:val="1"/>
      <w:numFmt w:val="bullet"/>
      <w:lvlText w:val=""/>
      <w:lvlJc w:val="left"/>
      <w:pPr>
        <w:tabs>
          <w:tab w:val="num" w:pos="2534"/>
        </w:tabs>
        <w:ind w:left="2534" w:hanging="360"/>
      </w:pPr>
      <w:rPr>
        <w:rFonts w:ascii="Symbol" w:hAnsi="Symbol" w:hint="default"/>
      </w:rPr>
    </w:lvl>
    <w:lvl w:ilvl="4" w:tplc="040C0003">
      <w:start w:val="1"/>
      <w:numFmt w:val="bullet"/>
      <w:lvlText w:val="o"/>
      <w:lvlJc w:val="left"/>
      <w:pPr>
        <w:tabs>
          <w:tab w:val="num" w:pos="3254"/>
        </w:tabs>
        <w:ind w:left="3254" w:hanging="360"/>
      </w:pPr>
      <w:rPr>
        <w:rFonts w:ascii="Courier New" w:hAnsi="Courier New" w:hint="default"/>
      </w:rPr>
    </w:lvl>
    <w:lvl w:ilvl="5" w:tplc="040C0005">
      <w:start w:val="1"/>
      <w:numFmt w:val="bullet"/>
      <w:lvlText w:val=""/>
      <w:lvlJc w:val="left"/>
      <w:pPr>
        <w:tabs>
          <w:tab w:val="num" w:pos="3974"/>
        </w:tabs>
        <w:ind w:left="3974" w:hanging="360"/>
      </w:pPr>
      <w:rPr>
        <w:rFonts w:ascii="Wingdings" w:hAnsi="Wingdings" w:hint="default"/>
      </w:rPr>
    </w:lvl>
    <w:lvl w:ilvl="6" w:tplc="040C0001">
      <w:start w:val="1"/>
      <w:numFmt w:val="bullet"/>
      <w:lvlText w:val=""/>
      <w:lvlJc w:val="left"/>
      <w:pPr>
        <w:tabs>
          <w:tab w:val="num" w:pos="4694"/>
        </w:tabs>
        <w:ind w:left="4694" w:hanging="360"/>
      </w:pPr>
      <w:rPr>
        <w:rFonts w:ascii="Symbol" w:hAnsi="Symbol" w:hint="default"/>
      </w:rPr>
    </w:lvl>
    <w:lvl w:ilvl="7" w:tplc="040C0003">
      <w:start w:val="1"/>
      <w:numFmt w:val="bullet"/>
      <w:lvlText w:val="o"/>
      <w:lvlJc w:val="left"/>
      <w:pPr>
        <w:tabs>
          <w:tab w:val="num" w:pos="5414"/>
        </w:tabs>
        <w:ind w:left="5414" w:hanging="360"/>
      </w:pPr>
      <w:rPr>
        <w:rFonts w:ascii="Courier New" w:hAnsi="Courier New" w:hint="default"/>
      </w:rPr>
    </w:lvl>
    <w:lvl w:ilvl="8" w:tplc="040C0005">
      <w:start w:val="1"/>
      <w:numFmt w:val="bullet"/>
      <w:lvlText w:val=""/>
      <w:lvlJc w:val="left"/>
      <w:pPr>
        <w:tabs>
          <w:tab w:val="num" w:pos="6134"/>
        </w:tabs>
        <w:ind w:left="61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5355E"/>
    <w:rsid w:val="0006792A"/>
    <w:rsid w:val="001060C9"/>
    <w:rsid w:val="001428AC"/>
    <w:rsid w:val="00155D93"/>
    <w:rsid w:val="002015A0"/>
    <w:rsid w:val="002D21C5"/>
    <w:rsid w:val="002F28B3"/>
    <w:rsid w:val="00306A73"/>
    <w:rsid w:val="003C0A79"/>
    <w:rsid w:val="00452DDD"/>
    <w:rsid w:val="00455E33"/>
    <w:rsid w:val="004A6238"/>
    <w:rsid w:val="004B243C"/>
    <w:rsid w:val="004F79E7"/>
    <w:rsid w:val="0053230B"/>
    <w:rsid w:val="00551506"/>
    <w:rsid w:val="0059695F"/>
    <w:rsid w:val="005B4791"/>
    <w:rsid w:val="005E3B9A"/>
    <w:rsid w:val="005F184A"/>
    <w:rsid w:val="005F7CE0"/>
    <w:rsid w:val="00623415"/>
    <w:rsid w:val="006A4CA6"/>
    <w:rsid w:val="006D4AE9"/>
    <w:rsid w:val="007122F8"/>
    <w:rsid w:val="007244CA"/>
    <w:rsid w:val="00835454"/>
    <w:rsid w:val="00851F00"/>
    <w:rsid w:val="00873BCB"/>
    <w:rsid w:val="00896648"/>
    <w:rsid w:val="008A57A1"/>
    <w:rsid w:val="008C6E9E"/>
    <w:rsid w:val="009070A2"/>
    <w:rsid w:val="00984860"/>
    <w:rsid w:val="009D46D0"/>
    <w:rsid w:val="009F7A39"/>
    <w:rsid w:val="00A05CB9"/>
    <w:rsid w:val="00A3465A"/>
    <w:rsid w:val="00AC219C"/>
    <w:rsid w:val="00BB2027"/>
    <w:rsid w:val="00BF4CD5"/>
    <w:rsid w:val="00C11399"/>
    <w:rsid w:val="00CD4B95"/>
    <w:rsid w:val="00D258CE"/>
    <w:rsid w:val="00D35B65"/>
    <w:rsid w:val="00D61CB6"/>
    <w:rsid w:val="00DB5051"/>
    <w:rsid w:val="00E75549"/>
    <w:rsid w:val="00E81D92"/>
    <w:rsid w:val="00EA73FB"/>
    <w:rsid w:val="00EB52F3"/>
    <w:rsid w:val="00EE666A"/>
    <w:rsid w:val="00F4770A"/>
    <w:rsid w:val="00FA35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header" w:locked="1"/>
    <w:lsdException w:name="caption" w:locked="1" w:semiHidden="1" w:unhideWhenUsed="1" w:qFormat="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Normal (Web)"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5051"/>
  </w:style>
  <w:style w:type="paragraph" w:styleId="Titre1">
    <w:name w:val="heading 1"/>
    <w:basedOn w:val="Normal"/>
    <w:next w:val="Normal"/>
    <w:link w:val="Titre1Car"/>
    <w:qFormat/>
    <w:rsid w:val="00DB5051"/>
    <w:pPr>
      <w:spacing w:before="240"/>
      <w:outlineLvl w:val="0"/>
    </w:pPr>
    <w:rPr>
      <w:b/>
      <w:bCs/>
      <w:sz w:val="24"/>
      <w:szCs w:val="24"/>
      <w:u w:val="single"/>
    </w:rPr>
  </w:style>
  <w:style w:type="paragraph" w:styleId="Titre2">
    <w:name w:val="heading 2"/>
    <w:basedOn w:val="Normal"/>
    <w:next w:val="Normal"/>
    <w:link w:val="Titre2Car"/>
    <w:qFormat/>
    <w:rsid w:val="00DB5051"/>
    <w:pPr>
      <w:spacing w:before="120"/>
      <w:outlineLvl w:val="1"/>
    </w:pPr>
    <w:rPr>
      <w:b/>
      <w:bCs/>
      <w:sz w:val="24"/>
      <w:szCs w:val="24"/>
    </w:rPr>
  </w:style>
  <w:style w:type="paragraph" w:styleId="Titre3">
    <w:name w:val="heading 3"/>
    <w:basedOn w:val="Normal"/>
    <w:next w:val="Retraitnormal"/>
    <w:link w:val="Titre3Car"/>
    <w:qFormat/>
    <w:rsid w:val="00DB5051"/>
    <w:pPr>
      <w:ind w:left="354"/>
      <w:outlineLvl w:val="2"/>
    </w:pPr>
    <w:rPr>
      <w:b/>
      <w:bCs/>
      <w:sz w:val="24"/>
      <w:szCs w:val="24"/>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customStyle="1" w:styleId="Titre1Car">
    <w:name w:val="Titre 1 Car"/>
    <w:basedOn w:val="Policepardfaut"/>
    <w:link w:val="Titre1"/>
    <w:locked/>
    <w:rsid w:val="00984860"/>
    <w:rPr>
      <w:rFonts w:ascii="Cambria" w:hAnsi="Cambria" w:cs="Cambria"/>
      <w:b/>
      <w:bCs/>
      <w:kern w:val="32"/>
      <w:sz w:val="32"/>
      <w:szCs w:val="32"/>
    </w:rPr>
  </w:style>
  <w:style w:type="character" w:customStyle="1" w:styleId="Titre2Car">
    <w:name w:val="Titre 2 Car"/>
    <w:basedOn w:val="Policepardfaut"/>
    <w:link w:val="Titre2"/>
    <w:semiHidden/>
    <w:locked/>
    <w:rsid w:val="00984860"/>
    <w:rPr>
      <w:rFonts w:ascii="Cambria" w:hAnsi="Cambria" w:cs="Cambria"/>
      <w:b/>
      <w:bCs/>
      <w:i/>
      <w:iCs/>
      <w:sz w:val="28"/>
      <w:szCs w:val="28"/>
    </w:rPr>
  </w:style>
  <w:style w:type="character" w:customStyle="1" w:styleId="Titre3Car">
    <w:name w:val="Titre 3 Car"/>
    <w:basedOn w:val="Policepardfaut"/>
    <w:link w:val="Titre3"/>
    <w:semiHidden/>
    <w:locked/>
    <w:rsid w:val="00984860"/>
    <w:rPr>
      <w:rFonts w:ascii="Cambria" w:hAnsi="Cambria" w:cs="Cambria"/>
      <w:b/>
      <w:bCs/>
      <w:sz w:val="26"/>
      <w:szCs w:val="26"/>
    </w:rPr>
  </w:style>
  <w:style w:type="paragraph" w:styleId="Retraitnormal">
    <w:name w:val="Normal Indent"/>
    <w:basedOn w:val="Normal"/>
    <w:rsid w:val="00DB5051"/>
    <w:pPr>
      <w:ind w:left="708"/>
    </w:pPr>
  </w:style>
  <w:style w:type="paragraph" w:styleId="En-tte">
    <w:name w:val="header"/>
    <w:basedOn w:val="Normal"/>
    <w:link w:val="En-tteCar"/>
    <w:rsid w:val="00DB5051"/>
    <w:pPr>
      <w:tabs>
        <w:tab w:val="center" w:pos="4819"/>
        <w:tab w:val="right" w:pos="9071"/>
      </w:tabs>
    </w:pPr>
  </w:style>
  <w:style w:type="character" w:customStyle="1" w:styleId="En-tteCar">
    <w:name w:val="En-tête Car"/>
    <w:basedOn w:val="Policepardfaut"/>
    <w:link w:val="En-tte"/>
    <w:semiHidden/>
    <w:locked/>
    <w:rsid w:val="00984860"/>
    <w:rPr>
      <w:rFonts w:cs="Times New Roman"/>
      <w:sz w:val="20"/>
      <w:szCs w:val="20"/>
    </w:rPr>
  </w:style>
  <w:style w:type="paragraph" w:customStyle="1" w:styleId="ET">
    <w:name w:val="ET"/>
    <w:basedOn w:val="Normal"/>
    <w:rsid w:val="00DB5051"/>
    <w:rPr>
      <w:b/>
      <w:bCs/>
      <w:caps/>
      <w:sz w:val="24"/>
      <w:szCs w:val="24"/>
    </w:rPr>
  </w:style>
  <w:style w:type="paragraph" w:customStyle="1" w:styleId="OR">
    <w:name w:val="OR"/>
    <w:basedOn w:val="ET"/>
    <w:rsid w:val="00DB5051"/>
    <w:pPr>
      <w:ind w:left="5670"/>
    </w:pPr>
    <w:rPr>
      <w:b w:val="0"/>
      <w:bCs w:val="0"/>
      <w:caps w:val="0"/>
    </w:rPr>
  </w:style>
  <w:style w:type="paragraph" w:customStyle="1" w:styleId="TI">
    <w:name w:val="TI"/>
    <w:basedOn w:val="OR"/>
    <w:rsid w:val="00DB5051"/>
    <w:pPr>
      <w:ind w:left="1701"/>
      <w:jc w:val="center"/>
    </w:pPr>
    <w:rPr>
      <w:caps/>
      <w:u w:val="single"/>
    </w:rPr>
  </w:style>
  <w:style w:type="paragraph" w:customStyle="1" w:styleId="P0">
    <w:name w:val="P0"/>
    <w:basedOn w:val="ET"/>
    <w:link w:val="P0Car"/>
    <w:rsid w:val="00DB5051"/>
    <w:pPr>
      <w:ind w:left="1701"/>
      <w:jc w:val="both"/>
    </w:pPr>
    <w:rPr>
      <w:b w:val="0"/>
      <w:bCs w:val="0"/>
      <w:caps w:val="0"/>
    </w:rPr>
  </w:style>
  <w:style w:type="paragraph" w:customStyle="1" w:styleId="EL">
    <w:name w:val="EL"/>
    <w:basedOn w:val="P0"/>
    <w:rsid w:val="00DB5051"/>
    <w:pPr>
      <w:spacing w:after="240"/>
      <w:ind w:firstLine="1418"/>
    </w:pPr>
  </w:style>
  <w:style w:type="paragraph" w:customStyle="1" w:styleId="IN">
    <w:name w:val="IN"/>
    <w:basedOn w:val="P0"/>
    <w:rsid w:val="00DB5051"/>
    <w:pPr>
      <w:ind w:left="0"/>
      <w:jc w:val="left"/>
    </w:pPr>
    <w:rPr>
      <w:i/>
      <w:iCs/>
      <w:sz w:val="16"/>
      <w:szCs w:val="16"/>
    </w:rPr>
  </w:style>
  <w:style w:type="paragraph" w:customStyle="1" w:styleId="RE">
    <w:name w:val="RE"/>
    <w:basedOn w:val="P0"/>
    <w:rsid w:val="00DB5051"/>
    <w:pPr>
      <w:ind w:left="0"/>
    </w:pPr>
  </w:style>
  <w:style w:type="paragraph" w:customStyle="1" w:styleId="PE">
    <w:name w:val="PE"/>
    <w:basedOn w:val="IN"/>
    <w:rsid w:val="00DB5051"/>
    <w:pPr>
      <w:keepNext/>
      <w:ind w:left="1701"/>
      <w:jc w:val="both"/>
    </w:pPr>
    <w:rPr>
      <w:i w:val="0"/>
      <w:iCs w:val="0"/>
      <w:sz w:val="24"/>
      <w:szCs w:val="24"/>
    </w:rPr>
  </w:style>
  <w:style w:type="paragraph" w:customStyle="1" w:styleId="PC">
    <w:name w:val="PC"/>
    <w:basedOn w:val="IN"/>
    <w:rsid w:val="00DB5051"/>
    <w:pPr>
      <w:spacing w:after="480"/>
      <w:ind w:left="2268" w:firstLine="1134"/>
      <w:jc w:val="both"/>
    </w:pPr>
    <w:rPr>
      <w:i w:val="0"/>
      <w:iCs w:val="0"/>
      <w:sz w:val="24"/>
      <w:szCs w:val="24"/>
    </w:rPr>
  </w:style>
  <w:style w:type="paragraph" w:customStyle="1" w:styleId="PS">
    <w:name w:val="PS"/>
    <w:basedOn w:val="IN"/>
    <w:link w:val="PSCar"/>
    <w:rsid w:val="00DB5051"/>
    <w:pPr>
      <w:spacing w:after="480"/>
      <w:ind w:left="1701" w:firstLine="1134"/>
      <w:jc w:val="both"/>
    </w:pPr>
    <w:rPr>
      <w:i w:val="0"/>
      <w:iCs w:val="0"/>
      <w:sz w:val="24"/>
      <w:szCs w:val="24"/>
    </w:rPr>
  </w:style>
  <w:style w:type="paragraph" w:customStyle="1" w:styleId="AR">
    <w:name w:val="AR"/>
    <w:basedOn w:val="IN"/>
    <w:rsid w:val="00DB5051"/>
    <w:pPr>
      <w:spacing w:before="720" w:after="720"/>
      <w:ind w:left="5103"/>
    </w:pPr>
    <w:rPr>
      <w:i w:val="0"/>
      <w:iCs w:val="0"/>
      <w:caps/>
      <w:sz w:val="24"/>
      <w:szCs w:val="24"/>
      <w:u w:val="single"/>
    </w:rPr>
  </w:style>
  <w:style w:type="paragraph" w:customStyle="1" w:styleId="arretn">
    <w:name w:val="arret n°"/>
    <w:basedOn w:val="IN"/>
    <w:rsid w:val="009D46D0"/>
    <w:pPr>
      <w:ind w:left="567"/>
    </w:pPr>
    <w:rPr>
      <w:sz w:val="20"/>
      <w:szCs w:val="20"/>
    </w:rPr>
  </w:style>
  <w:style w:type="paragraph" w:customStyle="1" w:styleId="Style">
    <w:name w:val="Style"/>
    <w:basedOn w:val="Normal"/>
    <w:rsid w:val="00BB2027"/>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paragraph" w:customStyle="1" w:styleId="renvoi">
    <w:name w:val="renvoi"/>
    <w:rsid w:val="00BB2027"/>
    <w:pPr>
      <w:keepLines/>
      <w:overflowPunct w:val="0"/>
      <w:autoSpaceDE w:val="0"/>
      <w:autoSpaceDN w:val="0"/>
      <w:adjustRightInd w:val="0"/>
      <w:ind w:left="1701"/>
      <w:jc w:val="both"/>
      <w:textAlignment w:val="baseline"/>
    </w:pPr>
    <w:rPr>
      <w:rFonts w:ascii="Courier" w:hAnsi="Courier" w:cs="Courier"/>
      <w:sz w:val="24"/>
      <w:szCs w:val="24"/>
    </w:rPr>
  </w:style>
  <w:style w:type="paragraph" w:styleId="NormalWeb">
    <w:name w:val="Normal (Web)"/>
    <w:basedOn w:val="Normal"/>
    <w:rsid w:val="00BB2027"/>
    <w:pPr>
      <w:spacing w:before="100" w:beforeAutospacing="1" w:after="100" w:afterAutospacing="1"/>
    </w:pPr>
    <w:rPr>
      <w:sz w:val="24"/>
      <w:szCs w:val="24"/>
    </w:rPr>
  </w:style>
  <w:style w:type="character" w:customStyle="1" w:styleId="BodyTextChar1">
    <w:name w:val="Body Text Char1"/>
    <w:aliases w:val="Corps de texte Car Char1,Corps de texte Car1 Car Char1,Corps de texte Car Car Car Char1,Corps de texte Car Car encadré Car Car Car Car Car Char1,Corps de texte Car1 Car Car1 Car Char1,Corps de texte Car Car Car Car1 Car Char1"/>
    <w:rsid w:val="00CD4B95"/>
    <w:rPr>
      <w:sz w:val="24"/>
      <w:lang w:val="fr-FR" w:eastAsia="fr-FR"/>
    </w:rPr>
  </w:style>
  <w:style w:type="paragraph" w:styleId="Corpsdetexte">
    <w:name w:val="Body Text"/>
    <w:aliases w:val="Corps de texte Car,Corps de texte Car1 Car,Corps de texte Car Car Car,Corps de texte Car Car encadré Car Car Car Car Car,Corps de texte Car1 Car Car1 Car,Corps de texte Car Car Car Car1 Car,Corps de texte Car1 Car Car Car Car Car Car"/>
    <w:basedOn w:val="Normal"/>
    <w:link w:val="CorpsdetexteCar1"/>
    <w:rsid w:val="00CD4B95"/>
    <w:pPr>
      <w:spacing w:before="120" w:after="120"/>
      <w:ind w:firstLine="709"/>
      <w:jc w:val="both"/>
    </w:pPr>
    <w:rPr>
      <w:sz w:val="24"/>
      <w:szCs w:val="24"/>
    </w:rPr>
  </w:style>
  <w:style w:type="character" w:customStyle="1" w:styleId="CorpsdetexteCar1">
    <w:name w:val="Corps de texte Car1"/>
    <w:aliases w:val="Corps de texte Car Car,Corps de texte Car1 Car Car,Corps de texte Car Car Car Car,Corps de texte Car Car encadré Car Car Car Car Car Car,Corps de texte Car1 Car Car1 Car Car,Corps de texte Car Car Car Car1 Car Car"/>
    <w:basedOn w:val="Policepardfaut"/>
    <w:link w:val="Corpsdetexte"/>
    <w:semiHidden/>
    <w:locked/>
    <w:rsid w:val="00984860"/>
    <w:rPr>
      <w:rFonts w:cs="Times New Roman"/>
      <w:sz w:val="20"/>
      <w:szCs w:val="20"/>
    </w:rPr>
  </w:style>
  <w:style w:type="character" w:customStyle="1" w:styleId="PSCar">
    <w:name w:val="PS Car"/>
    <w:basedOn w:val="Policepardfaut"/>
    <w:link w:val="PS"/>
    <w:locked/>
    <w:rsid w:val="00CD4B95"/>
    <w:rPr>
      <w:rFonts w:cs="Times New Roman"/>
      <w:sz w:val="24"/>
      <w:szCs w:val="24"/>
      <w:lang w:val="fr-FR" w:eastAsia="fr-FR"/>
    </w:rPr>
  </w:style>
  <w:style w:type="character" w:customStyle="1" w:styleId="P0Car">
    <w:name w:val="P0 Car"/>
    <w:basedOn w:val="Policepardfaut"/>
    <w:link w:val="P0"/>
    <w:locked/>
    <w:rsid w:val="00306A73"/>
    <w:rPr>
      <w:rFonts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967</Words>
  <Characters>5321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2012-02-24T12:40:00Z</cp:lastPrinted>
  <dcterms:created xsi:type="dcterms:W3CDTF">2012-11-27T16:54:00Z</dcterms:created>
  <dcterms:modified xsi:type="dcterms:W3CDTF">2012-11-27T16:54:00Z</dcterms:modified>
</cp:coreProperties>
</file>