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350" w:rsidRDefault="00506350" w:rsidP="008316D0">
      <w:pPr>
        <w:pStyle w:val="ET"/>
      </w:pPr>
      <w:bookmarkStart w:id="0" w:name="_GoBack"/>
      <w:r>
        <w:t>COUR DES COMPTES</w:t>
      </w:r>
    </w:p>
    <w:p w:rsidR="00506350" w:rsidRDefault="00506350" w:rsidP="008316D0">
      <w:pPr>
        <w:pStyle w:val="ET"/>
        <w:ind w:left="851"/>
      </w:pPr>
      <w:r>
        <w:t>--------</w:t>
      </w:r>
    </w:p>
    <w:p w:rsidR="00506350" w:rsidRDefault="00506350" w:rsidP="008316D0">
      <w:pPr>
        <w:pStyle w:val="ET"/>
      </w:pPr>
      <w:r>
        <w:t>PREMIERE CHAMBRE</w:t>
      </w:r>
    </w:p>
    <w:p w:rsidR="00506350" w:rsidRDefault="00506350" w:rsidP="008316D0">
      <w:pPr>
        <w:pStyle w:val="ET"/>
        <w:ind w:left="851"/>
      </w:pPr>
      <w:r>
        <w:t>--------</w:t>
      </w:r>
    </w:p>
    <w:p w:rsidR="00506350" w:rsidRDefault="00506350" w:rsidP="008316D0">
      <w:pPr>
        <w:pStyle w:val="ET"/>
      </w:pPr>
      <w:r>
        <w:t>TROISIEme SECTION</w:t>
      </w:r>
    </w:p>
    <w:p w:rsidR="00506350" w:rsidRDefault="00506350" w:rsidP="008316D0">
      <w:pPr>
        <w:pStyle w:val="ET"/>
        <w:spacing w:after="120"/>
        <w:ind w:left="851"/>
      </w:pPr>
      <w:r>
        <w:t>--------</w:t>
      </w:r>
    </w:p>
    <w:p w:rsidR="00506350" w:rsidRPr="008E7363" w:rsidRDefault="00506350" w:rsidP="003E0A66">
      <w:pPr>
        <w:pStyle w:val="En-tte"/>
        <w:ind w:left="142"/>
        <w:rPr>
          <w:b/>
          <w:bCs/>
          <w:i/>
          <w:iCs/>
          <w:sz w:val="22"/>
          <w:szCs w:val="22"/>
        </w:rPr>
      </w:pPr>
      <w:r>
        <w:rPr>
          <w:b/>
          <w:bCs/>
          <w:i/>
          <w:iCs/>
          <w:sz w:val="22"/>
          <w:szCs w:val="22"/>
        </w:rPr>
        <w:t xml:space="preserve">        </w:t>
      </w:r>
      <w:r w:rsidRPr="008E7363">
        <w:rPr>
          <w:b/>
          <w:bCs/>
          <w:i/>
          <w:iCs/>
          <w:sz w:val="22"/>
          <w:szCs w:val="22"/>
        </w:rPr>
        <w:t>Arrêt n° 6313</w:t>
      </w:r>
      <w:r>
        <w:rPr>
          <w:b/>
          <w:bCs/>
          <w:i/>
          <w:iCs/>
          <w:sz w:val="22"/>
          <w:szCs w:val="22"/>
        </w:rPr>
        <w:t>3</w:t>
      </w:r>
    </w:p>
    <w:p w:rsidR="00506350" w:rsidRDefault="00506350" w:rsidP="0017473B">
      <w:pPr>
        <w:pStyle w:val="OR"/>
        <w:jc w:val="both"/>
        <w:rPr>
          <w:caps/>
        </w:rPr>
      </w:pPr>
      <w:r w:rsidRPr="002346D5">
        <w:t xml:space="preserve">COMPTES DE </w:t>
      </w:r>
      <w:r w:rsidRPr="0017473B">
        <w:rPr>
          <w:caps/>
        </w:rPr>
        <w:t>lA commission</w:t>
      </w:r>
    </w:p>
    <w:p w:rsidR="00506350" w:rsidRDefault="00506350" w:rsidP="0017473B">
      <w:pPr>
        <w:pStyle w:val="OR"/>
        <w:jc w:val="both"/>
        <w:rPr>
          <w:caps/>
        </w:rPr>
      </w:pPr>
      <w:r w:rsidRPr="0017473B">
        <w:rPr>
          <w:caps/>
        </w:rPr>
        <w:t>de contrôle des assurances,</w:t>
      </w:r>
    </w:p>
    <w:p w:rsidR="00506350" w:rsidRDefault="00506350" w:rsidP="0017473B">
      <w:pPr>
        <w:pStyle w:val="OR"/>
        <w:jc w:val="both"/>
      </w:pPr>
      <w:r w:rsidRPr="0017473B">
        <w:rPr>
          <w:caps/>
        </w:rPr>
        <w:t>des mutuelles et des institutions de prévoyance</w:t>
      </w:r>
      <w:r>
        <w:t xml:space="preserve"> (</w:t>
      </w:r>
      <w:r w:rsidRPr="002346D5">
        <w:t>CC</w:t>
      </w:r>
      <w:r>
        <w:t>A</w:t>
      </w:r>
      <w:r w:rsidRPr="002346D5">
        <w:t>MIP</w:t>
      </w:r>
      <w:r>
        <w:t>)</w:t>
      </w:r>
    </w:p>
    <w:p w:rsidR="00506350" w:rsidRDefault="00506350" w:rsidP="0017473B">
      <w:pPr>
        <w:pStyle w:val="OR"/>
      </w:pPr>
    </w:p>
    <w:p w:rsidR="00506350" w:rsidRPr="009E33D7" w:rsidRDefault="00506350" w:rsidP="0017473B">
      <w:pPr>
        <w:pStyle w:val="OR"/>
      </w:pPr>
    </w:p>
    <w:p w:rsidR="00506350" w:rsidRDefault="00506350" w:rsidP="0017473B">
      <w:pPr>
        <w:pStyle w:val="OR"/>
      </w:pPr>
      <w:r>
        <w:t>Exercices</w:t>
      </w:r>
      <w:r w:rsidRPr="009E33D7">
        <w:t xml:space="preserve"> </w:t>
      </w:r>
      <w:r>
        <w:t>2004</w:t>
      </w:r>
      <w:r w:rsidRPr="009E33D7">
        <w:t xml:space="preserve"> </w:t>
      </w:r>
      <w:r>
        <w:t>et 2005</w:t>
      </w:r>
    </w:p>
    <w:p w:rsidR="00506350" w:rsidRPr="009E33D7" w:rsidRDefault="00506350" w:rsidP="0017473B">
      <w:pPr>
        <w:pStyle w:val="OR"/>
      </w:pPr>
    </w:p>
    <w:p w:rsidR="00506350" w:rsidRDefault="00506350" w:rsidP="0017473B">
      <w:pPr>
        <w:pStyle w:val="OR"/>
      </w:pPr>
      <w:r w:rsidRPr="009E33D7">
        <w:t xml:space="preserve">Rapport n° </w:t>
      </w:r>
      <w:r>
        <w:t>2010-785-0</w:t>
      </w:r>
    </w:p>
    <w:p w:rsidR="00506350" w:rsidRDefault="00506350" w:rsidP="0017473B">
      <w:pPr>
        <w:pStyle w:val="OR"/>
      </w:pPr>
    </w:p>
    <w:p w:rsidR="00506350" w:rsidRDefault="00506350" w:rsidP="0017473B">
      <w:pPr>
        <w:pStyle w:val="OR"/>
      </w:pPr>
      <w:r>
        <w:t>Audience publique du 3 février 2012</w:t>
      </w:r>
    </w:p>
    <w:p w:rsidR="00506350" w:rsidRDefault="00506350" w:rsidP="0017473B">
      <w:pPr>
        <w:pStyle w:val="OR"/>
      </w:pPr>
    </w:p>
    <w:p w:rsidR="00506350" w:rsidRDefault="00506350" w:rsidP="00CE641F">
      <w:pPr>
        <w:pStyle w:val="OR"/>
        <w:spacing w:after="600"/>
      </w:pPr>
      <w:r>
        <w:t>Lecture publique du 7 mars 2012</w:t>
      </w:r>
    </w:p>
    <w:p w:rsidR="00506350" w:rsidRDefault="00506350" w:rsidP="00920663">
      <w:pPr>
        <w:pStyle w:val="PS"/>
        <w:spacing w:after="360"/>
      </w:pPr>
      <w:r>
        <w:t>LA COUR DES COMPTES a rendu l’arrêt suivant :</w:t>
      </w:r>
    </w:p>
    <w:p w:rsidR="00506350" w:rsidRPr="0041723B" w:rsidRDefault="00506350" w:rsidP="00920663">
      <w:pPr>
        <w:pStyle w:val="PS"/>
        <w:spacing w:after="360"/>
      </w:pPr>
      <w:r w:rsidRPr="0041723B">
        <w:t>LA COUR,</w:t>
      </w:r>
    </w:p>
    <w:p w:rsidR="00506350" w:rsidRPr="009E33D7" w:rsidRDefault="00506350" w:rsidP="00906AF7">
      <w:pPr>
        <w:pStyle w:val="PS"/>
      </w:pPr>
      <w:r w:rsidRPr="009E33D7">
        <w:t xml:space="preserve">Vu le code des juridictions </w:t>
      </w:r>
      <w:r w:rsidRPr="00D911AA">
        <w:t>financières</w:t>
      </w:r>
      <w:r>
        <w:t xml:space="preserve">, notamment les </w:t>
      </w:r>
      <w:r w:rsidRPr="009E33D7">
        <w:t>article</w:t>
      </w:r>
      <w:r>
        <w:t>s L. 111-1,</w:t>
      </w:r>
      <w:r w:rsidRPr="009E33D7">
        <w:t xml:space="preserve"> L.</w:t>
      </w:r>
      <w:r>
        <w:t> </w:t>
      </w:r>
      <w:r w:rsidRPr="009E33D7">
        <w:t>142-1-II et les articles R.</w:t>
      </w:r>
      <w:r>
        <w:t> 112-8, R. </w:t>
      </w:r>
      <w:r w:rsidRPr="009E33D7">
        <w:t>141-1</w:t>
      </w:r>
      <w:r>
        <w:t>0 à R. 141-12 </w:t>
      </w:r>
      <w:r w:rsidRPr="009E33D7">
        <w:t xml:space="preserve">; </w:t>
      </w:r>
    </w:p>
    <w:p w:rsidR="00506350" w:rsidRDefault="00506350" w:rsidP="00BA021A">
      <w:pPr>
        <w:pStyle w:val="PS"/>
      </w:pPr>
      <w:r w:rsidRPr="009E33D7">
        <w:t xml:space="preserve">Vu l’article 60 </w:t>
      </w:r>
      <w:r>
        <w:t xml:space="preserve">de </w:t>
      </w:r>
      <w:r w:rsidRPr="009E33D7">
        <w:t>la loi n°</w:t>
      </w:r>
      <w:r>
        <w:t> </w:t>
      </w:r>
      <w:r w:rsidRPr="009E33D7">
        <w:t>63-156 du 23 février 1963</w:t>
      </w:r>
      <w:r>
        <w:t>,</w:t>
      </w:r>
      <w:r w:rsidRPr="009E33D7">
        <w:t xml:space="preserve"> modifié </w:t>
      </w:r>
      <w:r>
        <w:t>par la loi n° 2008-1091 du 28 octobre 2008 relative à la Cour des comptes et aux chambres régionales des comptes, notamment son article IV, 2</w:t>
      </w:r>
      <w:r w:rsidRPr="00BA021A">
        <w:rPr>
          <w:vertAlign w:val="superscript"/>
        </w:rPr>
        <w:t>ème</w:t>
      </w:r>
      <w:r>
        <w:t xml:space="preserve"> alinéa ;</w:t>
      </w:r>
    </w:p>
    <w:p w:rsidR="00506350" w:rsidRDefault="00506350" w:rsidP="00906AF7">
      <w:pPr>
        <w:pStyle w:val="PS"/>
      </w:pPr>
      <w:r>
        <w:t xml:space="preserve">Vu le </w:t>
      </w:r>
      <w:r w:rsidRPr="0049630F">
        <w:t>décret</w:t>
      </w:r>
      <w:r>
        <w:t xml:space="preserve"> n° 62-</w:t>
      </w:r>
      <w:r w:rsidRPr="00004A43">
        <w:t>1587</w:t>
      </w:r>
      <w:r>
        <w:t xml:space="preserve"> du 29 décembre 1962 portant règlement général sur la comptabilité publique ;</w:t>
      </w:r>
    </w:p>
    <w:p w:rsidR="00506350" w:rsidRDefault="00506350" w:rsidP="00906AF7">
      <w:pPr>
        <w:pStyle w:val="PS"/>
      </w:pPr>
      <w:r>
        <w:t xml:space="preserve">Vu la loi </w:t>
      </w:r>
      <w:r w:rsidRPr="00A512FA">
        <w:t>n°</w:t>
      </w:r>
      <w:r>
        <w:t> 2003-376 du 1</w:t>
      </w:r>
      <w:r w:rsidRPr="00A512FA">
        <w:rPr>
          <w:vertAlign w:val="superscript"/>
        </w:rPr>
        <w:t>er</w:t>
      </w:r>
      <w:r>
        <w:rPr>
          <w:vertAlign w:val="superscript"/>
        </w:rPr>
        <w:t> </w:t>
      </w:r>
      <w:r>
        <w:t>août 2003 de sécurité financière, portant création de « la Commission de contrôle des assurances, des mutuelles et des institutions de prévoyance » (CCAMIP), autorité publique indépendante dotée de la personnalité morale ;</w:t>
      </w:r>
    </w:p>
    <w:p w:rsidR="00506350" w:rsidRDefault="00506350" w:rsidP="002C6548">
      <w:pPr>
        <w:pStyle w:val="PS"/>
        <w:spacing w:after="360"/>
      </w:pPr>
      <w:r>
        <w:t>Vu le d</w:t>
      </w:r>
      <w:r w:rsidRPr="00873E35">
        <w:t>écret n°</w:t>
      </w:r>
      <w:r>
        <w:t> </w:t>
      </w:r>
      <w:r w:rsidRPr="00873E35">
        <w:t>2004-693 du 15</w:t>
      </w:r>
      <w:r>
        <w:t> </w:t>
      </w:r>
      <w:r w:rsidRPr="00873E35">
        <w:t>juillet</w:t>
      </w:r>
      <w:r>
        <w:t> </w:t>
      </w:r>
      <w:r w:rsidRPr="00873E35">
        <w:t xml:space="preserve">2004 relatif à l'organisation et au fonctionnement de la </w:t>
      </w:r>
      <w:r>
        <w:t>CCAMIP</w:t>
      </w:r>
      <w:r w:rsidRPr="00873E35">
        <w:t xml:space="preserve"> et modifiant le code des assurances, le code de la sécurité sociale et le code de la mutualité</w:t>
      </w:r>
      <w:r>
        <w:t> ;</w:t>
      </w:r>
    </w:p>
    <w:p w:rsidR="00506350" w:rsidRPr="00035C87" w:rsidRDefault="00506350" w:rsidP="0000025A">
      <w:pPr>
        <w:pStyle w:val="PS"/>
        <w:spacing w:after="120"/>
        <w:ind w:hanging="1134"/>
        <w:rPr>
          <w:sz w:val="16"/>
          <w:szCs w:val="16"/>
        </w:rPr>
      </w:pPr>
    </w:p>
    <w:p w:rsidR="00506350" w:rsidRDefault="00506350">
      <w:pPr>
        <w:pStyle w:val="P0"/>
        <w:sectPr w:rsidR="00506350">
          <w:pgSz w:w="11907" w:h="16840"/>
          <w:pgMar w:top="1134" w:right="1134" w:bottom="1134" w:left="567" w:header="720" w:footer="720" w:gutter="0"/>
          <w:cols w:space="720"/>
        </w:sectPr>
      </w:pPr>
    </w:p>
    <w:p w:rsidR="00506350" w:rsidRPr="00D911AA" w:rsidRDefault="00506350" w:rsidP="00BA021A">
      <w:pPr>
        <w:pStyle w:val="PS"/>
      </w:pPr>
      <w:r w:rsidRPr="00D911AA">
        <w:lastRenderedPageBreak/>
        <w:t xml:space="preserve">Vu les comptes de </w:t>
      </w:r>
      <w:r>
        <w:t xml:space="preserve">la CCAMIP </w:t>
      </w:r>
      <w:r w:rsidRPr="00D911AA">
        <w:t>produits pour l’exercice 2004</w:t>
      </w:r>
      <w:r>
        <w:t>, du 28 juillet,</w:t>
      </w:r>
      <w:r w:rsidRPr="00D911AA">
        <w:t xml:space="preserve"> par Mme </w:t>
      </w:r>
      <w:r w:rsidRPr="00920663">
        <w:rPr>
          <w:caps/>
        </w:rPr>
        <w:t>X</w:t>
      </w:r>
      <w:r w:rsidRPr="00D911AA">
        <w:t>,</w:t>
      </w:r>
      <w:r>
        <w:t xml:space="preserve"> </w:t>
      </w:r>
      <w:r w:rsidRPr="00D911AA">
        <w:t>jusqu’au 31</w:t>
      </w:r>
      <w:r>
        <w:t> </w:t>
      </w:r>
      <w:r w:rsidRPr="00D911AA">
        <w:t>décembre</w:t>
      </w:r>
      <w:r>
        <w:t> </w:t>
      </w:r>
      <w:r w:rsidRPr="00D911AA">
        <w:t xml:space="preserve">2004, et </w:t>
      </w:r>
      <w:r>
        <w:t xml:space="preserve">par </w:t>
      </w:r>
      <w:r w:rsidRPr="00D911AA">
        <w:t>Mme</w:t>
      </w:r>
      <w:r>
        <w:t> </w:t>
      </w:r>
      <w:r w:rsidRPr="00920663">
        <w:rPr>
          <w:caps/>
        </w:rPr>
        <w:t>Y</w:t>
      </w:r>
      <w:r>
        <w:t xml:space="preserve"> </w:t>
      </w:r>
      <w:r w:rsidRPr="00D911AA">
        <w:t>du</w:t>
      </w:r>
      <w:r>
        <w:t xml:space="preserve"> </w:t>
      </w:r>
      <w:r w:rsidRPr="00D911AA">
        <w:t>1</w:t>
      </w:r>
      <w:r w:rsidRPr="00920663">
        <w:rPr>
          <w:vertAlign w:val="superscript"/>
        </w:rPr>
        <w:t>er</w:t>
      </w:r>
      <w:r>
        <w:t> </w:t>
      </w:r>
      <w:r w:rsidRPr="00D911AA">
        <w:t>janvier</w:t>
      </w:r>
      <w:r>
        <w:t xml:space="preserve"> 2005 </w:t>
      </w:r>
      <w:r w:rsidRPr="00D911AA">
        <w:t>au 31</w:t>
      </w:r>
      <w:r>
        <w:t> </w:t>
      </w:r>
      <w:r w:rsidRPr="00D911AA">
        <w:t xml:space="preserve">décembre 2005 ; </w:t>
      </w:r>
    </w:p>
    <w:p w:rsidR="00506350" w:rsidRPr="00D911AA" w:rsidRDefault="00506350" w:rsidP="0041723B">
      <w:pPr>
        <w:pStyle w:val="PS"/>
      </w:pPr>
      <w:r w:rsidRPr="00D911AA">
        <w:t xml:space="preserve">Vu la notification du contrôle au comptable et à l’ordonnateur en fonctions en date du 20 février 2009 ; </w:t>
      </w:r>
    </w:p>
    <w:p w:rsidR="00506350" w:rsidRPr="00D911AA" w:rsidRDefault="00506350" w:rsidP="0041723B">
      <w:pPr>
        <w:pStyle w:val="PS"/>
      </w:pPr>
      <w:r w:rsidRPr="00D911AA">
        <w:t xml:space="preserve">Vu les pièces de mutation des comptables ; </w:t>
      </w:r>
    </w:p>
    <w:p w:rsidR="00506350" w:rsidRPr="00D911AA" w:rsidRDefault="00506350" w:rsidP="00264ADC">
      <w:pPr>
        <w:pStyle w:val="PS"/>
      </w:pPr>
      <w:r w:rsidRPr="00D911AA">
        <w:t xml:space="preserve">Vu le rapport </w:t>
      </w:r>
      <w:r>
        <w:t xml:space="preserve">d’examen à fin de jugement </w:t>
      </w:r>
      <w:r w:rsidRPr="00D911AA">
        <w:t>n°</w:t>
      </w:r>
      <w:r>
        <w:t> </w:t>
      </w:r>
      <w:r w:rsidRPr="00D911AA">
        <w:t xml:space="preserve">2009-657-0 </w:t>
      </w:r>
      <w:r>
        <w:br/>
      </w:r>
      <w:r w:rsidRPr="00D911AA">
        <w:t>de M.</w:t>
      </w:r>
      <w:r>
        <w:t xml:space="preserve"> Jean-Pierre </w:t>
      </w:r>
      <w:r w:rsidRPr="00D911AA">
        <w:t xml:space="preserve">Jourdain, conseiller référendaire, transmis au </w:t>
      </w:r>
      <w:r>
        <w:t>P</w:t>
      </w:r>
      <w:r w:rsidRPr="00D911AA">
        <w:t>rocureur général près</w:t>
      </w:r>
      <w:r>
        <w:t xml:space="preserve"> </w:t>
      </w:r>
      <w:r w:rsidRPr="00D911AA">
        <w:t xml:space="preserve">la Cour des comptes ; </w:t>
      </w:r>
    </w:p>
    <w:p w:rsidR="00506350" w:rsidRDefault="00506350" w:rsidP="00920663">
      <w:pPr>
        <w:pStyle w:val="PS"/>
      </w:pPr>
      <w:r>
        <w:t xml:space="preserve">Vu le rapport à fin d’arrêt </w:t>
      </w:r>
      <w:r w:rsidRPr="00917F3C">
        <w:t>n°</w:t>
      </w:r>
      <w:r>
        <w:t xml:space="preserve"> 2010-785-0 </w:t>
      </w:r>
      <w:r w:rsidRPr="007E3974">
        <w:t>re</w:t>
      </w:r>
      <w:r>
        <w:t>vêtu du soit-communiqué du président de la première chambre du 29 octobre 2010 ;</w:t>
      </w:r>
    </w:p>
    <w:p w:rsidR="00506350" w:rsidRPr="00917F3C" w:rsidRDefault="00506350" w:rsidP="00920663">
      <w:pPr>
        <w:pStyle w:val="PS"/>
      </w:pPr>
      <w:r>
        <w:t>Vu les conclusions n° 759 du Procureur général près la Cour des comptes du 6 décembre 2011 ;</w:t>
      </w:r>
    </w:p>
    <w:p w:rsidR="00506350" w:rsidRPr="00D911AA" w:rsidRDefault="00506350" w:rsidP="00920663">
      <w:pPr>
        <w:pStyle w:val="PS"/>
      </w:pPr>
      <w:r w:rsidRPr="00D911AA">
        <w:t>Attendu que</w:t>
      </w:r>
      <w:r>
        <w:t>,</w:t>
      </w:r>
      <w:r w:rsidRPr="00D911AA">
        <w:t xml:space="preserve"> </w:t>
      </w:r>
      <w:r>
        <w:t>par l’effet de la prescription de cinq ans édictée par l’article 60 modifié de la loi du 23 février 1963 susvisée, il n’y a plus lieu de statuer sur les comptes des exercices 2004 et 2005, respectivement produits le 8 juin 2005 et le 15 mai 2006.</w:t>
      </w:r>
    </w:p>
    <w:p w:rsidR="00506350" w:rsidRPr="00D911AA" w:rsidRDefault="00506350" w:rsidP="0041723B">
      <w:pPr>
        <w:pStyle w:val="PS"/>
      </w:pPr>
      <w:r w:rsidRPr="00D911AA">
        <w:t xml:space="preserve">Par ces motifs, </w:t>
      </w:r>
    </w:p>
    <w:p w:rsidR="00506350" w:rsidRDefault="00506350" w:rsidP="0041723B">
      <w:pPr>
        <w:pStyle w:val="PS"/>
      </w:pPr>
      <w:r>
        <w:t>CONSTATE</w:t>
      </w:r>
      <w:r w:rsidRPr="00D911AA">
        <w:t xml:space="preserve"> </w:t>
      </w:r>
      <w:r>
        <w:t xml:space="preserve">la prescription du compte 2004, du 28 juillet. </w:t>
      </w:r>
    </w:p>
    <w:p w:rsidR="00506350" w:rsidRPr="00D911AA" w:rsidRDefault="00506350" w:rsidP="001A2E40">
      <w:pPr>
        <w:pStyle w:val="PS"/>
      </w:pPr>
      <w:r>
        <w:t>En conséquence,</w:t>
      </w:r>
      <w:r w:rsidRPr="00D911AA">
        <w:t xml:space="preserve"> Mme X est déclarée quitte et libérée de sa gestion</w:t>
      </w:r>
      <w:r>
        <w:t>,</w:t>
      </w:r>
      <w:r w:rsidRPr="00D911AA">
        <w:t xml:space="preserve"> </w:t>
      </w:r>
      <w:r>
        <w:t>du 28 juillet au 31 décembre 2004</w:t>
      </w:r>
      <w:r w:rsidRPr="00D911AA">
        <w:t xml:space="preserve">. Mainlevée peut être donnée et radiation peut être faite de toutes oppositions et inscriptions mises ou prises sur ses biens meubles et immeubles ou sur ceux de ses ayants cause pour sûreté de ladite gestion et son cautionnement peut être restitué ou ses cautions dégagées. </w:t>
      </w:r>
    </w:p>
    <w:p w:rsidR="00506350" w:rsidRDefault="00506350" w:rsidP="0041723B">
      <w:pPr>
        <w:pStyle w:val="PS"/>
      </w:pPr>
      <w:r>
        <w:t>CONSTATE la prescription du compte 2005.</w:t>
      </w:r>
    </w:p>
    <w:p w:rsidR="00506350" w:rsidRPr="00D911AA" w:rsidRDefault="00506350" w:rsidP="00920663">
      <w:pPr>
        <w:pStyle w:val="PS"/>
      </w:pPr>
      <w:r>
        <w:t>En conséquence, M</w:t>
      </w:r>
      <w:r w:rsidRPr="00D911AA">
        <w:t>me Y</w:t>
      </w:r>
      <w:r>
        <w:t xml:space="preserve"> est déchargée de sa gestion 2005</w:t>
      </w:r>
      <w:r w:rsidRPr="00D911AA">
        <w:t xml:space="preserve">. </w:t>
      </w:r>
    </w:p>
    <w:p w:rsidR="00506350" w:rsidRDefault="00506350" w:rsidP="00920663">
      <w:pPr>
        <w:pStyle w:val="PS"/>
        <w:ind w:firstLine="0"/>
        <w:jc w:val="center"/>
      </w:pPr>
      <w:r w:rsidRPr="00917F3C">
        <w:t>--------</w:t>
      </w:r>
    </w:p>
    <w:p w:rsidR="00506350" w:rsidRDefault="00506350" w:rsidP="006C1526">
      <w:pPr>
        <w:pStyle w:val="PS"/>
      </w:pPr>
      <w:r>
        <w:br w:type="page"/>
      </w:r>
      <w:r w:rsidRPr="00917F3C">
        <w:lastRenderedPageBreak/>
        <w:t xml:space="preserve">Fait et </w:t>
      </w:r>
      <w:r>
        <w:t>jug</w:t>
      </w:r>
      <w:r w:rsidRPr="00917F3C">
        <w:t xml:space="preserve">é </w:t>
      </w:r>
      <w:r>
        <w:t>en</w:t>
      </w:r>
      <w:r w:rsidRPr="00917F3C">
        <w:t xml:space="preserve"> la Cour des comptes, </w:t>
      </w:r>
      <w:r>
        <w:t>première chambre, troisième section, séance du trois février deux mil douze, présents : M. </w:t>
      </w:r>
      <w:proofErr w:type="spellStart"/>
      <w:r>
        <w:t>Babusiaux</w:t>
      </w:r>
      <w:proofErr w:type="spellEnd"/>
      <w:r>
        <w:t xml:space="preserve">, président de chambre, MM. Duret, Monier, </w:t>
      </w:r>
      <w:proofErr w:type="spellStart"/>
      <w:r>
        <w:t>Briet</w:t>
      </w:r>
      <w:proofErr w:type="spellEnd"/>
      <w:r>
        <w:t xml:space="preserve">, Brun-Buisson, Mmes </w:t>
      </w:r>
      <w:proofErr w:type="spellStart"/>
      <w:r>
        <w:t>Morell</w:t>
      </w:r>
      <w:proofErr w:type="spellEnd"/>
      <w:r>
        <w:t>, Fradin, et Dos Reis, conseillers maîtres.</w:t>
      </w:r>
    </w:p>
    <w:p w:rsidR="00506350" w:rsidRDefault="00506350" w:rsidP="00831BE9">
      <w:pPr>
        <w:pStyle w:val="PS"/>
      </w:pPr>
      <w:r>
        <w:t xml:space="preserve">Signé : </w:t>
      </w:r>
      <w:proofErr w:type="spellStart"/>
      <w:r>
        <w:t>Babusiaux</w:t>
      </w:r>
      <w:proofErr w:type="spellEnd"/>
      <w:r>
        <w:t>, président, et Etienne, greffière.</w:t>
      </w:r>
    </w:p>
    <w:p w:rsidR="00506350" w:rsidRDefault="00506350" w:rsidP="00831BE9">
      <w:pPr>
        <w:pStyle w:val="PS"/>
      </w:pPr>
      <w:r>
        <w:t>Collationné, certifié conforme à la minute étant au greffe de la Cour des comptes et délivré par moi, secrétaire général.</w:t>
      </w:r>
    </w:p>
    <w:p w:rsidR="00506350" w:rsidRDefault="00506350" w:rsidP="00831BE9">
      <w:pPr>
        <w:pStyle w:val="StylepsNoirPremireligne222cmAvantAutomatiqueApr"/>
        <w:spacing w:before="0" w:beforeAutospacing="0" w:after="0" w:afterAutospacing="0"/>
        <w:ind w:left="5954" w:right="-1188" w:hanging="11"/>
        <w:jc w:val="center"/>
        <w:rPr>
          <w:i w:val="0"/>
          <w:iCs w:val="0"/>
          <w:caps w:val="0"/>
          <w:color w:val="auto"/>
        </w:rPr>
      </w:pPr>
      <w:r>
        <w:rPr>
          <w:i w:val="0"/>
          <w:iCs w:val="0"/>
          <w:caps w:val="0"/>
          <w:color w:val="auto"/>
        </w:rPr>
        <w:t>Pour le Secrétaire général</w:t>
      </w:r>
    </w:p>
    <w:p w:rsidR="00506350" w:rsidRDefault="00506350" w:rsidP="00831BE9">
      <w:pPr>
        <w:pStyle w:val="StylepsNoirPremireligne222cmAvantAutomatiqueApr"/>
        <w:spacing w:before="0" w:beforeAutospacing="0" w:after="0" w:afterAutospacing="0"/>
        <w:ind w:left="5954" w:right="-1188" w:hanging="11"/>
        <w:jc w:val="center"/>
        <w:rPr>
          <w:i w:val="0"/>
          <w:iCs w:val="0"/>
          <w:caps w:val="0"/>
          <w:color w:val="auto"/>
        </w:rPr>
      </w:pPr>
      <w:proofErr w:type="gramStart"/>
      <w:r>
        <w:rPr>
          <w:i w:val="0"/>
          <w:iCs w:val="0"/>
          <w:caps w:val="0"/>
          <w:color w:val="auto"/>
        </w:rPr>
        <w:t>et</w:t>
      </w:r>
      <w:proofErr w:type="gramEnd"/>
      <w:r>
        <w:rPr>
          <w:i w:val="0"/>
          <w:iCs w:val="0"/>
          <w:caps w:val="0"/>
          <w:color w:val="auto"/>
        </w:rPr>
        <w:t xml:space="preserve"> par délégation,</w:t>
      </w:r>
    </w:p>
    <w:p w:rsidR="00506350" w:rsidRDefault="00506350" w:rsidP="00831BE9">
      <w:pPr>
        <w:pStyle w:val="StylepsNoirPremireligne222cmAvantAutomatiqueApr"/>
        <w:spacing w:before="0" w:beforeAutospacing="0" w:after="1800" w:afterAutospacing="0"/>
        <w:ind w:left="5953" w:right="-1191" w:hanging="11"/>
        <w:jc w:val="center"/>
        <w:rPr>
          <w:i w:val="0"/>
          <w:iCs w:val="0"/>
          <w:caps w:val="0"/>
          <w:color w:val="auto"/>
        </w:rPr>
      </w:pPr>
      <w:proofErr w:type="gramStart"/>
      <w:r>
        <w:rPr>
          <w:i w:val="0"/>
          <w:iCs w:val="0"/>
          <w:caps w:val="0"/>
          <w:color w:val="auto"/>
        </w:rPr>
        <w:t>le</w:t>
      </w:r>
      <w:proofErr w:type="gramEnd"/>
      <w:r>
        <w:rPr>
          <w:i w:val="0"/>
          <w:iCs w:val="0"/>
          <w:caps w:val="0"/>
          <w:color w:val="auto"/>
        </w:rPr>
        <w:t xml:space="preserve"> Chef du Greffe contentieux</w:t>
      </w:r>
    </w:p>
    <w:p w:rsidR="00506350" w:rsidRDefault="00506350" w:rsidP="0005763C">
      <w:pPr>
        <w:pStyle w:val="StylepsNoirPremireligne222cmAvantAutomatiqueApr"/>
        <w:spacing w:beforeAutospacing="0" w:after="0" w:afterAutospacing="0"/>
        <w:ind w:left="6237" w:right="-1188" w:hanging="11"/>
        <w:jc w:val="center"/>
        <w:rPr>
          <w:i w:val="0"/>
          <w:iCs w:val="0"/>
          <w:caps w:val="0"/>
          <w:color w:val="auto"/>
        </w:rPr>
      </w:pPr>
      <w:r>
        <w:rPr>
          <w:i w:val="0"/>
          <w:iCs w:val="0"/>
          <w:caps w:val="0"/>
          <w:color w:val="auto"/>
        </w:rPr>
        <w:t>Daniel FEREZ</w:t>
      </w:r>
      <w:bookmarkEnd w:id="0"/>
    </w:p>
    <w:sectPr w:rsidR="00506350" w:rsidSect="00F90F1D">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3CB" w:rsidRDefault="00F143CB">
      <w:r>
        <w:separator/>
      </w:r>
    </w:p>
  </w:endnote>
  <w:endnote w:type="continuationSeparator" w:id="0">
    <w:p w:rsidR="00F143CB" w:rsidRDefault="00F1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3CB" w:rsidRDefault="00F143CB">
      <w:r>
        <w:separator/>
      </w:r>
    </w:p>
  </w:footnote>
  <w:footnote w:type="continuationSeparator" w:id="0">
    <w:p w:rsidR="00F143CB" w:rsidRDefault="00F14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50" w:rsidRDefault="00506350">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CD5D77">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025A"/>
    <w:rsid w:val="00004A43"/>
    <w:rsid w:val="00035C87"/>
    <w:rsid w:val="0005763C"/>
    <w:rsid w:val="000C4EF4"/>
    <w:rsid w:val="00146322"/>
    <w:rsid w:val="0017473B"/>
    <w:rsid w:val="00194A67"/>
    <w:rsid w:val="001A2E40"/>
    <w:rsid w:val="002346D5"/>
    <w:rsid w:val="00264ADC"/>
    <w:rsid w:val="00292FFC"/>
    <w:rsid w:val="002C6548"/>
    <w:rsid w:val="00344698"/>
    <w:rsid w:val="00360FEE"/>
    <w:rsid w:val="003C3733"/>
    <w:rsid w:val="003E0A66"/>
    <w:rsid w:val="0041723B"/>
    <w:rsid w:val="0049630F"/>
    <w:rsid w:val="00506350"/>
    <w:rsid w:val="00611BF6"/>
    <w:rsid w:val="00616E87"/>
    <w:rsid w:val="006C1526"/>
    <w:rsid w:val="007620CF"/>
    <w:rsid w:val="007E3974"/>
    <w:rsid w:val="008316D0"/>
    <w:rsid w:val="00831BE9"/>
    <w:rsid w:val="00873E35"/>
    <w:rsid w:val="008E7363"/>
    <w:rsid w:val="00906AF7"/>
    <w:rsid w:val="00917F3C"/>
    <w:rsid w:val="00920663"/>
    <w:rsid w:val="009B219E"/>
    <w:rsid w:val="009D46D0"/>
    <w:rsid w:val="009E33D7"/>
    <w:rsid w:val="00A512FA"/>
    <w:rsid w:val="00B555BD"/>
    <w:rsid w:val="00B77116"/>
    <w:rsid w:val="00B812FC"/>
    <w:rsid w:val="00B95C73"/>
    <w:rsid w:val="00BA021A"/>
    <w:rsid w:val="00BC3532"/>
    <w:rsid w:val="00BE5375"/>
    <w:rsid w:val="00C2158E"/>
    <w:rsid w:val="00C21EC5"/>
    <w:rsid w:val="00CD506B"/>
    <w:rsid w:val="00CD5D77"/>
    <w:rsid w:val="00CE641F"/>
    <w:rsid w:val="00D911AA"/>
    <w:rsid w:val="00DF6099"/>
    <w:rsid w:val="00EA73FB"/>
    <w:rsid w:val="00F143CB"/>
    <w:rsid w:val="00F90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header"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3532"/>
  </w:style>
  <w:style w:type="paragraph" w:styleId="Titre1">
    <w:name w:val="heading 1"/>
    <w:basedOn w:val="Normal"/>
    <w:next w:val="Normal"/>
    <w:link w:val="Titre1Car"/>
    <w:qFormat/>
    <w:rsid w:val="00BC3532"/>
    <w:pPr>
      <w:spacing w:before="240"/>
      <w:outlineLvl w:val="0"/>
    </w:pPr>
    <w:rPr>
      <w:b/>
      <w:bCs/>
      <w:sz w:val="24"/>
      <w:szCs w:val="24"/>
      <w:u w:val="single"/>
    </w:rPr>
  </w:style>
  <w:style w:type="paragraph" w:styleId="Titre2">
    <w:name w:val="heading 2"/>
    <w:basedOn w:val="Normal"/>
    <w:next w:val="Normal"/>
    <w:link w:val="Titre2Car"/>
    <w:qFormat/>
    <w:rsid w:val="00BC3532"/>
    <w:pPr>
      <w:spacing w:before="120"/>
      <w:outlineLvl w:val="1"/>
    </w:pPr>
    <w:rPr>
      <w:b/>
      <w:bCs/>
      <w:sz w:val="24"/>
      <w:szCs w:val="24"/>
    </w:rPr>
  </w:style>
  <w:style w:type="paragraph" w:styleId="Titre3">
    <w:name w:val="heading 3"/>
    <w:basedOn w:val="Normal"/>
    <w:next w:val="Retraitnormal"/>
    <w:link w:val="Titre3Car"/>
    <w:qFormat/>
    <w:rsid w:val="00BC3532"/>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sid w:val="003C3733"/>
    <w:rPr>
      <w:rFonts w:ascii="Cambria" w:hAnsi="Cambria" w:cs="Cambria"/>
      <w:b/>
      <w:bCs/>
      <w:kern w:val="32"/>
      <w:sz w:val="32"/>
      <w:szCs w:val="32"/>
    </w:rPr>
  </w:style>
  <w:style w:type="character" w:customStyle="1" w:styleId="Titre2Car">
    <w:name w:val="Titre 2 Car"/>
    <w:basedOn w:val="Policepardfaut"/>
    <w:link w:val="Titre2"/>
    <w:semiHidden/>
    <w:locked/>
    <w:rsid w:val="003C3733"/>
    <w:rPr>
      <w:rFonts w:ascii="Cambria" w:hAnsi="Cambria" w:cs="Cambria"/>
      <w:b/>
      <w:bCs/>
      <w:i/>
      <w:iCs/>
      <w:sz w:val="28"/>
      <w:szCs w:val="28"/>
    </w:rPr>
  </w:style>
  <w:style w:type="character" w:customStyle="1" w:styleId="Titre3Car">
    <w:name w:val="Titre 3 Car"/>
    <w:basedOn w:val="Policepardfaut"/>
    <w:link w:val="Titre3"/>
    <w:semiHidden/>
    <w:locked/>
    <w:rsid w:val="003C3733"/>
    <w:rPr>
      <w:rFonts w:ascii="Cambria" w:hAnsi="Cambria" w:cs="Cambria"/>
      <w:b/>
      <w:bCs/>
      <w:sz w:val="26"/>
      <w:szCs w:val="26"/>
    </w:rPr>
  </w:style>
  <w:style w:type="paragraph" w:styleId="Retraitnormal">
    <w:name w:val="Normal Indent"/>
    <w:basedOn w:val="Normal"/>
    <w:rsid w:val="00BC3532"/>
    <w:pPr>
      <w:ind w:left="708"/>
    </w:pPr>
  </w:style>
  <w:style w:type="paragraph" w:styleId="En-tte">
    <w:name w:val="header"/>
    <w:basedOn w:val="Normal"/>
    <w:link w:val="En-tteCar"/>
    <w:rsid w:val="00BC3532"/>
    <w:pPr>
      <w:tabs>
        <w:tab w:val="center" w:pos="4819"/>
        <w:tab w:val="right" w:pos="9071"/>
      </w:tabs>
    </w:pPr>
  </w:style>
  <w:style w:type="character" w:customStyle="1" w:styleId="En-tteCar">
    <w:name w:val="En-tête Car"/>
    <w:basedOn w:val="Policepardfaut"/>
    <w:link w:val="En-tte"/>
    <w:semiHidden/>
    <w:locked/>
    <w:rsid w:val="003C3733"/>
    <w:rPr>
      <w:rFonts w:cs="Times New Roman"/>
      <w:sz w:val="20"/>
      <w:szCs w:val="20"/>
    </w:rPr>
  </w:style>
  <w:style w:type="paragraph" w:customStyle="1" w:styleId="ET">
    <w:name w:val="ET"/>
    <w:basedOn w:val="Normal"/>
    <w:rsid w:val="00BC3532"/>
    <w:rPr>
      <w:b/>
      <w:bCs/>
      <w:caps/>
      <w:sz w:val="24"/>
      <w:szCs w:val="24"/>
    </w:rPr>
  </w:style>
  <w:style w:type="paragraph" w:customStyle="1" w:styleId="OR">
    <w:name w:val="OR"/>
    <w:basedOn w:val="ET"/>
    <w:rsid w:val="00BC3532"/>
    <w:pPr>
      <w:ind w:left="5670"/>
    </w:pPr>
    <w:rPr>
      <w:b w:val="0"/>
      <w:bCs w:val="0"/>
      <w:caps w:val="0"/>
    </w:rPr>
  </w:style>
  <w:style w:type="paragraph" w:customStyle="1" w:styleId="TI">
    <w:name w:val="TI"/>
    <w:basedOn w:val="OR"/>
    <w:rsid w:val="00BC3532"/>
    <w:pPr>
      <w:ind w:left="1701"/>
      <w:jc w:val="center"/>
    </w:pPr>
    <w:rPr>
      <w:caps/>
      <w:u w:val="single"/>
    </w:rPr>
  </w:style>
  <w:style w:type="paragraph" w:customStyle="1" w:styleId="P0">
    <w:name w:val="P0"/>
    <w:basedOn w:val="ET"/>
    <w:rsid w:val="00BC3532"/>
    <w:pPr>
      <w:ind w:left="1701"/>
      <w:jc w:val="both"/>
    </w:pPr>
    <w:rPr>
      <w:b w:val="0"/>
      <w:bCs w:val="0"/>
      <w:caps w:val="0"/>
    </w:rPr>
  </w:style>
  <w:style w:type="paragraph" w:customStyle="1" w:styleId="EL">
    <w:name w:val="EL"/>
    <w:basedOn w:val="P0"/>
    <w:rsid w:val="00BC3532"/>
    <w:pPr>
      <w:spacing w:after="240"/>
      <w:ind w:firstLine="1418"/>
    </w:pPr>
  </w:style>
  <w:style w:type="paragraph" w:customStyle="1" w:styleId="IN">
    <w:name w:val="IN"/>
    <w:basedOn w:val="P0"/>
    <w:rsid w:val="00BC3532"/>
    <w:pPr>
      <w:ind w:left="0"/>
      <w:jc w:val="left"/>
    </w:pPr>
    <w:rPr>
      <w:i/>
      <w:iCs/>
      <w:sz w:val="16"/>
      <w:szCs w:val="16"/>
    </w:rPr>
  </w:style>
  <w:style w:type="paragraph" w:customStyle="1" w:styleId="RE">
    <w:name w:val="RE"/>
    <w:basedOn w:val="P0"/>
    <w:rsid w:val="00BC3532"/>
    <w:pPr>
      <w:ind w:left="0"/>
    </w:pPr>
  </w:style>
  <w:style w:type="paragraph" w:customStyle="1" w:styleId="PE">
    <w:name w:val="PE"/>
    <w:basedOn w:val="IN"/>
    <w:rsid w:val="00BC3532"/>
    <w:pPr>
      <w:keepNext/>
      <w:ind w:left="1701"/>
      <w:jc w:val="both"/>
    </w:pPr>
    <w:rPr>
      <w:i w:val="0"/>
      <w:iCs w:val="0"/>
      <w:sz w:val="24"/>
      <w:szCs w:val="24"/>
    </w:rPr>
  </w:style>
  <w:style w:type="paragraph" w:customStyle="1" w:styleId="PC">
    <w:name w:val="PC"/>
    <w:basedOn w:val="IN"/>
    <w:rsid w:val="00BC3532"/>
    <w:pPr>
      <w:spacing w:after="480"/>
      <w:ind w:left="2268" w:firstLine="1134"/>
      <w:jc w:val="both"/>
    </w:pPr>
    <w:rPr>
      <w:i w:val="0"/>
      <w:iCs w:val="0"/>
      <w:sz w:val="24"/>
      <w:szCs w:val="24"/>
    </w:rPr>
  </w:style>
  <w:style w:type="paragraph" w:customStyle="1" w:styleId="PS">
    <w:name w:val="PS"/>
    <w:basedOn w:val="IN"/>
    <w:rsid w:val="00BC3532"/>
    <w:pPr>
      <w:spacing w:after="480"/>
      <w:ind w:left="1701" w:firstLine="1134"/>
      <w:jc w:val="both"/>
    </w:pPr>
    <w:rPr>
      <w:i w:val="0"/>
      <w:iCs w:val="0"/>
      <w:sz w:val="24"/>
      <w:szCs w:val="24"/>
    </w:rPr>
  </w:style>
  <w:style w:type="paragraph" w:customStyle="1" w:styleId="AR">
    <w:name w:val="AR"/>
    <w:basedOn w:val="IN"/>
    <w:rsid w:val="00BC3532"/>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szCs w:val="20"/>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
    <w:basedOn w:val="Normal"/>
    <w:link w:val="CorpsdetexteCar"/>
    <w:rsid w:val="00C2158E"/>
    <w:pPr>
      <w:keepLines/>
      <w:spacing w:before="360"/>
      <w:ind w:left="1134" w:firstLine="1497"/>
      <w:jc w:val="both"/>
    </w:pPr>
    <w:rPr>
      <w:sz w:val="24"/>
      <w:szCs w:val="24"/>
    </w:rPr>
  </w:style>
  <w:style w:type="character" w:customStyle="1" w:styleId="BodyTextChar">
    <w:name w:val="Body Text Char"/>
    <w:aliases w:val="Corps de texte Car1 Char,Corps de texte Car Car Char,Corps de texte Car1 Car Car Char,Corps de texte Car Car Car Car Char,Corps de texte Car1 Car Car Car Car Char,Corps de texte Car Car Car Car Car Car Char,Corps de tObs Car Char"/>
    <w:basedOn w:val="Policepardfaut"/>
    <w:semiHidden/>
    <w:locked/>
    <w:rsid w:val="003C3733"/>
    <w:rPr>
      <w:rFonts w:cs="Times New Roman"/>
      <w:sz w:val="20"/>
      <w:szCs w:val="20"/>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locked/>
    <w:rsid w:val="00C2158E"/>
    <w:rPr>
      <w:rFonts w:cs="Times New Roman"/>
      <w:sz w:val="24"/>
      <w:szCs w:val="24"/>
      <w:lang w:val="fr-FR" w:eastAsia="fr-FR"/>
    </w:rPr>
  </w:style>
  <w:style w:type="paragraph" w:customStyle="1" w:styleId="Style">
    <w:name w:val="Style"/>
    <w:basedOn w:val="Normal"/>
    <w:rsid w:val="00C2158E"/>
    <w:pPr>
      <w:spacing w:after="160" w:line="240" w:lineRule="exact"/>
    </w:pPr>
    <w:rPr>
      <w:noProof/>
    </w:rPr>
  </w:style>
  <w:style w:type="paragraph" w:customStyle="1" w:styleId="StylepsNoirPremireligne222cmAvantAutomatiqueApr">
    <w:name w:val="Style ps + Noir Première ligne : 2.22 cm Avant : Automatique Apr..."/>
    <w:basedOn w:val="PS"/>
    <w:rsid w:val="00831BE9"/>
    <w:pPr>
      <w:spacing w:before="100" w:beforeAutospacing="1" w:after="100" w:afterAutospacing="1"/>
      <w:ind w:left="0" w:firstLine="1259"/>
    </w:pPr>
    <w:rPr>
      <w:b/>
      <w:bCs/>
      <w:i/>
      <w:iCs/>
      <w:cap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2824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2012-02-29T09:20:00Z</cp:lastPrinted>
  <dcterms:created xsi:type="dcterms:W3CDTF">2012-11-27T16:54:00Z</dcterms:created>
  <dcterms:modified xsi:type="dcterms:W3CDTF">2013-08-22T15:13:00Z</dcterms:modified>
</cp:coreProperties>
</file>