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E5C" w:rsidRPr="0030511C" w:rsidRDefault="00D27E5C" w:rsidP="00DD0396">
      <w:pPr>
        <w:jc w:val="both"/>
        <w:rPr>
          <w:b/>
          <w:bCs/>
          <w:caps/>
          <w:sz w:val="24"/>
          <w:szCs w:val="24"/>
        </w:rPr>
      </w:pPr>
      <w:r>
        <w:rPr>
          <w:b/>
          <w:bCs/>
          <w:caps/>
          <w:sz w:val="24"/>
          <w:szCs w:val="24"/>
        </w:rPr>
        <w:t xml:space="preserve">  </w:t>
      </w:r>
      <w:r w:rsidRPr="0030511C">
        <w:rPr>
          <w:b/>
          <w:bCs/>
          <w:caps/>
          <w:sz w:val="24"/>
          <w:szCs w:val="24"/>
        </w:rPr>
        <w:t>COUR DES COMPTES</w:t>
      </w:r>
    </w:p>
    <w:p w:rsidR="00D27E5C" w:rsidRPr="0030511C" w:rsidRDefault="00D27E5C" w:rsidP="00DD0396">
      <w:pPr>
        <w:jc w:val="both"/>
        <w:rPr>
          <w:b/>
          <w:bCs/>
          <w:caps/>
          <w:sz w:val="24"/>
          <w:szCs w:val="24"/>
        </w:rPr>
      </w:pPr>
      <w:r w:rsidRPr="0030511C">
        <w:rPr>
          <w:b/>
          <w:bCs/>
          <w:caps/>
          <w:sz w:val="24"/>
          <w:szCs w:val="24"/>
        </w:rPr>
        <w:t xml:space="preserve">               --------</w:t>
      </w:r>
    </w:p>
    <w:p w:rsidR="00D27E5C" w:rsidRPr="0030511C" w:rsidRDefault="00D27E5C" w:rsidP="00DD0396">
      <w:pPr>
        <w:jc w:val="both"/>
        <w:rPr>
          <w:b/>
          <w:bCs/>
          <w:caps/>
          <w:sz w:val="24"/>
          <w:szCs w:val="24"/>
        </w:rPr>
      </w:pPr>
      <w:r w:rsidRPr="0030511C">
        <w:rPr>
          <w:b/>
          <w:bCs/>
          <w:caps/>
          <w:sz w:val="24"/>
          <w:szCs w:val="24"/>
        </w:rPr>
        <w:t>QUATRIEME CHAMBRE</w:t>
      </w:r>
    </w:p>
    <w:p w:rsidR="00D27E5C" w:rsidRPr="0030511C" w:rsidRDefault="00D27E5C" w:rsidP="00DD0396">
      <w:pPr>
        <w:jc w:val="both"/>
        <w:rPr>
          <w:b/>
          <w:bCs/>
          <w:caps/>
          <w:sz w:val="24"/>
          <w:szCs w:val="24"/>
        </w:rPr>
      </w:pPr>
      <w:r w:rsidRPr="0030511C">
        <w:rPr>
          <w:b/>
          <w:bCs/>
          <w:caps/>
          <w:sz w:val="24"/>
          <w:szCs w:val="24"/>
        </w:rPr>
        <w:t xml:space="preserve">               --------</w:t>
      </w:r>
    </w:p>
    <w:p w:rsidR="00D27E5C" w:rsidRPr="0030511C" w:rsidRDefault="00D27E5C" w:rsidP="00DD0396">
      <w:pPr>
        <w:jc w:val="both"/>
        <w:rPr>
          <w:b/>
          <w:bCs/>
          <w:caps/>
          <w:sz w:val="24"/>
          <w:szCs w:val="24"/>
        </w:rPr>
      </w:pPr>
      <w:r>
        <w:rPr>
          <w:b/>
          <w:bCs/>
          <w:caps/>
          <w:sz w:val="24"/>
          <w:szCs w:val="24"/>
        </w:rPr>
        <w:t xml:space="preserve">  </w:t>
      </w:r>
      <w:r w:rsidRPr="0030511C">
        <w:rPr>
          <w:b/>
          <w:bCs/>
          <w:caps/>
          <w:sz w:val="24"/>
          <w:szCs w:val="24"/>
        </w:rPr>
        <w:t>PREMIERE SECTION</w:t>
      </w:r>
    </w:p>
    <w:p w:rsidR="00D27E5C" w:rsidRPr="00DB2EDC" w:rsidRDefault="00D27E5C" w:rsidP="00DB32EA">
      <w:pPr>
        <w:spacing w:after="120"/>
        <w:jc w:val="both"/>
        <w:rPr>
          <w:b/>
          <w:bCs/>
          <w:sz w:val="24"/>
          <w:szCs w:val="24"/>
        </w:rPr>
      </w:pPr>
      <w:r>
        <w:rPr>
          <w:sz w:val="24"/>
          <w:szCs w:val="24"/>
        </w:rPr>
        <w:tab/>
        <w:t xml:space="preserve">     </w:t>
      </w:r>
      <w:r w:rsidRPr="00DB2EDC">
        <w:rPr>
          <w:b/>
          <w:bCs/>
          <w:sz w:val="24"/>
          <w:szCs w:val="24"/>
        </w:rPr>
        <w:t>--</w:t>
      </w:r>
      <w:r>
        <w:rPr>
          <w:b/>
          <w:bCs/>
          <w:sz w:val="24"/>
          <w:szCs w:val="24"/>
        </w:rPr>
        <w:t>-</w:t>
      </w:r>
      <w:r w:rsidRPr="00DB2EDC">
        <w:rPr>
          <w:b/>
          <w:bCs/>
          <w:sz w:val="24"/>
          <w:szCs w:val="24"/>
        </w:rPr>
        <w:t>---</w:t>
      </w:r>
      <w:r>
        <w:rPr>
          <w:b/>
          <w:bCs/>
          <w:sz w:val="24"/>
          <w:szCs w:val="24"/>
        </w:rPr>
        <w:t>-</w:t>
      </w:r>
    </w:p>
    <w:p w:rsidR="00D27E5C" w:rsidRPr="00DA50A7" w:rsidRDefault="00D27E5C" w:rsidP="008C3CD0">
      <w:pPr>
        <w:pStyle w:val="Heading1"/>
        <w:spacing w:before="0"/>
        <w:jc w:val="both"/>
        <w:rPr>
          <w:i/>
          <w:iCs/>
          <w:sz w:val="22"/>
          <w:szCs w:val="22"/>
          <w:u w:val="none"/>
        </w:rPr>
      </w:pPr>
      <w:r>
        <w:rPr>
          <w:b w:val="0"/>
          <w:bCs w:val="0"/>
          <w:i/>
          <w:iCs/>
          <w:u w:val="none"/>
        </w:rPr>
        <w:t xml:space="preserve">          </w:t>
      </w:r>
      <w:r w:rsidRPr="00DA50A7">
        <w:rPr>
          <w:i/>
          <w:iCs/>
          <w:sz w:val="22"/>
          <w:szCs w:val="22"/>
          <w:u w:val="none"/>
        </w:rPr>
        <w:t xml:space="preserve">Arrêt n° </w:t>
      </w:r>
      <w:r>
        <w:rPr>
          <w:i/>
          <w:iCs/>
          <w:sz w:val="22"/>
          <w:szCs w:val="22"/>
          <w:u w:val="none"/>
        </w:rPr>
        <w:t>64183</w:t>
      </w:r>
    </w:p>
    <w:p w:rsidR="00D27E5C" w:rsidRDefault="00D27E5C" w:rsidP="00DD0396">
      <w:pPr>
        <w:pStyle w:val="OR"/>
      </w:pPr>
      <w:r>
        <w:t xml:space="preserve">COMMUNE DE RIOM </w:t>
      </w:r>
    </w:p>
    <w:p w:rsidR="00D27E5C" w:rsidRPr="0030511C" w:rsidRDefault="00D27E5C" w:rsidP="00DD0396">
      <w:pPr>
        <w:pStyle w:val="OR"/>
      </w:pPr>
      <w:r>
        <w:t>(PUY-DE-DÔME)</w:t>
      </w:r>
    </w:p>
    <w:p w:rsidR="00D27E5C" w:rsidRPr="0030511C" w:rsidRDefault="00D27E5C" w:rsidP="00DD0396">
      <w:pPr>
        <w:pStyle w:val="OR"/>
      </w:pPr>
    </w:p>
    <w:p w:rsidR="00D27E5C" w:rsidRPr="0030511C" w:rsidRDefault="00D27E5C" w:rsidP="00DD0396">
      <w:pPr>
        <w:pStyle w:val="OR"/>
      </w:pPr>
      <w:r w:rsidRPr="0030511C">
        <w:t>Appel d’un</w:t>
      </w:r>
      <w:r>
        <w:t xml:space="preserve"> jugement de la chambre régionale des comptes d’Auvergne</w:t>
      </w:r>
    </w:p>
    <w:p w:rsidR="00D27E5C" w:rsidRDefault="00D27E5C" w:rsidP="00DD0396">
      <w:pPr>
        <w:pStyle w:val="OR"/>
      </w:pPr>
    </w:p>
    <w:p w:rsidR="00D27E5C" w:rsidRPr="0030511C" w:rsidRDefault="00D27E5C" w:rsidP="00DD0396">
      <w:pPr>
        <w:pStyle w:val="OR"/>
      </w:pPr>
      <w:r w:rsidRPr="0030511C">
        <w:t>Rapport n° 2011-</w:t>
      </w:r>
      <w:r>
        <w:t>103</w:t>
      </w:r>
      <w:r w:rsidRPr="0030511C">
        <w:t>-0</w:t>
      </w:r>
    </w:p>
    <w:p w:rsidR="00D27E5C" w:rsidRPr="0030511C" w:rsidRDefault="00D27E5C" w:rsidP="00DD0396">
      <w:pPr>
        <w:pStyle w:val="OR"/>
      </w:pPr>
    </w:p>
    <w:p w:rsidR="00D27E5C" w:rsidRDefault="00D27E5C" w:rsidP="00535AC5">
      <w:pPr>
        <w:pStyle w:val="OR"/>
      </w:pPr>
      <w:r w:rsidRPr="0030511C">
        <w:t xml:space="preserve">Audience </w:t>
      </w:r>
      <w:r>
        <w:t xml:space="preserve">et délibéré </w:t>
      </w:r>
      <w:r w:rsidRPr="0030511C">
        <w:t xml:space="preserve">du </w:t>
      </w:r>
      <w:r>
        <w:t>24 mai 2012</w:t>
      </w:r>
    </w:p>
    <w:p w:rsidR="00D27E5C" w:rsidRDefault="00D27E5C" w:rsidP="00DD0396">
      <w:pPr>
        <w:pStyle w:val="OR"/>
      </w:pPr>
    </w:p>
    <w:p w:rsidR="00D27E5C" w:rsidRPr="0030511C" w:rsidRDefault="00D27E5C" w:rsidP="00391674">
      <w:pPr>
        <w:pStyle w:val="OR"/>
        <w:spacing w:after="480"/>
      </w:pPr>
      <w:r w:rsidRPr="0030511C">
        <w:t xml:space="preserve">Lecture publique du </w:t>
      </w:r>
      <w:r>
        <w:t>22 juin 2012</w:t>
      </w:r>
    </w:p>
    <w:p w:rsidR="00D27E5C" w:rsidRPr="00690D05" w:rsidRDefault="00D27E5C" w:rsidP="00391674">
      <w:pPr>
        <w:pStyle w:val="P0"/>
        <w:spacing w:after="240"/>
        <w:ind w:left="540" w:right="-284" w:firstLine="594"/>
        <w:jc w:val="center"/>
      </w:pPr>
      <w:r w:rsidRPr="00690D05">
        <w:t>REPUBLIQUE FRANÇAISE</w:t>
      </w:r>
    </w:p>
    <w:p w:rsidR="00D27E5C" w:rsidRPr="00690D05" w:rsidRDefault="00D27E5C" w:rsidP="00391674">
      <w:pPr>
        <w:pStyle w:val="P0"/>
        <w:spacing w:after="360"/>
        <w:ind w:left="539" w:right="-284" w:firstLine="594"/>
        <w:jc w:val="center"/>
      </w:pPr>
      <w:r w:rsidRPr="00690D05">
        <w:t>AU NOM DU PEUPLE FRANÇAIS</w:t>
      </w:r>
    </w:p>
    <w:p w:rsidR="00D27E5C" w:rsidRPr="00690D05" w:rsidRDefault="00D27E5C" w:rsidP="00391674">
      <w:pPr>
        <w:pStyle w:val="P0"/>
        <w:spacing w:after="480"/>
        <w:ind w:left="539" w:right="-284" w:firstLine="594"/>
        <w:jc w:val="center"/>
      </w:pPr>
      <w:r w:rsidRPr="00690D05">
        <w:t>LA COUR DES COMPTES a rendu l’arrêt suivant :</w:t>
      </w:r>
    </w:p>
    <w:p w:rsidR="00D27E5C" w:rsidRPr="003D50E5" w:rsidRDefault="00D27E5C" w:rsidP="00391674">
      <w:pPr>
        <w:pStyle w:val="PS"/>
        <w:spacing w:after="360"/>
        <w:rPr>
          <w:lang w:val="pt-BR"/>
        </w:rPr>
      </w:pPr>
      <w:r w:rsidRPr="003D50E5">
        <w:rPr>
          <w:lang w:val="pt-BR"/>
        </w:rPr>
        <w:t>LA COUR,</w:t>
      </w:r>
    </w:p>
    <w:p w:rsidR="00D27E5C" w:rsidRPr="00DB2EDC" w:rsidRDefault="00D27E5C" w:rsidP="00391674">
      <w:pPr>
        <w:pStyle w:val="PS"/>
        <w:spacing w:after="360"/>
      </w:pPr>
      <w:r w:rsidRPr="00DB2EDC">
        <w:t>Vu la requête en date du 20 juillet 2009, par laquelle le ministère public près la chambre régionale des comptes d’Auvergne a élevé appel du jugement n°</w:t>
      </w:r>
      <w:r>
        <w:t> </w:t>
      </w:r>
      <w:r w:rsidRPr="00DB2EDC">
        <w:t>2009-0016 du 19</w:t>
      </w:r>
      <w:r>
        <w:t> </w:t>
      </w:r>
      <w:r w:rsidRPr="00DB2EDC">
        <w:t>mai</w:t>
      </w:r>
      <w:r>
        <w:t> </w:t>
      </w:r>
      <w:r w:rsidRPr="00DB2EDC">
        <w:t>2009 de cette chambre régionale statuant sur les comptes de la</w:t>
      </w:r>
      <w:r>
        <w:t> </w:t>
      </w:r>
      <w:r w:rsidRPr="003D50E5">
        <w:rPr>
          <w:caps/>
        </w:rPr>
        <w:t>commune</w:t>
      </w:r>
      <w:r>
        <w:rPr>
          <w:caps/>
        </w:rPr>
        <w:t> </w:t>
      </w:r>
      <w:r w:rsidRPr="003D50E5">
        <w:rPr>
          <w:caps/>
        </w:rPr>
        <w:t>de Riom</w:t>
      </w:r>
      <w:r w:rsidRPr="00DB2EDC">
        <w:t xml:space="preserve"> pour les exercices 1999 à 2006, par lequel MM.</w:t>
      </w:r>
      <w:r>
        <w:t> </w:t>
      </w:r>
      <w:r w:rsidRPr="00DB2EDC">
        <w:rPr>
          <w:caps/>
        </w:rPr>
        <w:t>X</w:t>
      </w:r>
      <w:r w:rsidRPr="00DB2EDC">
        <w:t xml:space="preserve"> et</w:t>
      </w:r>
      <w:r>
        <w:t> </w:t>
      </w:r>
      <w:r w:rsidRPr="00DB2EDC">
        <w:rPr>
          <w:caps/>
        </w:rPr>
        <w:t>Y</w:t>
      </w:r>
      <w:r w:rsidRPr="00DB2EDC">
        <w:t>, comptables patents de</w:t>
      </w:r>
      <w:r>
        <w:t> </w:t>
      </w:r>
      <w:r w:rsidRPr="00DB2EDC">
        <w:t>ladite commune, jusqu’au 1</w:t>
      </w:r>
      <w:r w:rsidRPr="00DB2EDC">
        <w:rPr>
          <w:vertAlign w:val="superscript"/>
        </w:rPr>
        <w:t>er</w:t>
      </w:r>
      <w:r>
        <w:t> </w:t>
      </w:r>
      <w:r w:rsidRPr="00DB2EDC">
        <w:t>janvier</w:t>
      </w:r>
      <w:r>
        <w:t> </w:t>
      </w:r>
      <w:r w:rsidRPr="00DB2EDC">
        <w:t>2002 pour l’un, et à compter du</w:t>
      </w:r>
      <w:r>
        <w:t> </w:t>
      </w:r>
      <w:r w:rsidRPr="00DB2EDC">
        <w:t>2</w:t>
      </w:r>
      <w:r>
        <w:t> </w:t>
      </w:r>
      <w:r w:rsidRPr="00DB2EDC">
        <w:t>janvier</w:t>
      </w:r>
      <w:r>
        <w:t> </w:t>
      </w:r>
      <w:r w:rsidRPr="00DB2EDC">
        <w:t>2002 pour l’autre, ont</w:t>
      </w:r>
      <w:r>
        <w:t> </w:t>
      </w:r>
      <w:r w:rsidRPr="00DB2EDC">
        <w:t>été</w:t>
      </w:r>
      <w:r>
        <w:t> </w:t>
      </w:r>
      <w:r w:rsidRPr="00DB2EDC">
        <w:t>constitués débiteurs de la somme de 343,69</w:t>
      </w:r>
      <w:r>
        <w:t> </w:t>
      </w:r>
      <w:r w:rsidRPr="00DB2EDC">
        <w:t>€ pour l’un, et des sommes de</w:t>
      </w:r>
      <w:r>
        <w:t> </w:t>
      </w:r>
      <w:r w:rsidRPr="00DB2EDC">
        <w:t>105,1</w:t>
      </w:r>
      <w:r>
        <w:t>2 </w:t>
      </w:r>
      <w:r w:rsidRPr="00DB2EDC">
        <w:t>€, 4 089,38</w:t>
      </w:r>
      <w:r>
        <w:t> </w:t>
      </w:r>
      <w:r w:rsidRPr="00DB2EDC">
        <w:t>€ et 40 287,46</w:t>
      </w:r>
      <w:r>
        <w:t> </w:t>
      </w:r>
      <w:r w:rsidRPr="00DB2EDC">
        <w:t>€ pour l’autre, ces montants étant augmentés des intérêts de droit ;</w:t>
      </w:r>
    </w:p>
    <w:p w:rsidR="00D27E5C" w:rsidRPr="00DB2EDC" w:rsidRDefault="00D27E5C" w:rsidP="00391674">
      <w:pPr>
        <w:pStyle w:val="PS"/>
        <w:spacing w:after="360"/>
      </w:pPr>
      <w:r w:rsidRPr="00DB2EDC">
        <w:t xml:space="preserve">Vu </w:t>
      </w:r>
      <w:r w:rsidRPr="00DB2EDC">
        <w:rPr>
          <w:rStyle w:val="CorpsdetexteCarCar"/>
        </w:rPr>
        <w:t xml:space="preserve">le jugement </w:t>
      </w:r>
      <w:r w:rsidRPr="00DB2EDC">
        <w:t>n°</w:t>
      </w:r>
      <w:r>
        <w:t> </w:t>
      </w:r>
      <w:r w:rsidRPr="00DB2EDC">
        <w:t>2008-168 du 2</w:t>
      </w:r>
      <w:r>
        <w:t> </w:t>
      </w:r>
      <w:r w:rsidRPr="00DB2EDC">
        <w:t>décembre</w:t>
      </w:r>
      <w:r>
        <w:t> </w:t>
      </w:r>
      <w:r w:rsidRPr="00DB2EDC">
        <w:t>2008 statuant provisoirement sur les mêmes exercices ;</w:t>
      </w:r>
    </w:p>
    <w:p w:rsidR="00D27E5C" w:rsidRDefault="00D27E5C" w:rsidP="00391674">
      <w:pPr>
        <w:pStyle w:val="PS"/>
        <w:spacing w:after="360"/>
      </w:pPr>
      <w:r w:rsidRPr="00DB2EDC">
        <w:t>Vu le réquisitoire du Procureur général, en date du 23</w:t>
      </w:r>
      <w:r>
        <w:t> </w:t>
      </w:r>
      <w:r w:rsidRPr="00DB2EDC">
        <w:t>octobre</w:t>
      </w:r>
      <w:r>
        <w:t> </w:t>
      </w:r>
      <w:r w:rsidRPr="00DB2EDC">
        <w:t>2009, transmettant la requête précitée ;</w:t>
      </w:r>
    </w:p>
    <w:p w:rsidR="00D27E5C" w:rsidRPr="00DB2EDC" w:rsidRDefault="00D27E5C" w:rsidP="00391674">
      <w:pPr>
        <w:pStyle w:val="PS"/>
        <w:spacing w:after="240"/>
      </w:pPr>
      <w:r>
        <w:t xml:space="preserve">Vu l’arrêt du 7 avril 2011 par lequel la Cour des comptes, statuant à titre provisoire, a </w:t>
      </w:r>
      <w:r w:rsidRPr="00DB2EDC">
        <w:t>enjoint à M</w:t>
      </w:r>
      <w:r>
        <w:t>M</w:t>
      </w:r>
      <w:r w:rsidRPr="00DB2EDC">
        <w:t>.</w:t>
      </w:r>
      <w:r>
        <w:t> </w:t>
      </w:r>
      <w:r w:rsidRPr="00DB2EDC">
        <w:t>X</w:t>
      </w:r>
      <w:r>
        <w:t xml:space="preserve"> et Y, dans un délai de deux mois à compter de la notification du dit arrêt,</w:t>
      </w:r>
      <w:r w:rsidRPr="00DB2EDC">
        <w:t xml:space="preserve"> de justifier du reversement de</w:t>
      </w:r>
      <w:r>
        <w:t xml:space="preserve"> respectivement </w:t>
      </w:r>
      <w:r w:rsidRPr="00DB2EDC">
        <w:t>49 804,88</w:t>
      </w:r>
      <w:r>
        <w:t> </w:t>
      </w:r>
      <w:r w:rsidRPr="00DB2EDC">
        <w:t xml:space="preserve">€ </w:t>
      </w:r>
      <w:r>
        <w:t xml:space="preserve">et </w:t>
      </w:r>
      <w:r w:rsidRPr="00DB2EDC">
        <w:t>77 263,08</w:t>
      </w:r>
      <w:r>
        <w:t> </w:t>
      </w:r>
      <w:r w:rsidRPr="00DB2EDC">
        <w:t>€ dans l</w:t>
      </w:r>
      <w:r>
        <w:t xml:space="preserve">a caisse de la commune de Riom, </w:t>
      </w:r>
      <w:r w:rsidRPr="00DB2EDC">
        <w:t>ou de produire toute justification à décharge</w:t>
      </w:r>
      <w:r>
        <w:t> ;</w:t>
      </w:r>
    </w:p>
    <w:p w:rsidR="00D27E5C" w:rsidRDefault="00D27E5C">
      <w:pPr>
        <w:pStyle w:val="P0"/>
        <w:sectPr w:rsidR="00D27E5C">
          <w:pgSz w:w="11907" w:h="16840"/>
          <w:pgMar w:top="1134" w:right="1134" w:bottom="1134" w:left="567" w:header="720" w:footer="720" w:gutter="0"/>
          <w:cols w:space="720"/>
        </w:sectPr>
      </w:pPr>
    </w:p>
    <w:p w:rsidR="00D27E5C" w:rsidRPr="00DB2EDC" w:rsidRDefault="00D27E5C" w:rsidP="003D50E5">
      <w:pPr>
        <w:pStyle w:val="PS"/>
      </w:pPr>
      <w:r w:rsidRPr="00DB2EDC">
        <w:t xml:space="preserve">Vu les pièces de la procédure suivie en première instance ; </w:t>
      </w:r>
    </w:p>
    <w:p w:rsidR="00D27E5C" w:rsidRPr="00DB2EDC" w:rsidRDefault="00D27E5C" w:rsidP="003D50E5">
      <w:pPr>
        <w:pStyle w:val="PS"/>
      </w:pPr>
      <w:r w:rsidRPr="00DB2EDC">
        <w:t>Vu l’article 60 de la loi de finances n°</w:t>
      </w:r>
      <w:r>
        <w:t> </w:t>
      </w:r>
      <w:r w:rsidRPr="00DB2EDC">
        <w:t>63-156 du 23</w:t>
      </w:r>
      <w:r>
        <w:t> </w:t>
      </w:r>
      <w:r w:rsidRPr="00DB2EDC">
        <w:t>février</w:t>
      </w:r>
      <w:r>
        <w:t> </w:t>
      </w:r>
      <w:r w:rsidRPr="00DB2EDC">
        <w:t>1963 modifiée ;</w:t>
      </w:r>
    </w:p>
    <w:p w:rsidR="00D27E5C" w:rsidRPr="00DB2EDC" w:rsidRDefault="00D27E5C" w:rsidP="003D50E5">
      <w:pPr>
        <w:pStyle w:val="PS"/>
      </w:pPr>
      <w:r w:rsidRPr="00DB2EDC">
        <w:t>Vu le décret n°</w:t>
      </w:r>
      <w:r>
        <w:t> </w:t>
      </w:r>
      <w:r w:rsidRPr="00DB2EDC">
        <w:t>62-1587 du 29</w:t>
      </w:r>
      <w:r>
        <w:t> </w:t>
      </w:r>
      <w:r w:rsidRPr="00DB2EDC">
        <w:t>décembre</w:t>
      </w:r>
      <w:r>
        <w:t> </w:t>
      </w:r>
      <w:r w:rsidRPr="00DB2EDC">
        <w:t>1962 modifié portant règlement général sur la comptabilité publique ;</w:t>
      </w:r>
    </w:p>
    <w:p w:rsidR="00D27E5C" w:rsidRPr="00DB2EDC" w:rsidRDefault="00D27E5C" w:rsidP="003D50E5">
      <w:pPr>
        <w:pStyle w:val="PS"/>
      </w:pPr>
      <w:r w:rsidRPr="00DB2EDC">
        <w:t>Vu le code général des collectivités territoriales ;</w:t>
      </w:r>
    </w:p>
    <w:p w:rsidR="00D27E5C" w:rsidRPr="00DB2EDC" w:rsidRDefault="00D27E5C" w:rsidP="003D50E5">
      <w:pPr>
        <w:pStyle w:val="PS"/>
      </w:pPr>
      <w:r w:rsidRPr="00DB2EDC">
        <w:t>Vu le code des juridictions financières ;</w:t>
      </w:r>
    </w:p>
    <w:p w:rsidR="00D27E5C" w:rsidRPr="00DB2EDC" w:rsidRDefault="00D27E5C" w:rsidP="00D9475B">
      <w:pPr>
        <w:pStyle w:val="PS"/>
      </w:pPr>
      <w:r w:rsidRPr="00DB2EDC">
        <w:t>Vu le rapport de M.</w:t>
      </w:r>
      <w:r>
        <w:t> </w:t>
      </w:r>
      <w:r w:rsidRPr="00DB2EDC">
        <w:t>Omar S</w:t>
      </w:r>
      <w:r>
        <w:t>enhaji</w:t>
      </w:r>
      <w:r w:rsidRPr="00DB2EDC">
        <w:t>, conseiller référendaire ;</w:t>
      </w:r>
    </w:p>
    <w:p w:rsidR="00D27E5C" w:rsidRPr="00DB2EDC" w:rsidRDefault="00D27E5C" w:rsidP="003D50E5">
      <w:pPr>
        <w:pStyle w:val="PS"/>
      </w:pPr>
      <w:r w:rsidRPr="00DB2EDC">
        <w:t xml:space="preserve">Vu les conclusions du Procureur général </w:t>
      </w:r>
      <w:r>
        <w:t xml:space="preserve">en date du 19 avril 2012 </w:t>
      </w:r>
      <w:r w:rsidRPr="00DB2EDC">
        <w:t>;</w:t>
      </w:r>
    </w:p>
    <w:p w:rsidR="00D27E5C" w:rsidRPr="00DB2EDC" w:rsidRDefault="00D27E5C" w:rsidP="00D9475B">
      <w:pPr>
        <w:pStyle w:val="PS"/>
      </w:pPr>
      <w:r w:rsidRPr="00DB2EDC">
        <w:t>Entendu, lors de l’audience publique de ce jour, M.</w:t>
      </w:r>
      <w:r>
        <w:t> Senhaji</w:t>
      </w:r>
      <w:r w:rsidRPr="00DB2EDC">
        <w:t>, rapporteur, en son rapport, M.</w:t>
      </w:r>
      <w:r>
        <w:t> </w:t>
      </w:r>
      <w:r w:rsidRPr="00DB2EDC">
        <w:t>M</w:t>
      </w:r>
      <w:r>
        <w:t>ichaut</w:t>
      </w:r>
      <w:r w:rsidRPr="00DB2EDC">
        <w:t>, avocat général, en les conclusions du</w:t>
      </w:r>
      <w:r>
        <w:t> </w:t>
      </w:r>
      <w:r w:rsidRPr="00DB2EDC">
        <w:t>Parquet, l</w:t>
      </w:r>
      <w:r>
        <w:t>’</w:t>
      </w:r>
      <w:r w:rsidRPr="00DB2EDC">
        <w:t>appelant, informé de l’audience, n’étant ni présent, ni représenté ;</w:t>
      </w:r>
    </w:p>
    <w:p w:rsidR="00D27E5C" w:rsidRPr="00DB2EDC" w:rsidRDefault="00D27E5C" w:rsidP="003D50E5">
      <w:pPr>
        <w:pStyle w:val="PS"/>
      </w:pPr>
      <w:r w:rsidRPr="00DB2EDC">
        <w:t>Entendu, en délibéré, M.</w:t>
      </w:r>
      <w:r>
        <w:t> </w:t>
      </w:r>
      <w:r w:rsidRPr="00DB2EDC">
        <w:t>G</w:t>
      </w:r>
      <w:r>
        <w:t>eoffroy</w:t>
      </w:r>
      <w:r w:rsidRPr="00DB2EDC">
        <w:t>, conseiller maître, en ses observations ;</w:t>
      </w:r>
    </w:p>
    <w:p w:rsidR="00D27E5C" w:rsidRPr="00DB2EDC" w:rsidRDefault="00D27E5C" w:rsidP="00D9475B">
      <w:pPr>
        <w:pStyle w:val="PS"/>
      </w:pPr>
      <w:r w:rsidRPr="00DB2EDC">
        <w:t>Attendu que la commune de Riom a conclu avec l’association « Volley</w:t>
      </w:r>
      <w:r>
        <w:t>-</w:t>
      </w:r>
      <w:r w:rsidRPr="00DB2EDC">
        <w:t>Ball Club Riomois » des contrats sur la base desquels les</w:t>
      </w:r>
      <w:r>
        <w:t> </w:t>
      </w:r>
      <w:r w:rsidRPr="00DB2EDC">
        <w:t>douze</w:t>
      </w:r>
      <w:r>
        <w:t> </w:t>
      </w:r>
      <w:r w:rsidRPr="00DB2EDC">
        <w:t>mandats ci-après ont donné lieu à paiements entre 2000 et 2005 ; que</w:t>
      </w:r>
      <w:r>
        <w:t> </w:t>
      </w:r>
      <w:r w:rsidRPr="00DB2EDC">
        <w:t>par la signature de protocoles conclus entre novembre</w:t>
      </w:r>
      <w:r>
        <w:t> </w:t>
      </w:r>
      <w:r w:rsidRPr="00DB2EDC">
        <w:t>1997 et décembre</w:t>
      </w:r>
      <w:r>
        <w:t> </w:t>
      </w:r>
      <w:r w:rsidRPr="00DB2EDC">
        <w:t>2000, il a été convenu qu’une partie de ces subventions serait versée directement à la banque Crédit Agricole pour le remboursement des échéances d’un emprunt que celle-ci avait consenti à l’association ; que les paiements litigieux sont intervenus au bénéfice de la banque Crédit Agricole ;</w:t>
      </w:r>
    </w:p>
    <w:tbl>
      <w:tblPr>
        <w:tblW w:w="9214" w:type="dxa"/>
        <w:jc w:val="right"/>
        <w:tblCellMar>
          <w:left w:w="70" w:type="dxa"/>
          <w:right w:w="70" w:type="dxa"/>
        </w:tblCellMar>
        <w:tblLook w:val="0000"/>
      </w:tblPr>
      <w:tblGrid>
        <w:gridCol w:w="2552"/>
        <w:gridCol w:w="2126"/>
        <w:gridCol w:w="2268"/>
        <w:gridCol w:w="2268"/>
      </w:tblGrid>
      <w:tr w:rsidR="00D27E5C">
        <w:trPr>
          <w:trHeight w:val="255"/>
          <w:jc w:val="right"/>
        </w:trPr>
        <w:tc>
          <w:tcPr>
            <w:tcW w:w="2552" w:type="dxa"/>
            <w:tcBorders>
              <w:top w:val="single" w:sz="4" w:space="0" w:color="auto"/>
              <w:left w:val="single" w:sz="4" w:space="0" w:color="auto"/>
              <w:bottom w:val="single" w:sz="4" w:space="0" w:color="auto"/>
              <w:right w:val="single" w:sz="4" w:space="0" w:color="auto"/>
            </w:tcBorders>
            <w:noWrap/>
            <w:vAlign w:val="bottom"/>
          </w:tcPr>
          <w:p w:rsidR="00D27E5C" w:rsidRPr="009E35E7" w:rsidRDefault="00D27E5C" w:rsidP="00026F23">
            <w:pPr>
              <w:ind w:left="355"/>
              <w:jc w:val="center"/>
              <w:rPr>
                <w:rFonts w:ascii="Arial" w:hAnsi="Arial" w:cs="Arial"/>
              </w:rPr>
            </w:pPr>
            <w:r w:rsidRPr="009E35E7">
              <w:rPr>
                <w:rFonts w:ascii="Arial" w:hAnsi="Arial" w:cs="Arial"/>
              </w:rPr>
              <w:t>Exercice</w:t>
            </w:r>
            <w:r>
              <w:rPr>
                <w:rFonts w:ascii="Arial" w:hAnsi="Arial" w:cs="Arial"/>
              </w:rPr>
              <w:t>s</w:t>
            </w:r>
          </w:p>
        </w:tc>
        <w:tc>
          <w:tcPr>
            <w:tcW w:w="2126" w:type="dxa"/>
            <w:tcBorders>
              <w:top w:val="single" w:sz="4" w:space="0" w:color="auto"/>
              <w:left w:val="nil"/>
              <w:bottom w:val="single" w:sz="4" w:space="0" w:color="auto"/>
              <w:right w:val="single" w:sz="4" w:space="0" w:color="auto"/>
            </w:tcBorders>
            <w:noWrap/>
            <w:vAlign w:val="bottom"/>
          </w:tcPr>
          <w:p w:rsidR="00D27E5C" w:rsidRPr="009E35E7" w:rsidRDefault="00D27E5C" w:rsidP="00026F23">
            <w:pPr>
              <w:jc w:val="center"/>
              <w:rPr>
                <w:rFonts w:ascii="Arial" w:hAnsi="Arial" w:cs="Arial"/>
              </w:rPr>
            </w:pPr>
            <w:r>
              <w:rPr>
                <w:rFonts w:ascii="Arial" w:hAnsi="Arial" w:cs="Arial"/>
              </w:rPr>
              <w:t>C</w:t>
            </w:r>
            <w:r w:rsidRPr="009E35E7">
              <w:rPr>
                <w:rFonts w:ascii="Arial" w:hAnsi="Arial" w:cs="Arial"/>
              </w:rPr>
              <w:t>omptable</w:t>
            </w:r>
            <w:r>
              <w:rPr>
                <w:rFonts w:ascii="Arial" w:hAnsi="Arial" w:cs="Arial"/>
              </w:rPr>
              <w:t>s</w:t>
            </w:r>
          </w:p>
        </w:tc>
        <w:tc>
          <w:tcPr>
            <w:tcW w:w="2268" w:type="dxa"/>
            <w:tcBorders>
              <w:top w:val="single" w:sz="4" w:space="0" w:color="auto"/>
              <w:left w:val="nil"/>
              <w:bottom w:val="single" w:sz="4" w:space="0" w:color="auto"/>
              <w:right w:val="single" w:sz="4" w:space="0" w:color="auto"/>
            </w:tcBorders>
            <w:noWrap/>
            <w:vAlign w:val="bottom"/>
          </w:tcPr>
          <w:p w:rsidR="00D27E5C" w:rsidRPr="009E35E7" w:rsidRDefault="00D27E5C" w:rsidP="00026F23">
            <w:pPr>
              <w:ind w:left="-70"/>
              <w:jc w:val="center"/>
              <w:rPr>
                <w:rFonts w:ascii="Arial" w:hAnsi="Arial" w:cs="Arial"/>
              </w:rPr>
            </w:pPr>
            <w:r>
              <w:rPr>
                <w:rFonts w:ascii="Arial" w:hAnsi="Arial" w:cs="Arial"/>
              </w:rPr>
              <w:t>N</w:t>
            </w:r>
            <w:r w:rsidRPr="009E35E7">
              <w:rPr>
                <w:rFonts w:ascii="Arial" w:hAnsi="Arial" w:cs="Arial"/>
              </w:rPr>
              <w:t>° des mandats</w:t>
            </w:r>
          </w:p>
        </w:tc>
        <w:tc>
          <w:tcPr>
            <w:tcW w:w="2268" w:type="dxa"/>
            <w:tcBorders>
              <w:top w:val="single" w:sz="4" w:space="0" w:color="auto"/>
              <w:left w:val="nil"/>
              <w:bottom w:val="single" w:sz="4" w:space="0" w:color="auto"/>
              <w:right w:val="single" w:sz="4" w:space="0" w:color="auto"/>
            </w:tcBorders>
            <w:noWrap/>
            <w:vAlign w:val="bottom"/>
          </w:tcPr>
          <w:p w:rsidR="00D27E5C" w:rsidRPr="009E35E7" w:rsidRDefault="00D27E5C" w:rsidP="00026F23">
            <w:pPr>
              <w:ind w:left="497"/>
              <w:jc w:val="center"/>
              <w:rPr>
                <w:rFonts w:ascii="Arial" w:hAnsi="Arial" w:cs="Arial"/>
              </w:rPr>
            </w:pPr>
            <w:r>
              <w:rPr>
                <w:rFonts w:ascii="Arial" w:hAnsi="Arial" w:cs="Arial"/>
              </w:rPr>
              <w:t>M</w:t>
            </w:r>
            <w:r w:rsidRPr="009E35E7">
              <w:rPr>
                <w:rFonts w:ascii="Arial" w:hAnsi="Arial" w:cs="Arial"/>
              </w:rPr>
              <w:t>ontants</w:t>
            </w:r>
          </w:p>
        </w:tc>
      </w:tr>
      <w:tr w:rsidR="00D27E5C">
        <w:trPr>
          <w:trHeight w:val="255"/>
          <w:jc w:val="right"/>
        </w:trPr>
        <w:tc>
          <w:tcPr>
            <w:tcW w:w="2552" w:type="dxa"/>
            <w:tcBorders>
              <w:top w:val="nil"/>
              <w:left w:val="single" w:sz="4" w:space="0" w:color="auto"/>
              <w:bottom w:val="single" w:sz="4" w:space="0" w:color="auto"/>
              <w:right w:val="single" w:sz="4" w:space="0" w:color="auto"/>
            </w:tcBorders>
            <w:noWrap/>
            <w:vAlign w:val="bottom"/>
          </w:tcPr>
          <w:p w:rsidR="00D27E5C" w:rsidRPr="009E35E7" w:rsidRDefault="00D27E5C" w:rsidP="00026F23">
            <w:pPr>
              <w:ind w:left="355"/>
              <w:jc w:val="center"/>
              <w:rPr>
                <w:rFonts w:ascii="Arial" w:hAnsi="Arial" w:cs="Arial"/>
              </w:rPr>
            </w:pPr>
            <w:r w:rsidRPr="009E35E7">
              <w:rPr>
                <w:rFonts w:ascii="Arial" w:hAnsi="Arial" w:cs="Arial"/>
              </w:rPr>
              <w:t>2000</w:t>
            </w:r>
          </w:p>
        </w:tc>
        <w:tc>
          <w:tcPr>
            <w:tcW w:w="2126" w:type="dxa"/>
            <w:vMerge w:val="restart"/>
            <w:tcBorders>
              <w:top w:val="nil"/>
              <w:left w:val="single" w:sz="4" w:space="0" w:color="auto"/>
              <w:bottom w:val="single" w:sz="4" w:space="0" w:color="000000"/>
              <w:right w:val="single" w:sz="4" w:space="0" w:color="auto"/>
            </w:tcBorders>
            <w:noWrap/>
            <w:vAlign w:val="center"/>
          </w:tcPr>
          <w:p w:rsidR="00D27E5C" w:rsidRPr="009E35E7" w:rsidRDefault="00D27E5C" w:rsidP="00026F23">
            <w:pPr>
              <w:jc w:val="center"/>
              <w:rPr>
                <w:rFonts w:ascii="Arial" w:hAnsi="Arial" w:cs="Arial"/>
              </w:rPr>
            </w:pPr>
            <w:r w:rsidRPr="009E35E7">
              <w:rPr>
                <w:rFonts w:ascii="Arial" w:hAnsi="Arial" w:cs="Arial"/>
              </w:rPr>
              <w:t>M. X</w:t>
            </w:r>
          </w:p>
        </w:tc>
        <w:tc>
          <w:tcPr>
            <w:tcW w:w="2268" w:type="dxa"/>
            <w:tcBorders>
              <w:top w:val="nil"/>
              <w:left w:val="nil"/>
              <w:bottom w:val="single" w:sz="4" w:space="0" w:color="auto"/>
              <w:right w:val="single" w:sz="4" w:space="0" w:color="auto"/>
            </w:tcBorders>
            <w:noWrap/>
            <w:vAlign w:val="bottom"/>
          </w:tcPr>
          <w:p w:rsidR="00D27E5C" w:rsidRPr="009E35E7" w:rsidRDefault="00D27E5C" w:rsidP="00026F23">
            <w:pPr>
              <w:ind w:left="-70"/>
              <w:jc w:val="center"/>
              <w:rPr>
                <w:rFonts w:ascii="Arial" w:hAnsi="Arial" w:cs="Arial"/>
              </w:rPr>
            </w:pPr>
            <w:r w:rsidRPr="009E35E7">
              <w:rPr>
                <w:rFonts w:ascii="Arial" w:hAnsi="Arial" w:cs="Arial"/>
              </w:rPr>
              <w:t>1651 et 5194</w:t>
            </w:r>
          </w:p>
        </w:tc>
        <w:tc>
          <w:tcPr>
            <w:tcW w:w="2268" w:type="dxa"/>
            <w:tcBorders>
              <w:top w:val="nil"/>
              <w:left w:val="nil"/>
              <w:bottom w:val="single" w:sz="4" w:space="0" w:color="auto"/>
              <w:right w:val="single" w:sz="4" w:space="0" w:color="auto"/>
            </w:tcBorders>
            <w:noWrap/>
            <w:vAlign w:val="bottom"/>
          </w:tcPr>
          <w:p w:rsidR="00D27E5C" w:rsidRPr="009E35E7" w:rsidRDefault="00D27E5C" w:rsidP="00026F23">
            <w:pPr>
              <w:ind w:left="497" w:right="270"/>
              <w:jc w:val="right"/>
              <w:rPr>
                <w:rFonts w:ascii="Arial" w:hAnsi="Arial" w:cs="Arial"/>
              </w:rPr>
            </w:pPr>
            <w:r w:rsidRPr="009E35E7">
              <w:rPr>
                <w:rFonts w:ascii="Arial" w:hAnsi="Arial" w:cs="Arial"/>
              </w:rPr>
              <w:t>30 489,80 €</w:t>
            </w:r>
          </w:p>
        </w:tc>
      </w:tr>
      <w:tr w:rsidR="00D27E5C">
        <w:trPr>
          <w:trHeight w:val="255"/>
          <w:jc w:val="right"/>
        </w:trPr>
        <w:tc>
          <w:tcPr>
            <w:tcW w:w="2552" w:type="dxa"/>
            <w:tcBorders>
              <w:top w:val="nil"/>
              <w:left w:val="single" w:sz="4" w:space="0" w:color="auto"/>
              <w:bottom w:val="single" w:sz="4" w:space="0" w:color="auto"/>
              <w:right w:val="single" w:sz="4" w:space="0" w:color="auto"/>
            </w:tcBorders>
            <w:noWrap/>
            <w:vAlign w:val="bottom"/>
          </w:tcPr>
          <w:p w:rsidR="00D27E5C" w:rsidRPr="009E35E7" w:rsidRDefault="00D27E5C" w:rsidP="00026F23">
            <w:pPr>
              <w:ind w:left="355"/>
              <w:jc w:val="center"/>
              <w:rPr>
                <w:rFonts w:ascii="Arial" w:hAnsi="Arial" w:cs="Arial"/>
              </w:rPr>
            </w:pPr>
            <w:r w:rsidRPr="009E35E7">
              <w:rPr>
                <w:rFonts w:ascii="Arial" w:hAnsi="Arial" w:cs="Arial"/>
              </w:rPr>
              <w:t>2001</w:t>
            </w:r>
          </w:p>
        </w:tc>
        <w:tc>
          <w:tcPr>
            <w:tcW w:w="2126" w:type="dxa"/>
            <w:vMerge/>
            <w:tcBorders>
              <w:top w:val="nil"/>
              <w:left w:val="single" w:sz="4" w:space="0" w:color="auto"/>
              <w:bottom w:val="single" w:sz="4" w:space="0" w:color="000000"/>
              <w:right w:val="single" w:sz="4" w:space="0" w:color="auto"/>
            </w:tcBorders>
            <w:vAlign w:val="center"/>
          </w:tcPr>
          <w:p w:rsidR="00D27E5C" w:rsidRPr="009E35E7" w:rsidRDefault="00D27E5C" w:rsidP="00026F23">
            <w:pPr>
              <w:ind w:left="497"/>
              <w:rPr>
                <w:rFonts w:ascii="Arial" w:hAnsi="Arial" w:cs="Arial"/>
              </w:rPr>
            </w:pPr>
          </w:p>
        </w:tc>
        <w:tc>
          <w:tcPr>
            <w:tcW w:w="2268" w:type="dxa"/>
            <w:tcBorders>
              <w:top w:val="nil"/>
              <w:left w:val="nil"/>
              <w:bottom w:val="single" w:sz="4" w:space="0" w:color="auto"/>
              <w:right w:val="single" w:sz="4" w:space="0" w:color="auto"/>
            </w:tcBorders>
            <w:noWrap/>
            <w:vAlign w:val="bottom"/>
          </w:tcPr>
          <w:p w:rsidR="00D27E5C" w:rsidRPr="009E35E7" w:rsidRDefault="00D27E5C" w:rsidP="00026F23">
            <w:pPr>
              <w:ind w:left="-70"/>
              <w:jc w:val="center"/>
              <w:rPr>
                <w:rFonts w:ascii="Arial" w:hAnsi="Arial" w:cs="Arial"/>
              </w:rPr>
            </w:pPr>
            <w:r w:rsidRPr="009E35E7">
              <w:rPr>
                <w:rFonts w:ascii="Arial" w:hAnsi="Arial" w:cs="Arial"/>
              </w:rPr>
              <w:t>2076 et 5890</w:t>
            </w:r>
          </w:p>
        </w:tc>
        <w:tc>
          <w:tcPr>
            <w:tcW w:w="2268" w:type="dxa"/>
            <w:tcBorders>
              <w:top w:val="nil"/>
              <w:left w:val="nil"/>
              <w:bottom w:val="single" w:sz="4" w:space="0" w:color="auto"/>
              <w:right w:val="single" w:sz="4" w:space="0" w:color="auto"/>
            </w:tcBorders>
            <w:noWrap/>
            <w:vAlign w:val="bottom"/>
          </w:tcPr>
          <w:p w:rsidR="00D27E5C" w:rsidRPr="009E35E7" w:rsidRDefault="00D27E5C" w:rsidP="00026F23">
            <w:pPr>
              <w:ind w:left="497" w:right="270"/>
              <w:jc w:val="right"/>
              <w:rPr>
                <w:rFonts w:ascii="Arial" w:hAnsi="Arial" w:cs="Arial"/>
              </w:rPr>
            </w:pPr>
            <w:r w:rsidRPr="009E35E7">
              <w:rPr>
                <w:rFonts w:ascii="Arial" w:hAnsi="Arial" w:cs="Arial"/>
              </w:rPr>
              <w:t>19 315,08 €</w:t>
            </w:r>
          </w:p>
        </w:tc>
      </w:tr>
      <w:tr w:rsidR="00D27E5C">
        <w:trPr>
          <w:trHeight w:val="255"/>
          <w:jc w:val="right"/>
        </w:trPr>
        <w:tc>
          <w:tcPr>
            <w:tcW w:w="6946" w:type="dxa"/>
            <w:gridSpan w:val="3"/>
            <w:tcBorders>
              <w:top w:val="single" w:sz="4" w:space="0" w:color="auto"/>
              <w:left w:val="single" w:sz="4" w:space="0" w:color="auto"/>
              <w:bottom w:val="single" w:sz="4" w:space="0" w:color="auto"/>
              <w:right w:val="single" w:sz="4" w:space="0" w:color="000000"/>
            </w:tcBorders>
            <w:noWrap/>
            <w:vAlign w:val="bottom"/>
          </w:tcPr>
          <w:p w:rsidR="00D27E5C" w:rsidRPr="009E35E7" w:rsidRDefault="00D27E5C" w:rsidP="00026F23">
            <w:pPr>
              <w:ind w:left="781"/>
              <w:rPr>
                <w:rFonts w:ascii="Arial" w:hAnsi="Arial" w:cs="Arial"/>
                <w:b/>
                <w:bCs/>
              </w:rPr>
            </w:pPr>
            <w:r w:rsidRPr="009E35E7">
              <w:rPr>
                <w:rFonts w:ascii="Arial" w:hAnsi="Arial" w:cs="Arial"/>
                <w:b/>
                <w:bCs/>
              </w:rPr>
              <w:t>sous-total</w:t>
            </w:r>
          </w:p>
        </w:tc>
        <w:tc>
          <w:tcPr>
            <w:tcW w:w="2268" w:type="dxa"/>
            <w:tcBorders>
              <w:top w:val="nil"/>
              <w:left w:val="nil"/>
              <w:bottom w:val="single" w:sz="4" w:space="0" w:color="auto"/>
              <w:right w:val="single" w:sz="4" w:space="0" w:color="auto"/>
            </w:tcBorders>
            <w:noWrap/>
            <w:vAlign w:val="bottom"/>
          </w:tcPr>
          <w:p w:rsidR="00D27E5C" w:rsidRPr="009E35E7" w:rsidRDefault="00D27E5C" w:rsidP="00026F23">
            <w:pPr>
              <w:ind w:left="497" w:right="270"/>
              <w:jc w:val="right"/>
              <w:rPr>
                <w:rFonts w:ascii="Arial" w:hAnsi="Arial" w:cs="Arial"/>
                <w:b/>
                <w:bCs/>
              </w:rPr>
            </w:pPr>
            <w:r w:rsidRPr="009E35E7">
              <w:rPr>
                <w:rFonts w:ascii="Arial" w:hAnsi="Arial" w:cs="Arial"/>
                <w:b/>
                <w:bCs/>
              </w:rPr>
              <w:t>49 804,88 €</w:t>
            </w:r>
          </w:p>
        </w:tc>
      </w:tr>
      <w:tr w:rsidR="00D27E5C">
        <w:trPr>
          <w:trHeight w:val="255"/>
          <w:jc w:val="right"/>
        </w:trPr>
        <w:tc>
          <w:tcPr>
            <w:tcW w:w="2552" w:type="dxa"/>
            <w:tcBorders>
              <w:top w:val="nil"/>
              <w:left w:val="single" w:sz="4" w:space="0" w:color="auto"/>
              <w:bottom w:val="single" w:sz="4" w:space="0" w:color="auto"/>
              <w:right w:val="single" w:sz="4" w:space="0" w:color="auto"/>
            </w:tcBorders>
            <w:noWrap/>
            <w:vAlign w:val="bottom"/>
          </w:tcPr>
          <w:p w:rsidR="00D27E5C" w:rsidRPr="009E35E7" w:rsidRDefault="00D27E5C" w:rsidP="00026F23">
            <w:pPr>
              <w:ind w:left="355"/>
              <w:jc w:val="center"/>
              <w:rPr>
                <w:rFonts w:ascii="Arial" w:hAnsi="Arial" w:cs="Arial"/>
              </w:rPr>
            </w:pPr>
            <w:r w:rsidRPr="009E35E7">
              <w:rPr>
                <w:rFonts w:ascii="Arial" w:hAnsi="Arial" w:cs="Arial"/>
              </w:rPr>
              <w:t>2002</w:t>
            </w:r>
          </w:p>
        </w:tc>
        <w:tc>
          <w:tcPr>
            <w:tcW w:w="2126" w:type="dxa"/>
            <w:vMerge w:val="restart"/>
            <w:tcBorders>
              <w:top w:val="nil"/>
              <w:left w:val="single" w:sz="4" w:space="0" w:color="auto"/>
              <w:bottom w:val="single" w:sz="4" w:space="0" w:color="000000"/>
              <w:right w:val="single" w:sz="4" w:space="0" w:color="auto"/>
            </w:tcBorders>
            <w:noWrap/>
            <w:vAlign w:val="center"/>
          </w:tcPr>
          <w:p w:rsidR="00D27E5C" w:rsidRPr="009E35E7" w:rsidRDefault="00D27E5C" w:rsidP="00026F23">
            <w:pPr>
              <w:ind w:left="-70"/>
              <w:jc w:val="center"/>
              <w:rPr>
                <w:rFonts w:ascii="Arial" w:hAnsi="Arial" w:cs="Arial"/>
              </w:rPr>
            </w:pPr>
            <w:r w:rsidRPr="009E35E7">
              <w:rPr>
                <w:rFonts w:ascii="Arial" w:hAnsi="Arial" w:cs="Arial"/>
              </w:rPr>
              <w:t>M. Y</w:t>
            </w:r>
          </w:p>
        </w:tc>
        <w:tc>
          <w:tcPr>
            <w:tcW w:w="2268" w:type="dxa"/>
            <w:tcBorders>
              <w:top w:val="nil"/>
              <w:left w:val="nil"/>
              <w:bottom w:val="single" w:sz="4" w:space="0" w:color="auto"/>
              <w:right w:val="single" w:sz="4" w:space="0" w:color="auto"/>
            </w:tcBorders>
            <w:noWrap/>
            <w:vAlign w:val="bottom"/>
          </w:tcPr>
          <w:p w:rsidR="00D27E5C" w:rsidRPr="009E35E7" w:rsidRDefault="00D27E5C" w:rsidP="00026F23">
            <w:pPr>
              <w:jc w:val="center"/>
              <w:rPr>
                <w:rFonts w:ascii="Arial" w:hAnsi="Arial" w:cs="Arial"/>
              </w:rPr>
            </w:pPr>
            <w:r w:rsidRPr="009E35E7">
              <w:rPr>
                <w:rFonts w:ascii="Arial" w:hAnsi="Arial" w:cs="Arial"/>
              </w:rPr>
              <w:t>1858 et 6820</w:t>
            </w:r>
          </w:p>
        </w:tc>
        <w:tc>
          <w:tcPr>
            <w:tcW w:w="2268" w:type="dxa"/>
            <w:tcBorders>
              <w:top w:val="nil"/>
              <w:left w:val="nil"/>
              <w:bottom w:val="single" w:sz="4" w:space="0" w:color="auto"/>
              <w:right w:val="single" w:sz="4" w:space="0" w:color="auto"/>
            </w:tcBorders>
            <w:noWrap/>
            <w:vAlign w:val="bottom"/>
          </w:tcPr>
          <w:p w:rsidR="00D27E5C" w:rsidRPr="009E35E7" w:rsidRDefault="00D27E5C" w:rsidP="00026F23">
            <w:pPr>
              <w:ind w:left="497" w:right="270"/>
              <w:jc w:val="right"/>
              <w:rPr>
                <w:rFonts w:ascii="Arial" w:hAnsi="Arial" w:cs="Arial"/>
              </w:rPr>
            </w:pPr>
            <w:r w:rsidRPr="009E35E7">
              <w:rPr>
                <w:rFonts w:ascii="Arial" w:hAnsi="Arial" w:cs="Arial"/>
              </w:rPr>
              <w:t>19 315,08 €</w:t>
            </w:r>
          </w:p>
        </w:tc>
      </w:tr>
      <w:tr w:rsidR="00D27E5C">
        <w:trPr>
          <w:trHeight w:val="255"/>
          <w:jc w:val="right"/>
        </w:trPr>
        <w:tc>
          <w:tcPr>
            <w:tcW w:w="2552" w:type="dxa"/>
            <w:tcBorders>
              <w:top w:val="nil"/>
              <w:left w:val="single" w:sz="4" w:space="0" w:color="auto"/>
              <w:bottom w:val="single" w:sz="4" w:space="0" w:color="auto"/>
              <w:right w:val="single" w:sz="4" w:space="0" w:color="auto"/>
            </w:tcBorders>
            <w:noWrap/>
            <w:vAlign w:val="bottom"/>
          </w:tcPr>
          <w:p w:rsidR="00D27E5C" w:rsidRPr="009E35E7" w:rsidRDefault="00D27E5C" w:rsidP="00026F23">
            <w:pPr>
              <w:ind w:left="355"/>
              <w:jc w:val="center"/>
              <w:rPr>
                <w:rFonts w:ascii="Arial" w:hAnsi="Arial" w:cs="Arial"/>
              </w:rPr>
            </w:pPr>
            <w:r w:rsidRPr="009E35E7">
              <w:rPr>
                <w:rFonts w:ascii="Arial" w:hAnsi="Arial" w:cs="Arial"/>
              </w:rPr>
              <w:t>2003</w:t>
            </w:r>
          </w:p>
        </w:tc>
        <w:tc>
          <w:tcPr>
            <w:tcW w:w="2126" w:type="dxa"/>
            <w:vMerge/>
            <w:tcBorders>
              <w:top w:val="nil"/>
              <w:left w:val="single" w:sz="4" w:space="0" w:color="auto"/>
              <w:bottom w:val="single" w:sz="4" w:space="0" w:color="000000"/>
              <w:right w:val="single" w:sz="4" w:space="0" w:color="auto"/>
            </w:tcBorders>
            <w:vAlign w:val="center"/>
          </w:tcPr>
          <w:p w:rsidR="00D27E5C" w:rsidRPr="009E35E7" w:rsidRDefault="00D27E5C" w:rsidP="00026F23">
            <w:pPr>
              <w:ind w:left="497"/>
              <w:rPr>
                <w:rFonts w:ascii="Arial" w:hAnsi="Arial" w:cs="Arial"/>
              </w:rPr>
            </w:pPr>
          </w:p>
        </w:tc>
        <w:tc>
          <w:tcPr>
            <w:tcW w:w="2268" w:type="dxa"/>
            <w:tcBorders>
              <w:top w:val="nil"/>
              <w:left w:val="nil"/>
              <w:bottom w:val="single" w:sz="4" w:space="0" w:color="auto"/>
              <w:right w:val="single" w:sz="4" w:space="0" w:color="auto"/>
            </w:tcBorders>
            <w:noWrap/>
            <w:vAlign w:val="bottom"/>
          </w:tcPr>
          <w:p w:rsidR="00D27E5C" w:rsidRPr="009E35E7" w:rsidRDefault="00D27E5C" w:rsidP="00026F23">
            <w:pPr>
              <w:jc w:val="center"/>
              <w:rPr>
                <w:rFonts w:ascii="Arial" w:hAnsi="Arial" w:cs="Arial"/>
              </w:rPr>
            </w:pPr>
            <w:r w:rsidRPr="009E35E7">
              <w:rPr>
                <w:rFonts w:ascii="Arial" w:hAnsi="Arial" w:cs="Arial"/>
              </w:rPr>
              <w:t>1661 et 5475</w:t>
            </w:r>
          </w:p>
        </w:tc>
        <w:tc>
          <w:tcPr>
            <w:tcW w:w="2268" w:type="dxa"/>
            <w:tcBorders>
              <w:top w:val="nil"/>
              <w:left w:val="nil"/>
              <w:bottom w:val="single" w:sz="4" w:space="0" w:color="auto"/>
              <w:right w:val="single" w:sz="4" w:space="0" w:color="auto"/>
            </w:tcBorders>
            <w:noWrap/>
            <w:vAlign w:val="bottom"/>
          </w:tcPr>
          <w:p w:rsidR="00D27E5C" w:rsidRPr="009E35E7" w:rsidRDefault="00D27E5C" w:rsidP="00026F23">
            <w:pPr>
              <w:ind w:left="497" w:right="270"/>
              <w:jc w:val="right"/>
              <w:rPr>
                <w:rFonts w:ascii="Arial" w:hAnsi="Arial" w:cs="Arial"/>
              </w:rPr>
            </w:pPr>
            <w:r w:rsidRPr="009E35E7">
              <w:rPr>
                <w:rFonts w:ascii="Arial" w:hAnsi="Arial" w:cs="Arial"/>
              </w:rPr>
              <w:t>1</w:t>
            </w:r>
            <w:r>
              <w:rPr>
                <w:rFonts w:ascii="Arial" w:hAnsi="Arial" w:cs="Arial"/>
              </w:rPr>
              <w:t>9</w:t>
            </w:r>
            <w:r w:rsidRPr="009E35E7">
              <w:rPr>
                <w:rFonts w:ascii="Arial" w:hAnsi="Arial" w:cs="Arial"/>
              </w:rPr>
              <w:t xml:space="preserve"> 316,00 €</w:t>
            </w:r>
          </w:p>
        </w:tc>
      </w:tr>
      <w:tr w:rsidR="00D27E5C">
        <w:trPr>
          <w:trHeight w:val="255"/>
          <w:jc w:val="right"/>
        </w:trPr>
        <w:tc>
          <w:tcPr>
            <w:tcW w:w="2552" w:type="dxa"/>
            <w:tcBorders>
              <w:top w:val="nil"/>
              <w:left w:val="single" w:sz="4" w:space="0" w:color="auto"/>
              <w:bottom w:val="single" w:sz="4" w:space="0" w:color="auto"/>
              <w:right w:val="single" w:sz="4" w:space="0" w:color="auto"/>
            </w:tcBorders>
            <w:noWrap/>
            <w:vAlign w:val="bottom"/>
          </w:tcPr>
          <w:p w:rsidR="00D27E5C" w:rsidRPr="009E35E7" w:rsidRDefault="00D27E5C" w:rsidP="00026F23">
            <w:pPr>
              <w:ind w:left="355"/>
              <w:jc w:val="center"/>
              <w:rPr>
                <w:rFonts w:ascii="Arial" w:hAnsi="Arial" w:cs="Arial"/>
              </w:rPr>
            </w:pPr>
            <w:r w:rsidRPr="009E35E7">
              <w:rPr>
                <w:rFonts w:ascii="Arial" w:hAnsi="Arial" w:cs="Arial"/>
              </w:rPr>
              <w:t>2004</w:t>
            </w:r>
          </w:p>
        </w:tc>
        <w:tc>
          <w:tcPr>
            <w:tcW w:w="2126" w:type="dxa"/>
            <w:vMerge/>
            <w:tcBorders>
              <w:top w:val="nil"/>
              <w:left w:val="single" w:sz="4" w:space="0" w:color="auto"/>
              <w:bottom w:val="single" w:sz="4" w:space="0" w:color="000000"/>
              <w:right w:val="single" w:sz="4" w:space="0" w:color="auto"/>
            </w:tcBorders>
            <w:vAlign w:val="center"/>
          </w:tcPr>
          <w:p w:rsidR="00D27E5C" w:rsidRPr="009E35E7" w:rsidRDefault="00D27E5C" w:rsidP="00026F23">
            <w:pPr>
              <w:ind w:left="497"/>
              <w:rPr>
                <w:rFonts w:ascii="Arial" w:hAnsi="Arial" w:cs="Arial"/>
              </w:rPr>
            </w:pPr>
          </w:p>
        </w:tc>
        <w:tc>
          <w:tcPr>
            <w:tcW w:w="2268" w:type="dxa"/>
            <w:tcBorders>
              <w:top w:val="nil"/>
              <w:left w:val="nil"/>
              <w:bottom w:val="single" w:sz="4" w:space="0" w:color="auto"/>
              <w:right w:val="single" w:sz="4" w:space="0" w:color="auto"/>
            </w:tcBorders>
            <w:noWrap/>
            <w:vAlign w:val="bottom"/>
          </w:tcPr>
          <w:p w:rsidR="00D27E5C" w:rsidRPr="009E35E7" w:rsidRDefault="00D27E5C" w:rsidP="00026F23">
            <w:pPr>
              <w:jc w:val="center"/>
              <w:rPr>
                <w:rFonts w:ascii="Arial" w:hAnsi="Arial" w:cs="Arial"/>
              </w:rPr>
            </w:pPr>
            <w:r w:rsidRPr="009E35E7">
              <w:rPr>
                <w:rFonts w:ascii="Arial" w:hAnsi="Arial" w:cs="Arial"/>
              </w:rPr>
              <w:t>1815 et 5447</w:t>
            </w:r>
          </w:p>
        </w:tc>
        <w:tc>
          <w:tcPr>
            <w:tcW w:w="2268" w:type="dxa"/>
            <w:tcBorders>
              <w:top w:val="nil"/>
              <w:left w:val="nil"/>
              <w:bottom w:val="single" w:sz="4" w:space="0" w:color="auto"/>
              <w:right w:val="single" w:sz="4" w:space="0" w:color="auto"/>
            </w:tcBorders>
            <w:noWrap/>
            <w:vAlign w:val="bottom"/>
          </w:tcPr>
          <w:p w:rsidR="00D27E5C" w:rsidRPr="009E35E7" w:rsidRDefault="00D27E5C" w:rsidP="00026F23">
            <w:pPr>
              <w:ind w:left="497" w:right="270"/>
              <w:jc w:val="right"/>
              <w:rPr>
                <w:rFonts w:ascii="Arial" w:hAnsi="Arial" w:cs="Arial"/>
              </w:rPr>
            </w:pPr>
            <w:r w:rsidRPr="009E35E7">
              <w:rPr>
                <w:rFonts w:ascii="Arial" w:hAnsi="Arial" w:cs="Arial"/>
              </w:rPr>
              <w:t>1</w:t>
            </w:r>
            <w:r>
              <w:rPr>
                <w:rFonts w:ascii="Arial" w:hAnsi="Arial" w:cs="Arial"/>
              </w:rPr>
              <w:t>9</w:t>
            </w:r>
            <w:r w:rsidRPr="009E35E7">
              <w:rPr>
                <w:rFonts w:ascii="Arial" w:hAnsi="Arial" w:cs="Arial"/>
              </w:rPr>
              <w:t xml:space="preserve"> 316,00 €</w:t>
            </w:r>
          </w:p>
        </w:tc>
      </w:tr>
      <w:tr w:rsidR="00D27E5C">
        <w:trPr>
          <w:trHeight w:val="255"/>
          <w:jc w:val="right"/>
        </w:trPr>
        <w:tc>
          <w:tcPr>
            <w:tcW w:w="2552" w:type="dxa"/>
            <w:tcBorders>
              <w:top w:val="nil"/>
              <w:left w:val="single" w:sz="4" w:space="0" w:color="auto"/>
              <w:bottom w:val="single" w:sz="4" w:space="0" w:color="auto"/>
              <w:right w:val="single" w:sz="4" w:space="0" w:color="auto"/>
            </w:tcBorders>
            <w:noWrap/>
            <w:vAlign w:val="bottom"/>
          </w:tcPr>
          <w:p w:rsidR="00D27E5C" w:rsidRPr="009E35E7" w:rsidRDefault="00D27E5C" w:rsidP="00026F23">
            <w:pPr>
              <w:ind w:left="355"/>
              <w:jc w:val="center"/>
              <w:rPr>
                <w:rFonts w:ascii="Arial" w:hAnsi="Arial" w:cs="Arial"/>
              </w:rPr>
            </w:pPr>
            <w:r w:rsidRPr="009E35E7">
              <w:rPr>
                <w:rFonts w:ascii="Arial" w:hAnsi="Arial" w:cs="Arial"/>
              </w:rPr>
              <w:t>2005</w:t>
            </w:r>
          </w:p>
        </w:tc>
        <w:tc>
          <w:tcPr>
            <w:tcW w:w="2126" w:type="dxa"/>
            <w:vMerge/>
            <w:tcBorders>
              <w:top w:val="nil"/>
              <w:left w:val="single" w:sz="4" w:space="0" w:color="auto"/>
              <w:bottom w:val="single" w:sz="4" w:space="0" w:color="000000"/>
              <w:right w:val="single" w:sz="4" w:space="0" w:color="auto"/>
            </w:tcBorders>
            <w:vAlign w:val="center"/>
          </w:tcPr>
          <w:p w:rsidR="00D27E5C" w:rsidRPr="009E35E7" w:rsidRDefault="00D27E5C" w:rsidP="00026F23">
            <w:pPr>
              <w:ind w:left="497"/>
              <w:rPr>
                <w:rFonts w:ascii="Arial" w:hAnsi="Arial" w:cs="Arial"/>
              </w:rPr>
            </w:pPr>
          </w:p>
        </w:tc>
        <w:tc>
          <w:tcPr>
            <w:tcW w:w="2268" w:type="dxa"/>
            <w:tcBorders>
              <w:top w:val="nil"/>
              <w:left w:val="nil"/>
              <w:bottom w:val="single" w:sz="4" w:space="0" w:color="auto"/>
              <w:right w:val="single" w:sz="4" w:space="0" w:color="auto"/>
            </w:tcBorders>
            <w:noWrap/>
            <w:vAlign w:val="bottom"/>
          </w:tcPr>
          <w:p w:rsidR="00D27E5C" w:rsidRPr="009E35E7" w:rsidRDefault="00D27E5C" w:rsidP="00026F23">
            <w:pPr>
              <w:jc w:val="center"/>
              <w:rPr>
                <w:rFonts w:ascii="Arial" w:hAnsi="Arial" w:cs="Arial"/>
              </w:rPr>
            </w:pPr>
            <w:r w:rsidRPr="009E35E7">
              <w:rPr>
                <w:rFonts w:ascii="Arial" w:hAnsi="Arial" w:cs="Arial"/>
              </w:rPr>
              <w:t>1477 et 5540</w:t>
            </w:r>
          </w:p>
        </w:tc>
        <w:tc>
          <w:tcPr>
            <w:tcW w:w="2268" w:type="dxa"/>
            <w:tcBorders>
              <w:top w:val="nil"/>
              <w:left w:val="nil"/>
              <w:bottom w:val="single" w:sz="4" w:space="0" w:color="auto"/>
              <w:right w:val="single" w:sz="4" w:space="0" w:color="auto"/>
            </w:tcBorders>
            <w:noWrap/>
            <w:vAlign w:val="bottom"/>
          </w:tcPr>
          <w:p w:rsidR="00D27E5C" w:rsidRPr="009E35E7" w:rsidRDefault="00D27E5C" w:rsidP="00026F23">
            <w:pPr>
              <w:ind w:left="497" w:right="270"/>
              <w:jc w:val="right"/>
              <w:rPr>
                <w:rFonts w:ascii="Arial" w:hAnsi="Arial" w:cs="Arial"/>
              </w:rPr>
            </w:pPr>
            <w:r w:rsidRPr="009E35E7">
              <w:rPr>
                <w:rFonts w:ascii="Arial" w:hAnsi="Arial" w:cs="Arial"/>
              </w:rPr>
              <w:t>1</w:t>
            </w:r>
            <w:r>
              <w:rPr>
                <w:rFonts w:ascii="Arial" w:hAnsi="Arial" w:cs="Arial"/>
              </w:rPr>
              <w:t>9</w:t>
            </w:r>
            <w:r w:rsidRPr="009E35E7">
              <w:rPr>
                <w:rFonts w:ascii="Arial" w:hAnsi="Arial" w:cs="Arial"/>
              </w:rPr>
              <w:t xml:space="preserve"> 316,00 €</w:t>
            </w:r>
          </w:p>
        </w:tc>
      </w:tr>
      <w:tr w:rsidR="00D27E5C">
        <w:trPr>
          <w:trHeight w:val="255"/>
          <w:jc w:val="right"/>
        </w:trPr>
        <w:tc>
          <w:tcPr>
            <w:tcW w:w="6946" w:type="dxa"/>
            <w:gridSpan w:val="3"/>
            <w:tcBorders>
              <w:top w:val="single" w:sz="4" w:space="0" w:color="auto"/>
              <w:left w:val="single" w:sz="4" w:space="0" w:color="auto"/>
              <w:bottom w:val="single" w:sz="4" w:space="0" w:color="auto"/>
              <w:right w:val="single" w:sz="4" w:space="0" w:color="000000"/>
            </w:tcBorders>
            <w:noWrap/>
            <w:vAlign w:val="bottom"/>
          </w:tcPr>
          <w:p w:rsidR="00D27E5C" w:rsidRPr="009E35E7" w:rsidRDefault="00D27E5C" w:rsidP="00026F23">
            <w:pPr>
              <w:ind w:left="781"/>
              <w:rPr>
                <w:rFonts w:ascii="Arial" w:hAnsi="Arial" w:cs="Arial"/>
                <w:b/>
                <w:bCs/>
              </w:rPr>
            </w:pPr>
            <w:r w:rsidRPr="009E35E7">
              <w:rPr>
                <w:rFonts w:ascii="Arial" w:hAnsi="Arial" w:cs="Arial"/>
                <w:b/>
                <w:bCs/>
              </w:rPr>
              <w:t>sous-total</w:t>
            </w:r>
          </w:p>
        </w:tc>
        <w:tc>
          <w:tcPr>
            <w:tcW w:w="2268" w:type="dxa"/>
            <w:tcBorders>
              <w:top w:val="nil"/>
              <w:left w:val="nil"/>
              <w:bottom w:val="single" w:sz="4" w:space="0" w:color="auto"/>
              <w:right w:val="single" w:sz="4" w:space="0" w:color="auto"/>
            </w:tcBorders>
            <w:noWrap/>
            <w:vAlign w:val="bottom"/>
          </w:tcPr>
          <w:p w:rsidR="00D27E5C" w:rsidRPr="009E35E7" w:rsidRDefault="00D27E5C" w:rsidP="00026F23">
            <w:pPr>
              <w:ind w:left="497" w:right="270"/>
              <w:jc w:val="right"/>
              <w:rPr>
                <w:rFonts w:ascii="Arial" w:hAnsi="Arial" w:cs="Arial"/>
                <w:b/>
                <w:bCs/>
              </w:rPr>
            </w:pPr>
            <w:r w:rsidRPr="009E35E7">
              <w:rPr>
                <w:rFonts w:ascii="Arial" w:hAnsi="Arial" w:cs="Arial"/>
                <w:b/>
                <w:bCs/>
              </w:rPr>
              <w:t>7</w:t>
            </w:r>
            <w:r>
              <w:rPr>
                <w:rFonts w:ascii="Arial" w:hAnsi="Arial" w:cs="Arial"/>
                <w:b/>
                <w:bCs/>
              </w:rPr>
              <w:t>7</w:t>
            </w:r>
            <w:r w:rsidRPr="009E35E7">
              <w:rPr>
                <w:rFonts w:ascii="Arial" w:hAnsi="Arial" w:cs="Arial"/>
                <w:b/>
                <w:bCs/>
              </w:rPr>
              <w:t xml:space="preserve"> 263,08 €</w:t>
            </w:r>
          </w:p>
        </w:tc>
      </w:tr>
      <w:tr w:rsidR="00D27E5C">
        <w:trPr>
          <w:trHeight w:val="255"/>
          <w:jc w:val="right"/>
        </w:trPr>
        <w:tc>
          <w:tcPr>
            <w:tcW w:w="6946" w:type="dxa"/>
            <w:gridSpan w:val="3"/>
            <w:tcBorders>
              <w:top w:val="single" w:sz="4" w:space="0" w:color="auto"/>
              <w:left w:val="single" w:sz="4" w:space="0" w:color="auto"/>
              <w:bottom w:val="single" w:sz="4" w:space="0" w:color="auto"/>
              <w:right w:val="single" w:sz="4" w:space="0" w:color="000000"/>
            </w:tcBorders>
            <w:noWrap/>
            <w:vAlign w:val="bottom"/>
          </w:tcPr>
          <w:p w:rsidR="00D27E5C" w:rsidRPr="009E35E7" w:rsidRDefault="00D27E5C" w:rsidP="00026F23">
            <w:pPr>
              <w:ind w:left="497"/>
              <w:rPr>
                <w:rFonts w:ascii="Arial" w:hAnsi="Arial" w:cs="Arial"/>
              </w:rPr>
            </w:pPr>
            <w:r w:rsidRPr="009E35E7">
              <w:rPr>
                <w:rFonts w:ascii="Arial" w:hAnsi="Arial" w:cs="Arial"/>
              </w:rPr>
              <w:t>total 12 mandats</w:t>
            </w:r>
          </w:p>
        </w:tc>
        <w:tc>
          <w:tcPr>
            <w:tcW w:w="2268" w:type="dxa"/>
            <w:tcBorders>
              <w:top w:val="nil"/>
              <w:left w:val="nil"/>
              <w:bottom w:val="single" w:sz="4" w:space="0" w:color="auto"/>
              <w:right w:val="single" w:sz="4" w:space="0" w:color="auto"/>
            </w:tcBorders>
            <w:noWrap/>
            <w:vAlign w:val="bottom"/>
          </w:tcPr>
          <w:p w:rsidR="00D27E5C" w:rsidRPr="009E35E7" w:rsidRDefault="00D27E5C" w:rsidP="00026F23">
            <w:pPr>
              <w:ind w:left="497" w:right="270"/>
              <w:jc w:val="right"/>
              <w:rPr>
                <w:rFonts w:ascii="Arial" w:hAnsi="Arial" w:cs="Arial"/>
              </w:rPr>
            </w:pPr>
            <w:r w:rsidRPr="009E35E7">
              <w:rPr>
                <w:rFonts w:ascii="Arial" w:hAnsi="Arial" w:cs="Arial"/>
              </w:rPr>
              <w:t>12</w:t>
            </w:r>
            <w:r>
              <w:rPr>
                <w:rFonts w:ascii="Arial" w:hAnsi="Arial" w:cs="Arial"/>
              </w:rPr>
              <w:t>7</w:t>
            </w:r>
            <w:r w:rsidRPr="009E35E7">
              <w:rPr>
                <w:rFonts w:ascii="Arial" w:hAnsi="Arial" w:cs="Arial"/>
              </w:rPr>
              <w:t xml:space="preserve"> 067,96 €</w:t>
            </w:r>
          </w:p>
        </w:tc>
      </w:tr>
    </w:tbl>
    <w:p w:rsidR="00D27E5C" w:rsidRDefault="00D27E5C" w:rsidP="003D50E5">
      <w:pPr>
        <w:pStyle w:val="PS"/>
        <w:spacing w:before="360"/>
      </w:pPr>
    </w:p>
    <w:p w:rsidR="00D27E5C" w:rsidRPr="00DB2EDC" w:rsidRDefault="00D27E5C" w:rsidP="003D50E5">
      <w:pPr>
        <w:pStyle w:val="PS"/>
        <w:spacing w:before="360"/>
      </w:pPr>
      <w:r>
        <w:br w:type="page"/>
      </w:r>
      <w:r w:rsidRPr="00DB2EDC">
        <w:t xml:space="preserve">Attendu que l’appelant </w:t>
      </w:r>
      <w:r>
        <w:t xml:space="preserve">avait notamment </w:t>
      </w:r>
      <w:r w:rsidRPr="00DB2EDC">
        <w:t>fait valoir que l’affectation d’une partie de la subvention au remboursement d’un emprunt n’emport</w:t>
      </w:r>
      <w:r>
        <w:t>ant</w:t>
      </w:r>
      <w:r w:rsidRPr="00DB2EDC">
        <w:t xml:space="preserve"> pas le droit au versement au prêteur des sommes en cause</w:t>
      </w:r>
      <w:r>
        <w:t>, les comptables auraient dû être constitués en débet par la chambre régionale à ce motif</w:t>
      </w:r>
      <w:r w:rsidRPr="00DB2EDC">
        <w:t> ;</w:t>
      </w:r>
    </w:p>
    <w:p w:rsidR="00D27E5C" w:rsidRPr="00DB2EDC" w:rsidRDefault="00D27E5C" w:rsidP="00D3569A">
      <w:pPr>
        <w:pStyle w:val="PS"/>
      </w:pPr>
      <w:r w:rsidRPr="00DB2EDC">
        <w:t>Attendu qu’en application des articles</w:t>
      </w:r>
      <w:r>
        <w:t> </w:t>
      </w:r>
      <w:r w:rsidRPr="00DB2EDC">
        <w:t>12 et 13 du décret du 29</w:t>
      </w:r>
      <w:r>
        <w:t> </w:t>
      </w:r>
      <w:r w:rsidRPr="00DB2EDC">
        <w:t>décembre</w:t>
      </w:r>
      <w:r>
        <w:t> </w:t>
      </w:r>
      <w:r w:rsidRPr="00DB2EDC">
        <w:t>1962 susvisé, il revient au comptable de s’assurer du caractère libératoire du règlement et de la production des justifications ;</w:t>
      </w:r>
    </w:p>
    <w:p w:rsidR="00D27E5C" w:rsidRPr="00DB2EDC" w:rsidRDefault="00D27E5C" w:rsidP="003D50E5">
      <w:pPr>
        <w:pStyle w:val="PS"/>
      </w:pPr>
      <w:r w:rsidRPr="00DB2EDC">
        <w:t>Attendu que l’ordonnateur d’une collectivité locale n’a pas compétence pour accepter une cession de créance en l’absence de délibération du conseil municipal ; qu’il est constant qu’aucune délibération du conseil municipal acceptant ladite cession ne figure à l’appui des douze paiements litigieux ;</w:t>
      </w:r>
    </w:p>
    <w:p w:rsidR="00D27E5C" w:rsidRPr="00DB2EDC" w:rsidRDefault="00D27E5C" w:rsidP="003D50E5">
      <w:pPr>
        <w:pStyle w:val="PS"/>
      </w:pPr>
      <w:r w:rsidRPr="00DB2EDC">
        <w:t>Attendu que les arguments avancés par MM.</w:t>
      </w:r>
      <w:r>
        <w:t> </w:t>
      </w:r>
      <w:r w:rsidRPr="00DB2EDC">
        <w:t>X et Y selon lesquels d’une part, ni les comptables, ni le juge financier ne sont juges de la légalité interne des pièces, d’autre part que les charges pesant sur la commune ne trouvaient leur origine que dans la subvention figurant au budget sont sans portée au regard du défaut de justificatifs ;</w:t>
      </w:r>
    </w:p>
    <w:p w:rsidR="00D27E5C" w:rsidRPr="00DB2EDC" w:rsidRDefault="00D27E5C" w:rsidP="003D50E5">
      <w:pPr>
        <w:pStyle w:val="PS"/>
      </w:pPr>
      <w:r w:rsidRPr="00DB2EDC">
        <w:t>Attendu que les comptables ne peuvent substituer de leur propre chef des justifications particulières autres que celles qui sont définies par la réglementation ; que</w:t>
      </w:r>
      <w:r>
        <w:t> </w:t>
      </w:r>
      <w:r w:rsidRPr="00DB2EDC">
        <w:t>dès lors, les arguments invoqués en défense tendant à considérer comme suffisantes les autres pièces à l’appui des paiements ne peuvent davantage être retenus ;</w:t>
      </w:r>
    </w:p>
    <w:p w:rsidR="00D27E5C" w:rsidRDefault="00D27E5C" w:rsidP="003D50E5">
      <w:pPr>
        <w:pStyle w:val="PS"/>
      </w:pPr>
      <w:r w:rsidRPr="00DB2EDC">
        <w:t xml:space="preserve">Attendu ainsi qu’en l’absence d’une délibération expresse produite à l’appui des paiements, ceux-ci n’ont pas revêtu un caractère libératoire ; </w:t>
      </w:r>
    </w:p>
    <w:p w:rsidR="00D27E5C" w:rsidRPr="00DB2EDC" w:rsidRDefault="00D27E5C" w:rsidP="00D9475B">
      <w:pPr>
        <w:pStyle w:val="PS"/>
      </w:pPr>
      <w:r>
        <w:t xml:space="preserve">Attendu que par l’arrêt du 7 avril 2011 susvisé, la Cour des comptes, statuant à titre provisoire, avait </w:t>
      </w:r>
      <w:r w:rsidRPr="00DB2EDC">
        <w:t>enjoint M</w:t>
      </w:r>
      <w:r>
        <w:t>M</w:t>
      </w:r>
      <w:r w:rsidRPr="00DB2EDC">
        <w:t>.</w:t>
      </w:r>
      <w:r>
        <w:t> </w:t>
      </w:r>
      <w:r w:rsidRPr="00DB2EDC">
        <w:t>X</w:t>
      </w:r>
      <w:r>
        <w:t xml:space="preserve"> et Y, dans un délai de deux mois à compter de la notification dudit arrêt,</w:t>
      </w:r>
      <w:r w:rsidRPr="00DB2EDC">
        <w:t xml:space="preserve"> de justifier du reversement de</w:t>
      </w:r>
      <w:r>
        <w:t xml:space="preserve"> respectivement </w:t>
      </w:r>
      <w:r w:rsidRPr="00DB2EDC">
        <w:t>49 804,88</w:t>
      </w:r>
      <w:r>
        <w:t> </w:t>
      </w:r>
      <w:r w:rsidRPr="00DB2EDC">
        <w:t xml:space="preserve">€ </w:t>
      </w:r>
      <w:r>
        <w:t xml:space="preserve">et </w:t>
      </w:r>
      <w:r w:rsidRPr="00DB2EDC">
        <w:t>77 263,08</w:t>
      </w:r>
      <w:r>
        <w:t> </w:t>
      </w:r>
      <w:r w:rsidRPr="00DB2EDC">
        <w:t>€ dans l</w:t>
      </w:r>
      <w:r>
        <w:t xml:space="preserve">a caisse de la commune de Riom, </w:t>
      </w:r>
      <w:r w:rsidRPr="00DB2EDC">
        <w:t>ou de produire toute justification à décharge</w:t>
      </w:r>
      <w:r>
        <w:t xml:space="preserve"> ; que MM. X et Y n’ont pas satisfait aux dites injonctions ; qu’il convient donc de les constituer débiteurs de ces sommes, augmentées des intérêts de droit ; </w:t>
      </w:r>
    </w:p>
    <w:p w:rsidR="00D27E5C" w:rsidRDefault="00D27E5C" w:rsidP="00D3569A">
      <w:pPr>
        <w:pStyle w:val="PS"/>
      </w:pPr>
      <w:r>
        <w:t>Attendu qu’il convient de fixer le point de départ des intérêts de droit au 9 avril 2011, date de la notification de l’arrêt du 7 avril 2011 susvisé ;</w:t>
      </w:r>
    </w:p>
    <w:p w:rsidR="00D27E5C" w:rsidRPr="00DB2EDC" w:rsidRDefault="00D27E5C" w:rsidP="003D50E5">
      <w:pPr>
        <w:pStyle w:val="PS"/>
        <w:spacing w:after="360"/>
      </w:pPr>
      <w:r>
        <w:br w:type="page"/>
      </w:r>
      <w:r w:rsidRPr="00DB2EDC">
        <w:t>Par ces motifs,</w:t>
      </w:r>
    </w:p>
    <w:p w:rsidR="00D27E5C" w:rsidRDefault="00D27E5C" w:rsidP="003D50E5">
      <w:pPr>
        <w:pStyle w:val="PS"/>
        <w:spacing w:after="360"/>
        <w:ind w:firstLine="0"/>
        <w:jc w:val="center"/>
      </w:pPr>
      <w:r w:rsidRPr="00DB2EDC">
        <w:t>STATUANT DEFINITIVEMENT</w:t>
      </w:r>
      <w:r>
        <w:t>,</w:t>
      </w:r>
    </w:p>
    <w:p w:rsidR="00D27E5C" w:rsidRPr="00DB2EDC" w:rsidRDefault="00D27E5C" w:rsidP="003D50E5">
      <w:pPr>
        <w:pStyle w:val="PS"/>
        <w:spacing w:after="360"/>
        <w:ind w:firstLine="0"/>
        <w:jc w:val="center"/>
      </w:pPr>
      <w:r w:rsidRPr="00DB2EDC">
        <w:t>ORDONNE :</w:t>
      </w:r>
    </w:p>
    <w:p w:rsidR="00D27E5C" w:rsidRPr="00DB2EDC" w:rsidRDefault="00D27E5C" w:rsidP="004F2ADB">
      <w:pPr>
        <w:pStyle w:val="PS"/>
      </w:pPr>
      <w:r w:rsidRPr="00DB2EDC">
        <w:t>Art.</w:t>
      </w:r>
      <w:r>
        <w:t> 1</w:t>
      </w:r>
      <w:r w:rsidRPr="00DB2EDC">
        <w:t>.</w:t>
      </w:r>
      <w:r>
        <w:t> </w:t>
      </w:r>
      <w:r w:rsidRPr="00DB2EDC">
        <w:t>–</w:t>
      </w:r>
      <w:r>
        <w:t> </w:t>
      </w:r>
      <w:r w:rsidRPr="00DB2EDC">
        <w:t>M.</w:t>
      </w:r>
      <w:r>
        <w:t> </w:t>
      </w:r>
      <w:r w:rsidRPr="00DB2EDC">
        <w:t>X</w:t>
      </w:r>
      <w:r>
        <w:t xml:space="preserve"> est constitué débiteur des deniers de la commune de Riom pour un montant de </w:t>
      </w:r>
      <w:r w:rsidRPr="00DB2EDC">
        <w:t>49 804,88</w:t>
      </w:r>
      <w:r>
        <w:t> </w:t>
      </w:r>
      <w:r w:rsidRPr="00DB2EDC">
        <w:t>€</w:t>
      </w:r>
      <w:r>
        <w:t>, augmenté des intérêts de droit à compter du 9 avril 2011</w:t>
      </w:r>
      <w:r w:rsidRPr="00DB2EDC">
        <w:t>.</w:t>
      </w:r>
    </w:p>
    <w:p w:rsidR="00D27E5C" w:rsidRPr="00DB2EDC" w:rsidRDefault="00D27E5C" w:rsidP="005D5309">
      <w:pPr>
        <w:pStyle w:val="PS"/>
        <w:spacing w:after="360"/>
      </w:pPr>
      <w:r w:rsidRPr="00DB2EDC">
        <w:t>Art.</w:t>
      </w:r>
      <w:r>
        <w:t> 2</w:t>
      </w:r>
      <w:r w:rsidRPr="00DB2EDC">
        <w:t>.</w:t>
      </w:r>
      <w:r>
        <w:t> </w:t>
      </w:r>
      <w:r w:rsidRPr="00DB2EDC">
        <w:t>–</w:t>
      </w:r>
      <w:r>
        <w:t> </w:t>
      </w:r>
      <w:r w:rsidRPr="00DB2EDC">
        <w:t>M.</w:t>
      </w:r>
      <w:r>
        <w:t> </w:t>
      </w:r>
      <w:r w:rsidRPr="00DB2EDC">
        <w:t>Y</w:t>
      </w:r>
      <w:r w:rsidRPr="007234DB">
        <w:t xml:space="preserve"> </w:t>
      </w:r>
      <w:r>
        <w:t xml:space="preserve">est constitué débiteur des deniers de la commune de Riom pour un montant de </w:t>
      </w:r>
      <w:r w:rsidRPr="00DB2EDC">
        <w:t>77 263,08</w:t>
      </w:r>
      <w:r>
        <w:t> </w:t>
      </w:r>
      <w:r w:rsidRPr="00DB2EDC">
        <w:t>€</w:t>
      </w:r>
      <w:r>
        <w:t>, augmenté des intérêts de droit à compter du 9 avril 2011</w:t>
      </w:r>
      <w:r w:rsidRPr="00DB2EDC">
        <w:t>.</w:t>
      </w:r>
    </w:p>
    <w:p w:rsidR="00D27E5C" w:rsidRPr="00DB2EDC" w:rsidRDefault="00D27E5C" w:rsidP="00CE625A">
      <w:pPr>
        <w:pStyle w:val="PS"/>
        <w:ind w:firstLine="0"/>
        <w:jc w:val="center"/>
      </w:pPr>
      <w:r>
        <w:t>----------</w:t>
      </w:r>
    </w:p>
    <w:p w:rsidR="00D27E5C" w:rsidRDefault="00D27E5C" w:rsidP="009548C5">
      <w:pPr>
        <w:pStyle w:val="PS"/>
        <w:spacing w:after="320"/>
      </w:pPr>
      <w:r w:rsidRPr="00DB2EDC">
        <w:t>Fait et jugé en la Cour des comptes, quatrième chambre, première section, le</w:t>
      </w:r>
      <w:r>
        <w:t> vingt-quatre mai deux mil</w:t>
      </w:r>
      <w:r w:rsidRPr="00DB2EDC">
        <w:t xml:space="preserve"> </w:t>
      </w:r>
      <w:r>
        <w:t>douze</w:t>
      </w:r>
      <w:r w:rsidRPr="00DB2EDC">
        <w:t>. Présents</w:t>
      </w:r>
      <w:r>
        <w:t> :</w:t>
      </w:r>
      <w:r w:rsidRPr="00DB2EDC">
        <w:t xml:space="preserve"> </w:t>
      </w:r>
      <w:r>
        <w:t>M. Bayle, président, MM. Ganser, Thérond et Geoffroy, conseillers maîtres.</w:t>
      </w:r>
    </w:p>
    <w:p w:rsidR="00D27E5C" w:rsidRDefault="00D27E5C" w:rsidP="009548C5">
      <w:pPr>
        <w:pStyle w:val="PS"/>
        <w:spacing w:after="320"/>
      </w:pPr>
      <w:r>
        <w:t>Signé : Bayle, président, et Reynaud, greffier.</w:t>
      </w:r>
    </w:p>
    <w:p w:rsidR="00D27E5C" w:rsidRDefault="00D27E5C" w:rsidP="009548C5">
      <w:pPr>
        <w:pStyle w:val="PS"/>
        <w:spacing w:after="320"/>
      </w:pPr>
      <w:r>
        <w:t xml:space="preserve">Collationné, certifié conforme à la minute étant au greffe de la Cour des comptes. </w:t>
      </w:r>
    </w:p>
    <w:p w:rsidR="00D27E5C" w:rsidRDefault="00D27E5C" w:rsidP="009548C5">
      <w:pPr>
        <w:pStyle w:val="PS"/>
        <w:spacing w:after="320"/>
      </w:pPr>
      <w: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D27E5C" w:rsidRDefault="00D27E5C" w:rsidP="009548C5">
      <w:pPr>
        <w:pStyle w:val="PS"/>
        <w:spacing w:after="120"/>
      </w:pPr>
      <w:r>
        <w:t>Délivré par moi, secrétaire général.</w:t>
      </w:r>
    </w:p>
    <w:p w:rsidR="00D27E5C" w:rsidRPr="00B1504E" w:rsidRDefault="00D27E5C" w:rsidP="003D50E5">
      <w:pPr>
        <w:pStyle w:val="P0"/>
        <w:spacing w:before="120"/>
        <w:ind w:left="2268" w:firstLine="4111"/>
        <w:jc w:val="center"/>
        <w:rPr>
          <w:b/>
          <w:bCs/>
        </w:rPr>
      </w:pPr>
      <w:r w:rsidRPr="00B1504E">
        <w:rPr>
          <w:b/>
          <w:bCs/>
        </w:rPr>
        <w:t>Pour le Secrétaire général</w:t>
      </w:r>
    </w:p>
    <w:p w:rsidR="00D27E5C" w:rsidRPr="00B1504E" w:rsidRDefault="00D27E5C" w:rsidP="003D50E5">
      <w:pPr>
        <w:pStyle w:val="P0"/>
        <w:ind w:left="2268" w:firstLine="4111"/>
        <w:jc w:val="center"/>
        <w:rPr>
          <w:b/>
          <w:bCs/>
        </w:rPr>
      </w:pPr>
      <w:r w:rsidRPr="00B1504E">
        <w:rPr>
          <w:b/>
          <w:bCs/>
        </w:rPr>
        <w:t>et par délégation,</w:t>
      </w:r>
    </w:p>
    <w:p w:rsidR="00D27E5C" w:rsidRPr="00B1504E" w:rsidRDefault="00D27E5C" w:rsidP="009548C5">
      <w:pPr>
        <w:pStyle w:val="P0"/>
        <w:spacing w:after="120"/>
        <w:ind w:left="2268" w:firstLine="4111"/>
        <w:jc w:val="center"/>
        <w:rPr>
          <w:b/>
          <w:bCs/>
        </w:rPr>
      </w:pPr>
      <w:r>
        <w:rPr>
          <w:b/>
          <w:bCs/>
        </w:rPr>
        <w:t>le Chef du G</w:t>
      </w:r>
      <w:r w:rsidRPr="00B1504E">
        <w:rPr>
          <w:b/>
          <w:bCs/>
        </w:rPr>
        <w:t>reffe contentieux</w:t>
      </w:r>
    </w:p>
    <w:p w:rsidR="00D27E5C" w:rsidRPr="00B1504E" w:rsidRDefault="00D27E5C" w:rsidP="003D50E5">
      <w:pPr>
        <w:pStyle w:val="P0"/>
        <w:ind w:left="2268" w:firstLine="4111"/>
        <w:jc w:val="center"/>
        <w:rPr>
          <w:b/>
          <w:bCs/>
        </w:rPr>
      </w:pPr>
    </w:p>
    <w:p w:rsidR="00D27E5C" w:rsidRPr="00B1504E" w:rsidRDefault="00D27E5C" w:rsidP="003D50E5">
      <w:pPr>
        <w:pStyle w:val="P0"/>
        <w:ind w:left="2268" w:firstLine="4111"/>
        <w:jc w:val="center"/>
        <w:rPr>
          <w:b/>
          <w:bCs/>
        </w:rPr>
      </w:pPr>
    </w:p>
    <w:p w:rsidR="00D27E5C" w:rsidRDefault="00D27E5C" w:rsidP="003D50E5">
      <w:pPr>
        <w:pStyle w:val="P0"/>
        <w:ind w:left="2268" w:firstLine="4111"/>
        <w:jc w:val="center"/>
        <w:rPr>
          <w:b/>
          <w:bCs/>
        </w:rPr>
      </w:pPr>
    </w:p>
    <w:p w:rsidR="00D27E5C" w:rsidRPr="00B1504E" w:rsidRDefault="00D27E5C" w:rsidP="003D50E5">
      <w:pPr>
        <w:pStyle w:val="P0"/>
        <w:ind w:left="2268" w:firstLine="4111"/>
        <w:jc w:val="center"/>
        <w:rPr>
          <w:b/>
          <w:bCs/>
        </w:rPr>
      </w:pPr>
    </w:p>
    <w:p w:rsidR="00D27E5C" w:rsidRPr="00B1504E" w:rsidRDefault="00D27E5C" w:rsidP="003D50E5">
      <w:pPr>
        <w:pStyle w:val="P0"/>
        <w:ind w:left="2268" w:firstLine="4111"/>
        <w:jc w:val="center"/>
        <w:rPr>
          <w:b/>
          <w:bCs/>
        </w:rPr>
      </w:pPr>
    </w:p>
    <w:p w:rsidR="00D27E5C" w:rsidRDefault="00D27E5C" w:rsidP="003D50E5">
      <w:pPr>
        <w:pStyle w:val="P0"/>
        <w:ind w:left="2268" w:firstLine="4111"/>
        <w:jc w:val="center"/>
        <w:rPr>
          <w:b/>
          <w:bCs/>
        </w:rPr>
      </w:pPr>
    </w:p>
    <w:p w:rsidR="00D27E5C" w:rsidRPr="00B1504E" w:rsidRDefault="00D27E5C" w:rsidP="009548C5">
      <w:pPr>
        <w:pStyle w:val="P0"/>
        <w:ind w:left="1814" w:firstLine="4990"/>
        <w:jc w:val="center"/>
        <w:rPr>
          <w:b/>
          <w:bCs/>
        </w:rPr>
      </w:pPr>
      <w:r w:rsidRPr="00B1504E">
        <w:rPr>
          <w:b/>
          <w:bCs/>
        </w:rPr>
        <w:t>Daniel FEREZ</w:t>
      </w:r>
    </w:p>
    <w:p w:rsidR="00D27E5C" w:rsidRPr="00B1504E" w:rsidRDefault="00D27E5C" w:rsidP="003D50E5">
      <w:pPr>
        <w:pStyle w:val="P0"/>
        <w:ind w:left="2268" w:firstLine="4111"/>
        <w:jc w:val="center"/>
        <w:rPr>
          <w:b/>
          <w:bCs/>
        </w:rPr>
      </w:pPr>
    </w:p>
    <w:p w:rsidR="00D27E5C" w:rsidRPr="00B1504E" w:rsidRDefault="00D27E5C" w:rsidP="003D50E5">
      <w:pPr>
        <w:pStyle w:val="P0"/>
        <w:ind w:left="2268" w:firstLine="4111"/>
        <w:jc w:val="center"/>
        <w:rPr>
          <w:b/>
          <w:bCs/>
        </w:rPr>
      </w:pPr>
    </w:p>
    <w:sectPr w:rsidR="00D27E5C" w:rsidRPr="00B1504E" w:rsidSect="00AA5538">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7E5C" w:rsidRDefault="00D27E5C">
      <w:r>
        <w:separator/>
      </w:r>
    </w:p>
  </w:endnote>
  <w:endnote w:type="continuationSeparator" w:id="0">
    <w:p w:rsidR="00D27E5C" w:rsidRDefault="00D27E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7E5C" w:rsidRDefault="00D27E5C">
      <w:r>
        <w:separator/>
      </w:r>
    </w:p>
  </w:footnote>
  <w:footnote w:type="continuationSeparator" w:id="0">
    <w:p w:rsidR="00D27E5C" w:rsidRDefault="00D27E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E5C" w:rsidRDefault="00D27E5C">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4</w:t>
    </w:r>
    <w:r>
      <w:rPr>
        <w:rFonts w:ascii="CG Times (WN)" w:hAnsi="CG Times (WN)" w:cs="CG Times (W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26F23"/>
    <w:rsid w:val="000A710F"/>
    <w:rsid w:val="000C6409"/>
    <w:rsid w:val="001D242A"/>
    <w:rsid w:val="001D4FB6"/>
    <w:rsid w:val="0026789E"/>
    <w:rsid w:val="002A4305"/>
    <w:rsid w:val="002C5CE6"/>
    <w:rsid w:val="0030511C"/>
    <w:rsid w:val="003340D2"/>
    <w:rsid w:val="00391674"/>
    <w:rsid w:val="003D50E5"/>
    <w:rsid w:val="003F0246"/>
    <w:rsid w:val="004351D7"/>
    <w:rsid w:val="004462B8"/>
    <w:rsid w:val="00474BA2"/>
    <w:rsid w:val="004D0A7A"/>
    <w:rsid w:val="004F2ADB"/>
    <w:rsid w:val="00535AC5"/>
    <w:rsid w:val="0055717F"/>
    <w:rsid w:val="005D5309"/>
    <w:rsid w:val="00690D05"/>
    <w:rsid w:val="006D436F"/>
    <w:rsid w:val="007234DB"/>
    <w:rsid w:val="007C5A15"/>
    <w:rsid w:val="008C3CD0"/>
    <w:rsid w:val="009548C5"/>
    <w:rsid w:val="009E35E7"/>
    <w:rsid w:val="00A8532F"/>
    <w:rsid w:val="00A86494"/>
    <w:rsid w:val="00AA5538"/>
    <w:rsid w:val="00AD244D"/>
    <w:rsid w:val="00B1504E"/>
    <w:rsid w:val="00B6216D"/>
    <w:rsid w:val="00BC45A7"/>
    <w:rsid w:val="00BE0AA7"/>
    <w:rsid w:val="00BF35D1"/>
    <w:rsid w:val="00C80771"/>
    <w:rsid w:val="00CD06E5"/>
    <w:rsid w:val="00CD36E6"/>
    <w:rsid w:val="00CD4B11"/>
    <w:rsid w:val="00CD6904"/>
    <w:rsid w:val="00CE0CFD"/>
    <w:rsid w:val="00CE625A"/>
    <w:rsid w:val="00D27E5C"/>
    <w:rsid w:val="00D3569A"/>
    <w:rsid w:val="00D9475B"/>
    <w:rsid w:val="00DA50A7"/>
    <w:rsid w:val="00DB2EDC"/>
    <w:rsid w:val="00DB32EA"/>
    <w:rsid w:val="00DD0396"/>
    <w:rsid w:val="00DD4FFE"/>
    <w:rsid w:val="00E13A4C"/>
    <w:rsid w:val="00E51320"/>
    <w:rsid w:val="00E823A2"/>
    <w:rsid w:val="00EB43D1"/>
    <w:rsid w:val="00F94E8E"/>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44D"/>
    <w:rPr>
      <w:sz w:val="20"/>
      <w:szCs w:val="20"/>
    </w:rPr>
  </w:style>
  <w:style w:type="paragraph" w:styleId="Heading1">
    <w:name w:val="heading 1"/>
    <w:basedOn w:val="Normal"/>
    <w:next w:val="Normal"/>
    <w:link w:val="Heading1Char"/>
    <w:uiPriority w:val="99"/>
    <w:qFormat/>
    <w:rsid w:val="00AD244D"/>
    <w:pPr>
      <w:spacing w:before="240"/>
      <w:outlineLvl w:val="0"/>
    </w:pPr>
    <w:rPr>
      <w:b/>
      <w:bCs/>
      <w:sz w:val="24"/>
      <w:szCs w:val="24"/>
      <w:u w:val="single"/>
    </w:rPr>
  </w:style>
  <w:style w:type="paragraph" w:styleId="Heading2">
    <w:name w:val="heading 2"/>
    <w:basedOn w:val="Normal"/>
    <w:next w:val="Normal"/>
    <w:link w:val="Heading2Char"/>
    <w:uiPriority w:val="99"/>
    <w:qFormat/>
    <w:rsid w:val="00AD244D"/>
    <w:pPr>
      <w:spacing w:before="120"/>
      <w:outlineLvl w:val="1"/>
    </w:pPr>
    <w:rPr>
      <w:b/>
      <w:bCs/>
      <w:sz w:val="24"/>
      <w:szCs w:val="24"/>
    </w:rPr>
  </w:style>
  <w:style w:type="paragraph" w:styleId="Heading3">
    <w:name w:val="heading 3"/>
    <w:basedOn w:val="Normal"/>
    <w:next w:val="NormalIndent"/>
    <w:link w:val="Heading3Char"/>
    <w:uiPriority w:val="99"/>
    <w:qFormat/>
    <w:rsid w:val="00AD244D"/>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351D7"/>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4351D7"/>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4351D7"/>
    <w:rPr>
      <w:rFonts w:ascii="Cambria" w:hAnsi="Cambria" w:cs="Cambria"/>
      <w:b/>
      <w:bCs/>
      <w:sz w:val="26"/>
      <w:szCs w:val="26"/>
    </w:rPr>
  </w:style>
  <w:style w:type="paragraph" w:styleId="NormalIndent">
    <w:name w:val="Normal Indent"/>
    <w:basedOn w:val="Normal"/>
    <w:uiPriority w:val="99"/>
    <w:rsid w:val="00AD244D"/>
    <w:pPr>
      <w:ind w:left="708"/>
    </w:pPr>
  </w:style>
  <w:style w:type="paragraph" w:styleId="Header">
    <w:name w:val="header"/>
    <w:basedOn w:val="Normal"/>
    <w:link w:val="HeaderChar"/>
    <w:uiPriority w:val="99"/>
    <w:rsid w:val="00AD244D"/>
    <w:pPr>
      <w:tabs>
        <w:tab w:val="center" w:pos="4819"/>
        <w:tab w:val="right" w:pos="9071"/>
      </w:tabs>
    </w:pPr>
  </w:style>
  <w:style w:type="character" w:customStyle="1" w:styleId="HeaderChar">
    <w:name w:val="Header Char"/>
    <w:basedOn w:val="DefaultParagraphFont"/>
    <w:link w:val="Header"/>
    <w:uiPriority w:val="99"/>
    <w:semiHidden/>
    <w:locked/>
    <w:rsid w:val="004351D7"/>
    <w:rPr>
      <w:sz w:val="20"/>
      <w:szCs w:val="20"/>
    </w:rPr>
  </w:style>
  <w:style w:type="paragraph" w:customStyle="1" w:styleId="ET">
    <w:name w:val="ET"/>
    <w:basedOn w:val="Normal"/>
    <w:uiPriority w:val="99"/>
    <w:rsid w:val="00AD244D"/>
    <w:rPr>
      <w:b/>
      <w:bCs/>
      <w:caps/>
      <w:sz w:val="24"/>
      <w:szCs w:val="24"/>
    </w:rPr>
  </w:style>
  <w:style w:type="paragraph" w:customStyle="1" w:styleId="OR">
    <w:name w:val="OR"/>
    <w:basedOn w:val="ET"/>
    <w:uiPriority w:val="99"/>
    <w:rsid w:val="00AD244D"/>
    <w:pPr>
      <w:ind w:left="5670"/>
    </w:pPr>
    <w:rPr>
      <w:b w:val="0"/>
      <w:bCs w:val="0"/>
      <w:caps w:val="0"/>
    </w:rPr>
  </w:style>
  <w:style w:type="paragraph" w:customStyle="1" w:styleId="TI">
    <w:name w:val="TI"/>
    <w:basedOn w:val="OR"/>
    <w:uiPriority w:val="99"/>
    <w:rsid w:val="00AD244D"/>
    <w:pPr>
      <w:ind w:left="1701"/>
      <w:jc w:val="center"/>
    </w:pPr>
    <w:rPr>
      <w:caps/>
      <w:u w:val="single"/>
    </w:rPr>
  </w:style>
  <w:style w:type="paragraph" w:customStyle="1" w:styleId="P0">
    <w:name w:val="P0"/>
    <w:basedOn w:val="ET"/>
    <w:link w:val="P0Car"/>
    <w:uiPriority w:val="99"/>
    <w:rsid w:val="00AD244D"/>
    <w:pPr>
      <w:ind w:left="1701"/>
      <w:jc w:val="both"/>
    </w:pPr>
    <w:rPr>
      <w:b w:val="0"/>
      <w:bCs w:val="0"/>
      <w:caps w:val="0"/>
    </w:rPr>
  </w:style>
  <w:style w:type="paragraph" w:customStyle="1" w:styleId="EL">
    <w:name w:val="EL"/>
    <w:basedOn w:val="P0"/>
    <w:uiPriority w:val="99"/>
    <w:rsid w:val="00AD244D"/>
    <w:pPr>
      <w:spacing w:after="240"/>
      <w:ind w:firstLine="1418"/>
    </w:pPr>
  </w:style>
  <w:style w:type="paragraph" w:customStyle="1" w:styleId="IN">
    <w:name w:val="IN"/>
    <w:basedOn w:val="P0"/>
    <w:uiPriority w:val="99"/>
    <w:rsid w:val="00AD244D"/>
    <w:pPr>
      <w:ind w:left="0"/>
      <w:jc w:val="left"/>
    </w:pPr>
    <w:rPr>
      <w:i/>
      <w:iCs/>
      <w:sz w:val="16"/>
      <w:szCs w:val="16"/>
    </w:rPr>
  </w:style>
  <w:style w:type="paragraph" w:customStyle="1" w:styleId="RE">
    <w:name w:val="RE"/>
    <w:basedOn w:val="P0"/>
    <w:uiPriority w:val="99"/>
    <w:rsid w:val="00AD244D"/>
    <w:pPr>
      <w:ind w:left="0"/>
    </w:pPr>
  </w:style>
  <w:style w:type="paragraph" w:customStyle="1" w:styleId="PE">
    <w:name w:val="PE"/>
    <w:basedOn w:val="IN"/>
    <w:uiPriority w:val="99"/>
    <w:rsid w:val="00AD244D"/>
    <w:pPr>
      <w:keepNext/>
      <w:ind w:left="1701"/>
      <w:jc w:val="both"/>
    </w:pPr>
    <w:rPr>
      <w:i w:val="0"/>
      <w:iCs w:val="0"/>
      <w:sz w:val="24"/>
      <w:szCs w:val="24"/>
    </w:rPr>
  </w:style>
  <w:style w:type="paragraph" w:customStyle="1" w:styleId="PC">
    <w:name w:val="PC"/>
    <w:basedOn w:val="IN"/>
    <w:uiPriority w:val="99"/>
    <w:rsid w:val="00AD244D"/>
    <w:pPr>
      <w:spacing w:after="480"/>
      <w:ind w:left="2268" w:firstLine="1134"/>
      <w:jc w:val="both"/>
    </w:pPr>
    <w:rPr>
      <w:i w:val="0"/>
      <w:iCs w:val="0"/>
      <w:sz w:val="24"/>
      <w:szCs w:val="24"/>
    </w:rPr>
  </w:style>
  <w:style w:type="paragraph" w:customStyle="1" w:styleId="PS">
    <w:name w:val="PS"/>
    <w:basedOn w:val="IN"/>
    <w:link w:val="PSCar"/>
    <w:uiPriority w:val="99"/>
    <w:rsid w:val="00AD244D"/>
    <w:pPr>
      <w:spacing w:after="480"/>
      <w:ind w:left="1701" w:firstLine="1134"/>
      <w:jc w:val="both"/>
    </w:pPr>
    <w:rPr>
      <w:i w:val="0"/>
      <w:iCs w:val="0"/>
      <w:sz w:val="24"/>
      <w:szCs w:val="24"/>
    </w:rPr>
  </w:style>
  <w:style w:type="paragraph" w:customStyle="1" w:styleId="AR">
    <w:name w:val="AR"/>
    <w:basedOn w:val="IN"/>
    <w:uiPriority w:val="99"/>
    <w:rsid w:val="00AD244D"/>
    <w:pPr>
      <w:spacing w:before="720" w:after="720"/>
      <w:ind w:left="5103"/>
    </w:pPr>
    <w:rPr>
      <w:i w:val="0"/>
      <w:iCs w:val="0"/>
      <w:caps/>
      <w:sz w:val="24"/>
      <w:szCs w:val="24"/>
      <w:u w:val="single"/>
    </w:rPr>
  </w:style>
  <w:style w:type="character" w:customStyle="1" w:styleId="PSCar">
    <w:name w:val="PS Car"/>
    <w:basedOn w:val="DefaultParagraphFont"/>
    <w:link w:val="PS"/>
    <w:uiPriority w:val="99"/>
    <w:locked/>
    <w:rsid w:val="00DD0396"/>
    <w:rPr>
      <w:sz w:val="24"/>
      <w:szCs w:val="24"/>
      <w:lang w:val="fr-FR" w:eastAsia="fr-FR"/>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basedOn w:val="DefaultParagraphFont"/>
    <w:uiPriority w:val="99"/>
    <w:rsid w:val="00DD0396"/>
    <w:rPr>
      <w:sz w:val="24"/>
      <w:szCs w:val="24"/>
      <w:lang w:val="fr-FR" w:eastAsia="fr-FR"/>
    </w:rPr>
  </w:style>
  <w:style w:type="character" w:customStyle="1" w:styleId="P0Car">
    <w:name w:val="P0 Car"/>
    <w:basedOn w:val="DefaultParagraphFont"/>
    <w:link w:val="P0"/>
    <w:uiPriority w:val="99"/>
    <w:locked/>
    <w:rsid w:val="00DD0396"/>
    <w:rPr>
      <w:sz w:val="24"/>
      <w:szCs w:val="24"/>
      <w:lang w:val="fr-FR" w:eastAsia="fr-FR"/>
    </w:rPr>
  </w:style>
  <w:style w:type="paragraph" w:styleId="BalloonText">
    <w:name w:val="Balloon Text"/>
    <w:basedOn w:val="Normal"/>
    <w:link w:val="BalloonTextChar"/>
    <w:uiPriority w:val="99"/>
    <w:semiHidden/>
    <w:rsid w:val="00DD039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351D7"/>
    <w:rPr>
      <w:sz w:val="2"/>
      <w:szCs w:val="2"/>
    </w:rPr>
  </w:style>
  <w:style w:type="paragraph" w:styleId="BodyText">
    <w:name w:val="Body Text"/>
    <w:basedOn w:val="Normal"/>
    <w:link w:val="BodyTextChar1"/>
    <w:uiPriority w:val="99"/>
    <w:rsid w:val="0026789E"/>
    <w:pPr>
      <w:spacing w:before="200" w:after="200"/>
      <w:ind w:left="567" w:firstLine="1134"/>
      <w:jc w:val="both"/>
    </w:pPr>
    <w:rPr>
      <w:sz w:val="24"/>
      <w:szCs w:val="24"/>
    </w:rPr>
  </w:style>
  <w:style w:type="character" w:customStyle="1" w:styleId="BodyTextChar">
    <w:name w:val="Body Text Char"/>
    <w:basedOn w:val="DefaultParagraphFont"/>
    <w:link w:val="BodyText"/>
    <w:uiPriority w:val="99"/>
    <w:semiHidden/>
    <w:locked/>
    <w:rsid w:val="004351D7"/>
    <w:rPr>
      <w:sz w:val="20"/>
      <w:szCs w:val="20"/>
    </w:rPr>
  </w:style>
  <w:style w:type="character" w:customStyle="1" w:styleId="BodyTextChar1">
    <w:name w:val="Body Text Char1"/>
    <w:link w:val="BodyText"/>
    <w:uiPriority w:val="99"/>
    <w:locked/>
    <w:rsid w:val="0026789E"/>
    <w:rPr>
      <w:sz w:val="24"/>
      <w:szCs w:val="24"/>
      <w:lang w:val="fr-FR" w:eastAsia="fr-FR"/>
    </w:rPr>
  </w:style>
  <w:style w:type="paragraph" w:customStyle="1" w:styleId="Style">
    <w:name w:val="Style"/>
    <w:basedOn w:val="Normal"/>
    <w:uiPriority w:val="99"/>
    <w:rsid w:val="0026789E"/>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table" w:styleId="TableGrid">
    <w:name w:val="Table Grid"/>
    <w:basedOn w:val="TableNormal"/>
    <w:uiPriority w:val="99"/>
    <w:rsid w:val="002678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rCar1CarCarCar">
    <w:name w:val="Car Car1 Car Car Car"/>
    <w:basedOn w:val="Normal"/>
    <w:uiPriority w:val="99"/>
    <w:rsid w:val="00391674"/>
    <w:pPr>
      <w:spacing w:after="160" w:line="240" w:lineRule="exact"/>
    </w:pPr>
    <w:rPr>
      <w:rFonts w:ascii="Tahoma" w:hAnsi="Tahoma" w:cs="Tahoma"/>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4</Pages>
  <Words>1035</Words>
  <Characters>5694</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Arret - Cour des comptes - Commune de Riom (Puy-de-Dôme) - Appel d'un jugement de la chambre régionale des comptes d'Auvergne. </dc:title>
  <dc:subject>Arret - Cour des comptes - Commune de Riom (Puy-de-Dôme) - 22/06/2012</dc:subject>
  <dc:creator>Cour des comptes - 22/06/2012</dc:creator>
  <cp:keywords>Arret - Cour des comptes - Commune de Riom (Puy-de-Dôme) - 22/06/2012 - 64183</cp:keywords>
  <dc:description/>
  <cp:lastModifiedBy>mtlecroisey</cp:lastModifiedBy>
  <cp:revision>4</cp:revision>
  <cp:lastPrinted>2012-06-06T09:33:00Z</cp:lastPrinted>
  <dcterms:created xsi:type="dcterms:W3CDTF">2012-07-12T13:47:00Z</dcterms:created>
  <dcterms:modified xsi:type="dcterms:W3CDTF">2012-07-25T14:46:00Z</dcterms:modified>
</cp:coreProperties>
</file>