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5E3C83" w:rsidP="004E421B">
      <w:pPr>
        <w:pStyle w:val="ET"/>
        <w:outlineLvl w:val="0"/>
        <w:rPr>
          <w:rFonts w:ascii="Times New Roman" w:hAnsi="Times New Roman"/>
        </w:rPr>
      </w:pPr>
      <w:r>
        <w:rPr>
          <w:rFonts w:ascii="Times New Roman" w:hAnsi="Times New Roman"/>
        </w:rPr>
        <w:tab/>
      </w:r>
      <w:r w:rsidR="00BA4A26">
        <w:rPr>
          <w:rFonts w:ascii="Times New Roman" w:hAnsi="Times New Roman"/>
        </w:rPr>
        <w:t xml:space="preserve">  </w:t>
      </w:r>
      <w:r>
        <w:rPr>
          <w:rFonts w:ascii="Times New Roman" w:hAnsi="Times New Roman"/>
        </w:rPr>
        <w:t>------</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BA4A26">
        <w:rPr>
          <w:rFonts w:ascii="Times New Roman" w:hAnsi="Times New Roman"/>
        </w:rPr>
        <w:t xml:space="preserve">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632C91">
      <w:pPr>
        <w:pStyle w:val="ET"/>
        <w:spacing w:after="120"/>
        <w:rPr>
          <w:rFonts w:ascii="Times New Roman" w:hAnsi="Times New Roman"/>
        </w:rPr>
      </w:pPr>
      <w:r>
        <w:rPr>
          <w:rFonts w:ascii="Times New Roman" w:hAnsi="Times New Roman"/>
        </w:rPr>
        <w:tab/>
      </w:r>
      <w:r w:rsidR="00BA4A26">
        <w:rPr>
          <w:rFonts w:ascii="Times New Roman" w:hAnsi="Times New Roman"/>
        </w:rPr>
        <w:t xml:space="preserve">  </w:t>
      </w:r>
      <w:r>
        <w:rPr>
          <w:rFonts w:ascii="Times New Roman" w:hAnsi="Times New Roman"/>
        </w:rPr>
        <w:t>------</w:t>
      </w:r>
    </w:p>
    <w:p w:rsidR="004E421B" w:rsidRPr="00632C91" w:rsidRDefault="004E421B" w:rsidP="00CE34C3">
      <w:pPr>
        <w:pStyle w:val="ET"/>
        <w:spacing w:after="120"/>
        <w:ind w:firstLine="426"/>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632C91">
        <w:rPr>
          <w:rFonts w:ascii="Times New Roman" w:hAnsi="Times New Roman"/>
          <w:i/>
          <w:sz w:val="22"/>
          <w:szCs w:val="22"/>
        </w:rPr>
        <w:t>Arrêt n°</w:t>
      </w:r>
      <w:bookmarkEnd w:id="9"/>
      <w:bookmarkEnd w:id="10"/>
      <w:bookmarkEnd w:id="11"/>
      <w:bookmarkEnd w:id="12"/>
      <w:r w:rsidRPr="00632C91">
        <w:rPr>
          <w:rFonts w:ascii="Times New Roman" w:hAnsi="Times New Roman"/>
          <w:i/>
          <w:sz w:val="22"/>
          <w:szCs w:val="22"/>
        </w:rPr>
        <w:t xml:space="preserve"> </w:t>
      </w:r>
      <w:r w:rsidR="005E3C83" w:rsidRPr="00632C91">
        <w:rPr>
          <w:rFonts w:ascii="Times New Roman" w:hAnsi="Times New Roman"/>
          <w:i/>
          <w:sz w:val="22"/>
          <w:szCs w:val="22"/>
        </w:rPr>
        <w:t>65029</w:t>
      </w:r>
    </w:p>
    <w:p w:rsidR="00B52D5B" w:rsidRPr="00EC1258" w:rsidRDefault="00B52D5B" w:rsidP="005E3C83">
      <w:pPr>
        <w:pStyle w:val="ET"/>
        <w:ind w:left="4678"/>
        <w:jc w:val="both"/>
        <w:rPr>
          <w:b w:val="0"/>
        </w:rPr>
      </w:pPr>
      <w:r w:rsidRPr="00EC1258">
        <w:rPr>
          <w:b w:val="0"/>
        </w:rPr>
        <w:t xml:space="preserve">DIRECTION </w:t>
      </w:r>
      <w:r w:rsidR="00EC1258" w:rsidRPr="00EC1258">
        <w:rPr>
          <w:b w:val="0"/>
        </w:rPr>
        <w:t>DEPARTEMENTALE DES FINANCES</w:t>
      </w:r>
      <w:r w:rsidR="007F2EF7" w:rsidRPr="00EC1258">
        <w:rPr>
          <w:b w:val="0"/>
        </w:rPr>
        <w:t xml:space="preserve"> PUBLIQUES DU </w:t>
      </w:r>
      <w:r w:rsidR="00EC1258" w:rsidRPr="00EC1258">
        <w:rPr>
          <w:b w:val="0"/>
        </w:rPr>
        <w:t>FINISTERE</w:t>
      </w:r>
    </w:p>
    <w:p w:rsidR="007F2EF7" w:rsidRDefault="007F2EF7" w:rsidP="005E3C83">
      <w:pPr>
        <w:pStyle w:val="Observation"/>
        <w:spacing w:line="240" w:lineRule="auto"/>
        <w:ind w:left="4678"/>
        <w:jc w:val="both"/>
        <w:rPr>
          <w:b w:val="0"/>
        </w:rPr>
      </w:pPr>
    </w:p>
    <w:p w:rsidR="008C576D" w:rsidRDefault="00B52D5B" w:rsidP="005E3C83">
      <w:pPr>
        <w:pStyle w:val="ET"/>
        <w:ind w:left="4678"/>
        <w:jc w:val="both"/>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008C576D">
        <w:rPr>
          <w:rFonts w:ascii="Times New Roman" w:hAnsi="Times New Roman"/>
          <w:b w:val="0"/>
          <w:sz w:val="22"/>
        </w:rPr>
        <w:t>TS DES ENTREPRISES</w:t>
      </w:r>
    </w:p>
    <w:p w:rsidR="007F2EF7" w:rsidRDefault="00EC1258" w:rsidP="005E3C83">
      <w:pPr>
        <w:pStyle w:val="ET"/>
        <w:ind w:left="4678"/>
        <w:jc w:val="both"/>
        <w:rPr>
          <w:b w:val="0"/>
        </w:rPr>
      </w:pPr>
      <w:r>
        <w:rPr>
          <w:b w:val="0"/>
        </w:rPr>
        <w:t xml:space="preserve">DE </w:t>
      </w:r>
      <w:r w:rsidR="00277B7F">
        <w:rPr>
          <w:b w:val="0"/>
        </w:rPr>
        <w:t>BREST-ABERS</w:t>
      </w:r>
    </w:p>
    <w:p w:rsidR="00277B7F" w:rsidRPr="007F2EF7" w:rsidRDefault="00277B7F" w:rsidP="005E3C83">
      <w:pPr>
        <w:pStyle w:val="ET"/>
        <w:ind w:left="4678"/>
        <w:jc w:val="both"/>
        <w:rPr>
          <w:b w:val="0"/>
        </w:rPr>
      </w:pPr>
    </w:p>
    <w:p w:rsidR="00B52D5B" w:rsidRDefault="00B52D5B" w:rsidP="005E3C83">
      <w:pPr>
        <w:pStyle w:val="ET"/>
        <w:ind w:left="4678"/>
        <w:jc w:val="both"/>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277B7F">
        <w:rPr>
          <w:rFonts w:ascii="Times New Roman" w:hAnsi="Times New Roman"/>
          <w:b w:val="0"/>
        </w:rPr>
        <w:t>9</w:t>
      </w:r>
    </w:p>
    <w:p w:rsidR="00FF3A8A" w:rsidRPr="001F30DB" w:rsidRDefault="00FF3A8A" w:rsidP="005E3C83">
      <w:pPr>
        <w:pStyle w:val="ET"/>
        <w:ind w:left="4678"/>
        <w:jc w:val="both"/>
        <w:rPr>
          <w:rFonts w:ascii="Times New Roman" w:hAnsi="Times New Roman"/>
          <w:b w:val="0"/>
        </w:rPr>
      </w:pPr>
    </w:p>
    <w:p w:rsidR="00B52D5B" w:rsidRPr="001F30DB" w:rsidRDefault="00B52D5B" w:rsidP="005E3C83">
      <w:pPr>
        <w:pStyle w:val="ET"/>
        <w:ind w:left="4678"/>
        <w:jc w:val="both"/>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EC1258">
        <w:rPr>
          <w:rFonts w:ascii="Times New Roman" w:hAnsi="Times New Roman"/>
          <w:b w:val="0"/>
        </w:rPr>
        <w:t>2</w:t>
      </w:r>
      <w:r w:rsidR="00B14F63">
        <w:rPr>
          <w:rFonts w:ascii="Times New Roman" w:hAnsi="Times New Roman"/>
          <w:b w:val="0"/>
        </w:rPr>
        <w:t>-</w:t>
      </w:r>
      <w:r w:rsidR="00512D55">
        <w:rPr>
          <w:rFonts w:ascii="Times New Roman" w:hAnsi="Times New Roman"/>
          <w:b w:val="0"/>
        </w:rPr>
        <w:t>269-0</w:t>
      </w:r>
    </w:p>
    <w:p w:rsidR="00B52D5B" w:rsidRDefault="00B52D5B" w:rsidP="005E3C83">
      <w:pPr>
        <w:pStyle w:val="Observation"/>
        <w:spacing w:line="240" w:lineRule="auto"/>
        <w:ind w:left="4678"/>
        <w:jc w:val="both"/>
        <w:rPr>
          <w:b w:val="0"/>
        </w:rPr>
      </w:pPr>
    </w:p>
    <w:p w:rsidR="008E6FD2" w:rsidRDefault="00B52D5B" w:rsidP="005E3C83">
      <w:pPr>
        <w:pStyle w:val="Observation"/>
        <w:spacing w:line="240" w:lineRule="auto"/>
        <w:ind w:left="4678"/>
        <w:jc w:val="both"/>
        <w:rPr>
          <w:rFonts w:ascii="Times New Roman" w:hAnsi="Times New Roman"/>
          <w:b w:val="0"/>
        </w:rPr>
      </w:pPr>
      <w:r w:rsidRPr="001F30DB">
        <w:rPr>
          <w:rFonts w:ascii="Times New Roman" w:hAnsi="Times New Roman"/>
          <w:b w:val="0"/>
        </w:rPr>
        <w:t xml:space="preserve">Audience publique du </w:t>
      </w:r>
      <w:r w:rsidR="00512D55">
        <w:rPr>
          <w:rFonts w:ascii="Times New Roman" w:hAnsi="Times New Roman"/>
          <w:b w:val="0"/>
        </w:rPr>
        <w:t>16 mai 2012</w:t>
      </w:r>
    </w:p>
    <w:p w:rsidR="00FF3A8A" w:rsidRDefault="00FF3A8A" w:rsidP="005E3C83">
      <w:pPr>
        <w:pStyle w:val="Observation"/>
        <w:spacing w:line="240" w:lineRule="auto"/>
        <w:ind w:left="4678"/>
        <w:jc w:val="both"/>
        <w:rPr>
          <w:rFonts w:ascii="Times New Roman" w:hAnsi="Times New Roman"/>
          <w:b w:val="0"/>
        </w:rPr>
      </w:pPr>
    </w:p>
    <w:p w:rsidR="00B52D5B" w:rsidRPr="003D591F" w:rsidRDefault="00B52D5B" w:rsidP="00BE7898">
      <w:pPr>
        <w:pStyle w:val="Observation"/>
        <w:spacing w:after="480" w:line="240" w:lineRule="auto"/>
        <w:ind w:left="4678"/>
        <w:jc w:val="both"/>
        <w:rPr>
          <w:b w:val="0"/>
          <w:color w:val="000000"/>
        </w:rPr>
      </w:pPr>
      <w:r w:rsidRPr="001F30DB">
        <w:rPr>
          <w:rFonts w:ascii="Times New Roman" w:hAnsi="Times New Roman"/>
          <w:b w:val="0"/>
        </w:rPr>
        <w:t>Lecture publique du</w:t>
      </w:r>
      <w:r w:rsidR="00A85DBC">
        <w:rPr>
          <w:rFonts w:ascii="Times New Roman" w:hAnsi="Times New Roman"/>
          <w:b w:val="0"/>
        </w:rPr>
        <w:t xml:space="preserve"> </w:t>
      </w:r>
      <w:r w:rsidR="005E3C83">
        <w:rPr>
          <w:rFonts w:ascii="Times New Roman" w:hAnsi="Times New Roman"/>
          <w:b w:val="0"/>
        </w:rPr>
        <w:t>16 octobre 2012</w:t>
      </w:r>
    </w:p>
    <w:p w:rsidR="00BE7898" w:rsidRPr="00690D05" w:rsidRDefault="00BE7898" w:rsidP="00BE7898">
      <w:pPr>
        <w:pStyle w:val="P0"/>
        <w:spacing w:after="240"/>
        <w:ind w:left="540" w:right="-284" w:firstLine="27"/>
        <w:jc w:val="center"/>
      </w:pPr>
      <w:r w:rsidRPr="00690D05">
        <w:t>REPUBLIQUE FRANÇAISE</w:t>
      </w:r>
    </w:p>
    <w:p w:rsidR="00BE7898" w:rsidRPr="00690D05" w:rsidRDefault="00BE7898" w:rsidP="00BE7898">
      <w:pPr>
        <w:pStyle w:val="P0"/>
        <w:spacing w:after="360"/>
        <w:ind w:left="539" w:right="-284" w:firstLine="27"/>
        <w:jc w:val="center"/>
      </w:pPr>
      <w:r w:rsidRPr="00690D05">
        <w:t>AU NOM DU PEUPLE FRANÇAIS</w:t>
      </w:r>
    </w:p>
    <w:p w:rsidR="00BE7898" w:rsidRPr="00690D05" w:rsidRDefault="00BE7898" w:rsidP="00433DBC">
      <w:pPr>
        <w:pStyle w:val="P0"/>
        <w:spacing w:after="400"/>
        <w:ind w:left="539" w:right="-284" w:firstLine="28"/>
        <w:jc w:val="center"/>
      </w:pPr>
      <w:r w:rsidRPr="00690D05">
        <w:t>LA COUR DES COMPTES a rendu l’arrêt suivant :</w:t>
      </w:r>
    </w:p>
    <w:p w:rsidR="005E3C83" w:rsidRDefault="005E3C83" w:rsidP="00D3432E">
      <w:pPr>
        <w:pStyle w:val="corpsdetexte0"/>
        <w:spacing w:after="280"/>
        <w:ind w:left="567" w:firstLine="851"/>
      </w:pPr>
      <w:r>
        <w:t>LA COUR,</w:t>
      </w:r>
    </w:p>
    <w:p w:rsidR="0066528D" w:rsidRDefault="0066528D" w:rsidP="00D3432E">
      <w:pPr>
        <w:pStyle w:val="corpsdetexte0"/>
        <w:spacing w:after="280"/>
        <w:ind w:left="567" w:firstLine="851"/>
      </w:pPr>
      <w:r>
        <w:t>Vu l</w:t>
      </w:r>
      <w:r w:rsidR="00DD24CD">
        <w:t>e compte pr</w:t>
      </w:r>
      <w:r w:rsidR="00D53BC2">
        <w:t xml:space="preserve">oduit </w:t>
      </w:r>
      <w:r w:rsidR="00F26C02">
        <w:t xml:space="preserve">en </w:t>
      </w:r>
      <w:r w:rsidR="00D53BC2">
        <w:t>20</w:t>
      </w:r>
      <w:r w:rsidR="00277B7F">
        <w:t>10</w:t>
      </w:r>
      <w:r w:rsidR="00D53BC2">
        <w:t xml:space="preserve"> </w:t>
      </w:r>
      <w:r>
        <w:t>par le tréso</w:t>
      </w:r>
      <w:r w:rsidR="00461736">
        <w:t>rier</w:t>
      </w:r>
      <w:r w:rsidR="00274E9A">
        <w:t>-</w:t>
      </w:r>
      <w:r w:rsidR="00461736">
        <w:t>payeur général d</w:t>
      </w:r>
      <w:r w:rsidR="00EC1258">
        <w:t xml:space="preserve">u Finistère </w:t>
      </w:r>
      <w:r w:rsidR="003C16FA">
        <w:t>e</w:t>
      </w:r>
      <w:r w:rsidR="00F06E29">
        <w:t>n</w:t>
      </w:r>
      <w:r w:rsidR="00CA21CB">
        <w:t xml:space="preserve"> </w:t>
      </w:r>
      <w:r>
        <w:t>qualité de comptabl</w:t>
      </w:r>
      <w:r w:rsidR="00DD24CD">
        <w:t>e principal</w:t>
      </w:r>
      <w:r w:rsidR="00461736">
        <w:t xml:space="preserve"> de l'Etat</w:t>
      </w:r>
      <w:r w:rsidR="00D53BC2">
        <w:t>,</w:t>
      </w:r>
      <w:r w:rsidR="002D32D3">
        <w:t xml:space="preserve"> pour l’exercice 200</w:t>
      </w:r>
      <w:r w:rsidR="00277B7F">
        <w:t>9</w:t>
      </w:r>
      <w:r w:rsidR="002D32D3">
        <w:t>,</w:t>
      </w:r>
      <w:r>
        <w:t xml:space="preserve"> dans lequel sont reprises les opérations des comptables des impôts de la direction des servic</w:t>
      </w:r>
      <w:r w:rsidR="00DD24CD">
        <w:t>es fi</w:t>
      </w:r>
      <w:r w:rsidR="00461736">
        <w:t>scaux d</w:t>
      </w:r>
      <w:r w:rsidR="00EC1258">
        <w:t>u</w:t>
      </w:r>
      <w:r w:rsidR="00F120C1">
        <w:t xml:space="preserve"> </w:t>
      </w:r>
      <w:r w:rsidR="00EC1258">
        <w:t>Finistère</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D3432E">
      <w:pPr>
        <w:pStyle w:val="corpsdetexte0"/>
        <w:spacing w:after="280"/>
        <w:ind w:left="567" w:firstLine="851"/>
      </w:pPr>
      <w:r>
        <w:t>Vu les pièces justificatives des décharges de droits et des admissions en non</w:t>
      </w:r>
      <w:r w:rsidR="000508FD">
        <w:t>-</w:t>
      </w:r>
      <w:r>
        <w:t>valeur mentionnées auxdits états ;</w:t>
      </w:r>
    </w:p>
    <w:p w:rsidR="002D32D3" w:rsidRDefault="002D32D3" w:rsidP="00D3432E">
      <w:pPr>
        <w:pStyle w:val="corpsdetexte0"/>
        <w:spacing w:after="280"/>
        <w:ind w:left="567" w:firstLine="851"/>
      </w:pPr>
      <w:r>
        <w:t>Vu les balances de comptes desdits états au 31</w:t>
      </w:r>
      <w:r w:rsidR="00275738">
        <w:t> </w:t>
      </w:r>
      <w:r>
        <w:t>décembre de l’année 200</w:t>
      </w:r>
      <w:r w:rsidR="00277B7F">
        <w:t>9</w:t>
      </w:r>
      <w:r>
        <w:t> ;</w:t>
      </w:r>
    </w:p>
    <w:p w:rsidR="00971AAF" w:rsidRDefault="00971AAF" w:rsidP="00D3432E">
      <w:pPr>
        <w:pStyle w:val="corpsdetexte0"/>
        <w:spacing w:after="280"/>
        <w:ind w:left="567" w:firstLine="851"/>
      </w:pPr>
      <w:r>
        <w:t>Vu les états nominatifs des droits pris en charge par ces comp</w:t>
      </w:r>
      <w:r w:rsidR="00461736">
        <w:t>tables jusqu'au 31</w:t>
      </w:r>
      <w:r w:rsidR="009D00D7">
        <w:t> </w:t>
      </w:r>
      <w:r w:rsidR="00461736">
        <w:t>décembre 200</w:t>
      </w:r>
      <w:r w:rsidR="00277B7F">
        <w:t>6</w:t>
      </w:r>
      <w:r w:rsidR="00F06E29">
        <w:t xml:space="preserve"> </w:t>
      </w:r>
      <w:r>
        <w:t>et restant</w:t>
      </w:r>
      <w:r w:rsidR="00461736">
        <w:t xml:space="preserve"> à recouvrer au 31 décembre 200</w:t>
      </w:r>
      <w:r w:rsidR="00277B7F">
        <w:t>9</w:t>
      </w:r>
      <w:r>
        <w:t xml:space="preserve"> ;</w:t>
      </w:r>
    </w:p>
    <w:p w:rsidR="004E421B" w:rsidRDefault="004E421B" w:rsidP="00D3432E">
      <w:pPr>
        <w:pStyle w:val="Corpsdetexte"/>
        <w:spacing w:before="240" w:after="280"/>
        <w:ind w:left="567" w:firstLine="851"/>
      </w:pPr>
      <w:r>
        <w:t>Vu les pièces justificatives recueillies au cours de l'instruction ;</w:t>
      </w:r>
    </w:p>
    <w:p w:rsidR="004E421B" w:rsidRDefault="004E421B" w:rsidP="00D3432E">
      <w:pPr>
        <w:pStyle w:val="Corpsdetexte"/>
        <w:spacing w:before="240" w:after="280"/>
        <w:ind w:left="567" w:firstLine="851"/>
      </w:pPr>
      <w:r>
        <w:t>Vu le code des juridictions financières ;</w:t>
      </w:r>
    </w:p>
    <w:p w:rsidR="007105A3" w:rsidRDefault="004E421B" w:rsidP="00D3432E">
      <w:pPr>
        <w:pStyle w:val="Corpsdetexte"/>
        <w:spacing w:before="240" w:after="240"/>
        <w:ind w:left="567" w:firstLine="851"/>
      </w:pPr>
      <w:r>
        <w:t>Vu le code général des impôts et le livre des procédures fiscales ;</w:t>
      </w:r>
    </w:p>
    <w:p w:rsidR="00632C91" w:rsidRDefault="00632C91" w:rsidP="00424E66">
      <w:pPr>
        <w:pStyle w:val="Corpsdetexte"/>
        <w:spacing w:before="240" w:after="240"/>
        <w:ind w:left="567" w:firstLine="851"/>
      </w:pPr>
      <w:r>
        <w:lastRenderedPageBreak/>
        <w:t>Vu le décret n° 62-1587 du 29 décembre 1962 portant règlement général de la comptabilité publique ;</w:t>
      </w:r>
    </w:p>
    <w:p w:rsidR="004E421B" w:rsidRDefault="004E421B" w:rsidP="00424E66">
      <w:pPr>
        <w:pStyle w:val="Corpsdetexte"/>
        <w:spacing w:before="240" w:after="0"/>
        <w:ind w:left="567" w:firstLine="851"/>
      </w:pPr>
      <w:r>
        <w:t>Vu le décret n°</w:t>
      </w:r>
      <w:r w:rsidR="005E3C83">
        <w:t> </w:t>
      </w:r>
      <w:r>
        <w:t>77-1017 du 1</w:t>
      </w:r>
      <w:r>
        <w:rPr>
          <w:vertAlign w:val="superscript"/>
        </w:rPr>
        <w:t>er</w:t>
      </w:r>
      <w:r w:rsidR="005E3C83">
        <w:rPr>
          <w:vertAlign w:val="superscript"/>
        </w:rPr>
        <w:t> </w:t>
      </w:r>
      <w:r>
        <w:t>septembre</w:t>
      </w:r>
      <w:r w:rsidR="005E3C83">
        <w:t> </w:t>
      </w:r>
      <w:r>
        <w:t>1977 relatif à la responsabilité des comptables des administrations financières ;</w:t>
      </w:r>
    </w:p>
    <w:p w:rsidR="004E421B" w:rsidRDefault="004E421B" w:rsidP="00424E66">
      <w:pPr>
        <w:pStyle w:val="Corpsdetexte"/>
        <w:spacing w:before="240" w:after="0"/>
        <w:ind w:left="567" w:firstLine="851"/>
      </w:pPr>
      <w:r>
        <w:t xml:space="preserve">Vu l’article 60 modifié de la loi n° 63-156 du 23 février 1963 ; </w:t>
      </w:r>
    </w:p>
    <w:p w:rsidR="0091055D" w:rsidRDefault="0091055D" w:rsidP="00424E66">
      <w:pPr>
        <w:pStyle w:val="Corpsdetexte"/>
        <w:spacing w:before="240" w:after="0"/>
        <w:ind w:left="567" w:firstLine="851"/>
      </w:pPr>
      <w:r>
        <w:t>Vu la loi n°</w:t>
      </w:r>
      <w:r w:rsidR="00DD6407">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424E66">
      <w:pPr>
        <w:pStyle w:val="Corpsdetexte"/>
        <w:spacing w:before="240" w:after="0"/>
        <w:ind w:left="567" w:firstLine="851"/>
      </w:pPr>
      <w:r w:rsidRPr="001F30DB">
        <w:t xml:space="preserve">Vu l'arrêté </w:t>
      </w:r>
      <w:r>
        <w:t>n°</w:t>
      </w:r>
      <w:r w:rsidR="00DD6407">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424E66">
      <w:pPr>
        <w:pStyle w:val="Corpsdetexte"/>
        <w:spacing w:before="240" w:after="0"/>
        <w:ind w:left="567" w:firstLine="851"/>
      </w:pPr>
      <w:r>
        <w:t xml:space="preserve">Vu </w:t>
      </w:r>
      <w:r w:rsidR="00274E9A" w:rsidRPr="001F30DB">
        <w:t xml:space="preserve">l’arrêté modifié n° 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424E66">
      <w:pPr>
        <w:pStyle w:val="Corpsdetexte"/>
        <w:spacing w:before="240" w:after="0"/>
        <w:ind w:left="567" w:firstLine="851"/>
      </w:pPr>
      <w:r w:rsidRPr="001F30DB">
        <w:t xml:space="preserve">Vu la lettre </w:t>
      </w:r>
      <w:r>
        <w:t>d</w:t>
      </w:r>
      <w:r w:rsidRPr="001F30DB">
        <w:t xml:space="preserve">u </w:t>
      </w:r>
      <w:r w:rsidR="001C5AB2">
        <w:t xml:space="preserve">8 septembre </w:t>
      </w:r>
      <w:r w:rsidR="003C16FA">
        <w:t>2010</w:t>
      </w:r>
      <w:r w:rsidRPr="001F30DB">
        <w:t xml:space="preserve"> par laquelle, en application des articles</w:t>
      </w:r>
      <w:r w:rsidR="00F120C1">
        <w:t xml:space="preserve"> </w:t>
      </w:r>
      <w:r w:rsidRPr="001F30DB">
        <w:t>R.</w:t>
      </w:r>
      <w:r w:rsidR="00DD6407">
        <w:t> </w:t>
      </w:r>
      <w:r w:rsidRPr="001F30DB">
        <w:t>141</w:t>
      </w:r>
      <w:r w:rsidR="00F06E29">
        <w:noBreakHyphen/>
      </w:r>
      <w:r w:rsidRPr="001F30DB">
        <w:t>10 et D.</w:t>
      </w:r>
      <w:r w:rsidR="00DD6407">
        <w:t>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241F17">
        <w:t xml:space="preserve">à la directrice </w:t>
      </w:r>
      <w:r w:rsidR="001C5AB2">
        <w:t>divisionnaire, chargée de l’intérim de la direction des services fiscaux du Finistère, le contrôle des comptes pour les exercices 2</w:t>
      </w:r>
      <w:r w:rsidRPr="001F30DB">
        <w:t>00</w:t>
      </w:r>
      <w:r w:rsidR="001C5AB2">
        <w:t>4</w:t>
      </w:r>
      <w:r w:rsidRPr="001F30DB">
        <w:t xml:space="preserve"> à 200</w:t>
      </w:r>
      <w:r w:rsidR="001C5AB2">
        <w:t>9</w:t>
      </w:r>
      <w:r w:rsidR="00165AC7">
        <w:t> ;</w:t>
      </w:r>
    </w:p>
    <w:p w:rsidR="00D06882" w:rsidRDefault="00D06882" w:rsidP="00424E66">
      <w:pPr>
        <w:pStyle w:val="Corpsdetexte"/>
        <w:spacing w:before="240" w:after="0"/>
        <w:ind w:left="567" w:firstLine="851"/>
      </w:pPr>
      <w:r>
        <w:t xml:space="preserve">Vu le réquisitoire à fin d’instruction de charge du </w:t>
      </w:r>
      <w:r w:rsidR="00F26C02">
        <w:t>P</w:t>
      </w:r>
      <w:r>
        <w:t>rocureur général prè</w:t>
      </w:r>
      <w:r w:rsidR="00461736">
        <w:t>s la</w:t>
      </w:r>
      <w:r w:rsidR="00F120C1">
        <w:t xml:space="preserve"> </w:t>
      </w:r>
      <w:r w:rsidR="00461736">
        <w:t>Cour des comptes n° 20</w:t>
      </w:r>
      <w:r w:rsidR="003C16FA">
        <w:t>11</w:t>
      </w:r>
      <w:r w:rsidR="00461736">
        <w:t>-</w:t>
      </w:r>
      <w:r w:rsidR="0055130C">
        <w:t>112-R</w:t>
      </w:r>
      <w:r w:rsidR="00461736">
        <w:t xml:space="preserve">Q-DB du </w:t>
      </w:r>
      <w:r w:rsidR="0055130C">
        <w:t>7</w:t>
      </w:r>
      <w:r w:rsidR="006708E6">
        <w:t xml:space="preserve"> </w:t>
      </w:r>
      <w:r w:rsidR="0055130C">
        <w:t>déc</w:t>
      </w:r>
      <w:r w:rsidR="006708E6">
        <w:t xml:space="preserve">embre </w:t>
      </w:r>
      <w:r w:rsidR="00F06E29">
        <w:t>20</w:t>
      </w:r>
      <w:r w:rsidR="003C16FA">
        <w:t>11</w:t>
      </w:r>
      <w:r w:rsidR="00F06E29">
        <w:t>,</w:t>
      </w:r>
      <w:r w:rsidR="001456BE">
        <w:t xml:space="preserve"> dont M. </w:t>
      </w:r>
      <w:r w:rsidR="000508FD">
        <w:t>X</w:t>
      </w:r>
      <w:r w:rsidR="00277B7F">
        <w:t>,</w:t>
      </w:r>
      <w:r w:rsidR="001456BE">
        <w:t xml:space="preserve"> comptable</w:t>
      </w:r>
      <w:r w:rsidR="0091055D">
        <w:t>,</w:t>
      </w:r>
      <w:r w:rsidR="001456BE">
        <w:t xml:space="preserve"> a</w:t>
      </w:r>
      <w:r w:rsidR="00F120C1">
        <w:t xml:space="preserve"> </w:t>
      </w:r>
      <w:r w:rsidR="00DD6407">
        <w:t>a</w:t>
      </w:r>
      <w:r w:rsidR="001456BE">
        <w:t xml:space="preserve">ccusé réception le </w:t>
      </w:r>
      <w:r w:rsidR="0055130C">
        <w:t>7 janvier 2012</w:t>
      </w:r>
      <w:r w:rsidR="001456BE">
        <w:t> ;</w:t>
      </w:r>
    </w:p>
    <w:p w:rsidR="00D06882" w:rsidRDefault="00D53BC2" w:rsidP="00424E66">
      <w:pPr>
        <w:pStyle w:val="Corpsdetexte"/>
        <w:spacing w:before="240" w:after="0"/>
        <w:ind w:left="567" w:firstLine="851"/>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F120C1">
        <w:t xml:space="preserve"> </w:t>
      </w:r>
      <w:r w:rsidR="001F4EC3">
        <w:t>9</w:t>
      </w:r>
      <w:r w:rsidR="00096B76">
        <w:t> </w:t>
      </w:r>
      <w:r w:rsidR="001F4EC3">
        <w:t>décembre</w:t>
      </w:r>
      <w:r w:rsidR="0040490C">
        <w:t> </w:t>
      </w:r>
      <w:r w:rsidR="00D06882">
        <w:t>20</w:t>
      </w:r>
      <w:r w:rsidR="003C16FA">
        <w:t>11</w:t>
      </w:r>
      <w:r w:rsidR="00D06882">
        <w:t xml:space="preserve"> désignant M</w:t>
      </w:r>
      <w:r w:rsidR="00F06E29">
        <w:t>me</w:t>
      </w:r>
      <w:r w:rsidR="00274E9A">
        <w:t xml:space="preserve"> </w:t>
      </w:r>
      <w:r w:rsidR="00F06E29">
        <w:t>D</w:t>
      </w:r>
      <w:r w:rsidR="00DF37B5">
        <w:t>os</w:t>
      </w:r>
      <w:r w:rsidR="00F06E29">
        <w:t xml:space="preserve"> R</w:t>
      </w:r>
      <w:r w:rsidR="00DF37B5">
        <w:t>eis</w:t>
      </w:r>
      <w:r w:rsidR="00D06882">
        <w:t>, conseill</w:t>
      </w:r>
      <w:r w:rsidR="00F06E29">
        <w:t>è</w:t>
      </w:r>
      <w:r w:rsidR="00D06882">
        <w:t>r</w:t>
      </w:r>
      <w:r w:rsidR="00F06E29">
        <w:t>e</w:t>
      </w:r>
      <w:r w:rsidR="00D06882">
        <w:t xml:space="preserve"> maître, pour </w:t>
      </w:r>
      <w:r w:rsidR="00274E9A">
        <w:t>instruire les suites à</w:t>
      </w:r>
      <w:r w:rsidR="0009009E">
        <w:t xml:space="preserve"> </w:t>
      </w:r>
      <w:r w:rsidR="00274E9A">
        <w:t>donner au réquisitoire susvisé</w:t>
      </w:r>
      <w:r w:rsidR="00D06882">
        <w:t> ;</w:t>
      </w:r>
    </w:p>
    <w:p w:rsidR="00274E9A" w:rsidRDefault="00274E9A" w:rsidP="00424E66">
      <w:pPr>
        <w:pStyle w:val="Corpsdetexte"/>
        <w:spacing w:before="240" w:after="0"/>
        <w:ind w:left="567" w:firstLine="851"/>
      </w:pPr>
      <w:r>
        <w:t>Vu</w:t>
      </w:r>
      <w:r w:rsidR="000C17C4">
        <w:t xml:space="preserve"> les éléments de réponse produits par le comptable le </w:t>
      </w:r>
      <w:r w:rsidR="00277B7F">
        <w:t>12</w:t>
      </w:r>
      <w:r w:rsidR="001F4EC3">
        <w:t xml:space="preserve"> janvier </w:t>
      </w:r>
      <w:r w:rsidR="00F06E29">
        <w:t>201</w:t>
      </w:r>
      <w:r w:rsidR="001F4EC3">
        <w:t>2</w:t>
      </w:r>
      <w:r w:rsidR="00E16933">
        <w:t xml:space="preserve"> </w:t>
      </w:r>
      <w:r>
        <w:t>;</w:t>
      </w:r>
    </w:p>
    <w:p w:rsidR="00D06882" w:rsidRDefault="00D06882" w:rsidP="00424E66">
      <w:pPr>
        <w:pStyle w:val="Corpsdetexte"/>
        <w:spacing w:before="240" w:after="0"/>
        <w:ind w:left="567" w:firstLine="851"/>
      </w:pPr>
      <w:r>
        <w:t xml:space="preserve">Sur le rapport de </w:t>
      </w:r>
      <w:r w:rsidR="00F06E29">
        <w:t>Mme D</w:t>
      </w:r>
      <w:r w:rsidR="00374CF4">
        <w:t>os</w:t>
      </w:r>
      <w:r w:rsidR="00F06E29">
        <w:t xml:space="preserve"> R</w:t>
      </w:r>
      <w:r w:rsidR="00374CF4">
        <w:t>eis</w:t>
      </w:r>
      <w:r w:rsidR="00F06E29">
        <w:t>, conseillère maître</w:t>
      </w:r>
      <w:r w:rsidR="00E16933">
        <w:t xml:space="preserve"> </w:t>
      </w:r>
      <w:r>
        <w:t>;</w:t>
      </w:r>
    </w:p>
    <w:p w:rsidR="00D06882" w:rsidRDefault="00D06882" w:rsidP="00424E66">
      <w:pPr>
        <w:pStyle w:val="Corpsdetexte"/>
        <w:spacing w:before="240" w:after="0"/>
        <w:ind w:left="567" w:firstLine="851"/>
      </w:pPr>
      <w:r>
        <w:t xml:space="preserve">Vu les </w:t>
      </w:r>
      <w:r w:rsidR="00D53BC2">
        <w:t>conclusions</w:t>
      </w:r>
      <w:r w:rsidR="00BA6FAA">
        <w:t xml:space="preserve"> n° </w:t>
      </w:r>
      <w:r w:rsidR="007961AF">
        <w:t xml:space="preserve">231 </w:t>
      </w:r>
      <w:r>
        <w:t>du procureur général</w:t>
      </w:r>
      <w:r w:rsidR="00D71D86">
        <w:t xml:space="preserve"> </w:t>
      </w:r>
      <w:r w:rsidR="00E417FA">
        <w:t xml:space="preserve">près la </w:t>
      </w:r>
      <w:r w:rsidR="00526173">
        <w:t>C</w:t>
      </w:r>
      <w:r w:rsidR="00E417FA">
        <w:t>our des comptes</w:t>
      </w:r>
      <w:r>
        <w:t xml:space="preserve"> </w:t>
      </w:r>
      <w:r w:rsidR="00BA6FAA">
        <w:t>du</w:t>
      </w:r>
      <w:r w:rsidR="00F120C1">
        <w:t xml:space="preserve"> </w:t>
      </w:r>
      <w:r w:rsidR="007961AF">
        <w:t>26 mars</w:t>
      </w:r>
      <w:r w:rsidR="009A204B">
        <w:t> </w:t>
      </w:r>
      <w:r w:rsidR="008D77C8">
        <w:t>201</w:t>
      </w:r>
      <w:r w:rsidR="00E16933">
        <w:t xml:space="preserve">2 </w:t>
      </w:r>
      <w:r>
        <w:t>;</w:t>
      </w:r>
    </w:p>
    <w:p w:rsidR="00D06882" w:rsidRDefault="00D06882" w:rsidP="00424E66">
      <w:pPr>
        <w:pStyle w:val="Corpsdetexte"/>
        <w:spacing w:before="240" w:after="0"/>
        <w:ind w:left="567" w:firstLine="851"/>
      </w:pPr>
      <w:r>
        <w:t xml:space="preserve">Vu la </w:t>
      </w:r>
      <w:r w:rsidR="000C17C4">
        <w:t>lettre</w:t>
      </w:r>
      <w:r>
        <w:t xml:space="preserve"> </w:t>
      </w:r>
      <w:r w:rsidR="001867CF">
        <w:t xml:space="preserve">du </w:t>
      </w:r>
      <w:r w:rsidR="007961AF">
        <w:t>16 mars 2012</w:t>
      </w:r>
      <w:r w:rsidR="008D77C8">
        <w:t xml:space="preserve"> </w:t>
      </w:r>
      <w:r>
        <w:t xml:space="preserve">du président de la </w:t>
      </w:r>
      <w:r w:rsidR="00B369E7">
        <w:t>p</w:t>
      </w:r>
      <w:r>
        <w:t>remière chambre désignant M</w:t>
      </w:r>
      <w:r w:rsidR="008D77C8">
        <w:t>. </w:t>
      </w:r>
      <w:r w:rsidR="007961AF">
        <w:t>Brun-Buisson,</w:t>
      </w:r>
      <w:r>
        <w:t xml:space="preserve"> </w:t>
      </w:r>
      <w:r w:rsidR="00B369E7">
        <w:t>conseill</w:t>
      </w:r>
      <w:r w:rsidR="008D77C8">
        <w:t>er</w:t>
      </w:r>
      <w:r w:rsidR="00B369E7">
        <w:t xml:space="preserve"> maître, </w:t>
      </w:r>
      <w:r>
        <w:t>comme réviseur ;</w:t>
      </w:r>
    </w:p>
    <w:p w:rsidR="000C17C4" w:rsidRDefault="000C17C4" w:rsidP="00424E66">
      <w:pPr>
        <w:pStyle w:val="Corpsdetexte"/>
        <w:spacing w:before="240" w:after="0"/>
        <w:ind w:left="567" w:firstLine="851"/>
      </w:pPr>
      <w:r>
        <w:t xml:space="preserve">Vu la lettre du </w:t>
      </w:r>
      <w:r w:rsidR="007961AF">
        <w:t>19 avril</w:t>
      </w:r>
      <w:r w:rsidR="008D77C8">
        <w:t xml:space="preserve"> 201</w:t>
      </w:r>
      <w:r w:rsidR="00E16933">
        <w:t>2</w:t>
      </w:r>
      <w:r>
        <w:t xml:space="preserve"> informant M.</w:t>
      </w:r>
      <w:r w:rsidR="00F907A3">
        <w:t> </w:t>
      </w:r>
      <w:r w:rsidR="000508FD">
        <w:t>X</w:t>
      </w:r>
      <w:r w:rsidR="006708E6">
        <w:t xml:space="preserve"> de </w:t>
      </w:r>
      <w:r>
        <w:t xml:space="preserve">la date de l’audience publique du </w:t>
      </w:r>
      <w:r w:rsidR="007961AF">
        <w:t xml:space="preserve">16 mai </w:t>
      </w:r>
      <w:r w:rsidR="008D77C8">
        <w:t>2012</w:t>
      </w:r>
      <w:r>
        <w:t xml:space="preserve">, et l’accusé de réception de cette lettre </w:t>
      </w:r>
      <w:r w:rsidR="0091055D">
        <w:t xml:space="preserve">signé le </w:t>
      </w:r>
      <w:r w:rsidR="007961AF">
        <w:t xml:space="preserve">20 avril </w:t>
      </w:r>
      <w:r w:rsidR="008D77C8">
        <w:t>201</w:t>
      </w:r>
      <w:r w:rsidR="00E16933">
        <w:t xml:space="preserve">2 </w:t>
      </w:r>
      <w:r>
        <w:t>par le comptable ;</w:t>
      </w:r>
    </w:p>
    <w:p w:rsidR="00D06882" w:rsidRDefault="00D06882" w:rsidP="00424E66">
      <w:pPr>
        <w:pStyle w:val="Corpsdetexte"/>
        <w:spacing w:before="240" w:after="0"/>
        <w:ind w:left="567" w:firstLine="851"/>
      </w:pPr>
      <w:r>
        <w:t>Entendu</w:t>
      </w:r>
      <w:r w:rsidR="000C17C4">
        <w:t>s</w:t>
      </w:r>
      <w:r>
        <w:t xml:space="preserve"> </w:t>
      </w:r>
      <w:r w:rsidR="0018438A">
        <w:t>en</w:t>
      </w:r>
      <w:r>
        <w:t xml:space="preserve"> audience publique, </w:t>
      </w:r>
      <w:r w:rsidR="00F06E29">
        <w:t>Mme D</w:t>
      </w:r>
      <w:r w:rsidR="00D71D86">
        <w:t>os</w:t>
      </w:r>
      <w:r w:rsidR="00F06E29">
        <w:t xml:space="preserve"> R</w:t>
      </w:r>
      <w:r w:rsidR="00D71D86">
        <w:t>eis</w:t>
      </w:r>
      <w:r w:rsidR="00F06E29">
        <w:t>,</w:t>
      </w:r>
      <w:r>
        <w:t xml:space="preserve"> </w:t>
      </w:r>
      <w:r w:rsidR="00165AC7">
        <w:t>conseill</w:t>
      </w:r>
      <w:r w:rsidR="00F06E29">
        <w:t>ère</w:t>
      </w:r>
      <w:r w:rsidR="00165AC7">
        <w:t xml:space="preserve"> maître, </w:t>
      </w:r>
      <w:r>
        <w:t>e</w:t>
      </w:r>
      <w:r w:rsidR="00D53BC2">
        <w:t>n son rapport oral, et M.</w:t>
      </w:r>
      <w:r w:rsidR="000C4F7B">
        <w:t xml:space="preserve"> Perrin</w:t>
      </w:r>
      <w:r>
        <w:t>, avocat géné</w:t>
      </w:r>
      <w:r w:rsidR="004D4916">
        <w:t>ral, en ses conclusions orales</w:t>
      </w:r>
      <w:r w:rsidR="005C5011">
        <w:t> ;</w:t>
      </w:r>
      <w:r w:rsidR="00DD6407">
        <w:t xml:space="preserve"> le comptable n’étant ni présent ni représenté ;</w:t>
      </w:r>
    </w:p>
    <w:p w:rsidR="00D06882" w:rsidRPr="00F06E29" w:rsidRDefault="00165AC7" w:rsidP="00424E66">
      <w:pPr>
        <w:pStyle w:val="Corpsdetexte"/>
        <w:spacing w:before="240" w:after="0"/>
        <w:ind w:left="567" w:firstLine="851"/>
      </w:pPr>
      <w:r>
        <w:t>Entendu à huis clos,</w:t>
      </w:r>
      <w:r w:rsidR="00D06882">
        <w:t xml:space="preserve"> </w:t>
      </w:r>
      <w:r>
        <w:t xml:space="preserve">le </w:t>
      </w:r>
      <w:r w:rsidR="001F3148">
        <w:t>m</w:t>
      </w:r>
      <w:r w:rsidR="00D06882">
        <w:t xml:space="preserve">inistère public et </w:t>
      </w:r>
      <w:r>
        <w:t>l</w:t>
      </w:r>
      <w:r w:rsidR="004D04DE">
        <w:t>a</w:t>
      </w:r>
      <w:r>
        <w:t xml:space="preserve"> rapporteur</w:t>
      </w:r>
      <w:r w:rsidR="004D04DE">
        <w:t>e</w:t>
      </w:r>
      <w:r>
        <w:t xml:space="preserve"> s’étant retirés, </w:t>
      </w:r>
      <w:r w:rsidR="00D06882" w:rsidRPr="00F06E29">
        <w:t>M</w:t>
      </w:r>
      <w:r w:rsidR="00C65484">
        <w:t>.</w:t>
      </w:r>
      <w:r w:rsidR="00D72C62">
        <w:t> </w:t>
      </w:r>
      <w:r w:rsidR="007961AF">
        <w:t>Brun-Buisson</w:t>
      </w:r>
      <w:r w:rsidR="00D06882" w:rsidRPr="00F06E29">
        <w:t>, conseill</w:t>
      </w:r>
      <w:r w:rsidR="007961AF">
        <w:t>er</w:t>
      </w:r>
      <w:r w:rsidR="00D06882" w:rsidRPr="00F06E29">
        <w:t xml:space="preserve"> maître, en ses observations ;</w:t>
      </w:r>
    </w:p>
    <w:p w:rsidR="004E421B" w:rsidRPr="001F3148" w:rsidRDefault="004E421B" w:rsidP="00B125A3">
      <w:pPr>
        <w:pStyle w:val="ps"/>
        <w:spacing w:after="360"/>
        <w:ind w:firstLine="0"/>
        <w:jc w:val="center"/>
        <w:rPr>
          <w:b/>
        </w:rPr>
      </w:pPr>
      <w:r w:rsidRPr="001F3148">
        <w:rPr>
          <w:b/>
        </w:rPr>
        <w:lastRenderedPageBreak/>
        <w:t>ORDONNE</w:t>
      </w:r>
      <w:r w:rsidR="007304CE">
        <w:rPr>
          <w:b/>
        </w:rPr>
        <w:t> :</w:t>
      </w:r>
    </w:p>
    <w:p w:rsidR="00551829" w:rsidRDefault="00551829" w:rsidP="00CC2F39">
      <w:pPr>
        <w:pStyle w:val="Corpsdetexte"/>
        <w:spacing w:before="0" w:after="0"/>
        <w:ind w:left="1418" w:firstLine="0"/>
        <w:jc w:val="left"/>
        <w:rPr>
          <w:b/>
          <w:u w:val="single"/>
        </w:rPr>
      </w:pPr>
      <w:r>
        <w:rPr>
          <w:b/>
          <w:u w:val="single"/>
        </w:rPr>
        <w:t xml:space="preserve">A l’égard de </w:t>
      </w:r>
      <w:r w:rsidR="000508FD">
        <w:rPr>
          <w:b/>
          <w:u w:val="single"/>
        </w:rPr>
        <w:t>M. X</w:t>
      </w:r>
    </w:p>
    <w:p w:rsidR="00551829" w:rsidRDefault="00551829" w:rsidP="00CC2F39">
      <w:pPr>
        <w:pStyle w:val="Corpsdetexte"/>
        <w:spacing w:before="0" w:after="0"/>
        <w:ind w:left="1418" w:firstLine="0"/>
        <w:jc w:val="left"/>
        <w:rPr>
          <w:b/>
          <w:u w:val="single"/>
        </w:rPr>
      </w:pPr>
    </w:p>
    <w:p w:rsidR="00551829" w:rsidRDefault="00DA24B4" w:rsidP="00CC2F39">
      <w:pPr>
        <w:pStyle w:val="Corpsdetexte"/>
        <w:spacing w:before="0" w:after="0"/>
        <w:ind w:left="1418" w:firstLine="0"/>
        <w:jc w:val="left"/>
        <w:rPr>
          <w:b/>
          <w:u w:val="single"/>
        </w:rPr>
      </w:pPr>
      <w:r>
        <w:rPr>
          <w:b/>
          <w:u w:val="single"/>
        </w:rPr>
        <w:t>Ch</w:t>
      </w:r>
      <w:r w:rsidR="00551829">
        <w:rPr>
          <w:b/>
          <w:u w:val="single"/>
        </w:rPr>
        <w:t>arge</w:t>
      </w:r>
      <w:r w:rsidR="00E16933">
        <w:rPr>
          <w:b/>
          <w:u w:val="single"/>
        </w:rPr>
        <w:t xml:space="preserve"> « </w:t>
      </w:r>
      <w:r w:rsidR="00C75A8A">
        <w:rPr>
          <w:b/>
          <w:u w:val="single"/>
        </w:rPr>
        <w:t>Sarl Groupe Bretagne Habitations</w:t>
      </w:r>
      <w:r w:rsidR="00E16933">
        <w:rPr>
          <w:b/>
          <w:u w:val="single"/>
        </w:rPr>
        <w:t> »</w:t>
      </w:r>
      <w:r>
        <w:rPr>
          <w:b/>
          <w:u w:val="single"/>
        </w:rPr>
        <w:t xml:space="preserve"> </w:t>
      </w:r>
    </w:p>
    <w:p w:rsidR="009F6499" w:rsidRDefault="009F6499" w:rsidP="00CC2F39">
      <w:pPr>
        <w:pStyle w:val="Corpsdetexte"/>
        <w:spacing w:before="0" w:after="0"/>
        <w:ind w:left="1418" w:firstLine="0"/>
        <w:jc w:val="left"/>
        <w:rPr>
          <w:b/>
          <w:u w:val="single"/>
        </w:rPr>
      </w:pPr>
    </w:p>
    <w:p w:rsidR="00551829" w:rsidRDefault="00551829" w:rsidP="00CC2F39">
      <w:pPr>
        <w:pStyle w:val="Corpsdetexte"/>
        <w:spacing w:before="0" w:after="240"/>
        <w:ind w:left="1418" w:firstLine="0"/>
        <w:jc w:val="left"/>
        <w:rPr>
          <w:b/>
          <w:u w:val="single"/>
        </w:rPr>
      </w:pPr>
      <w:r>
        <w:rPr>
          <w:b/>
          <w:u w:val="single"/>
        </w:rPr>
        <w:t>Exercice 200</w:t>
      </w:r>
      <w:r w:rsidR="00320C4B">
        <w:rPr>
          <w:b/>
          <w:u w:val="single"/>
        </w:rPr>
        <w:t>9</w:t>
      </w:r>
    </w:p>
    <w:p w:rsidR="00243615" w:rsidRDefault="00243615" w:rsidP="00CC2F39">
      <w:pPr>
        <w:pStyle w:val="Corpsdetexte"/>
        <w:spacing w:before="240" w:after="240"/>
        <w:ind w:left="567" w:firstLine="851"/>
      </w:pPr>
      <w:r>
        <w:t>Attendu que le ministère public, par réquisitoire du 7 décembre 2011, a</w:t>
      </w:r>
      <w:r w:rsidR="00F120C1">
        <w:t xml:space="preserve"> </w:t>
      </w:r>
      <w:r>
        <w:t>constaté que</w:t>
      </w:r>
      <w:r w:rsidR="007304CE">
        <w:t xml:space="preserve"> </w:t>
      </w:r>
      <w:r>
        <w:t>la société à responsabilité limitée Groupe Bretagne Habitations restait redevable au</w:t>
      </w:r>
      <w:r w:rsidR="00F120C1">
        <w:t xml:space="preserve"> </w:t>
      </w:r>
      <w:r>
        <w:t>31 décembre</w:t>
      </w:r>
      <w:r w:rsidR="007304CE">
        <w:t> </w:t>
      </w:r>
      <w:r>
        <w:t>2009, d’un montant total de 163 28</w:t>
      </w:r>
      <w:r w:rsidR="00526173">
        <w:t>2</w:t>
      </w:r>
      <w:r>
        <w:t>,00</w:t>
      </w:r>
      <w:r w:rsidR="00A7084C">
        <w:t> </w:t>
      </w:r>
      <w:r>
        <w:t>euros, de taxe</w:t>
      </w:r>
      <w:r w:rsidR="00526173">
        <w:t>s</w:t>
      </w:r>
      <w:r>
        <w:t xml:space="preserve"> sur la valeur ajoutée, d’impôt sur les sociétés et de contribution additionnelle, mis en recouvrement par avis notifié le 29 décembre 2006 ;</w:t>
      </w:r>
    </w:p>
    <w:p w:rsidR="00243615" w:rsidRDefault="00243615" w:rsidP="00CC2F39">
      <w:pPr>
        <w:pStyle w:val="Corpsdetexte"/>
        <w:spacing w:before="240" w:after="240"/>
        <w:ind w:left="567" w:firstLine="851"/>
      </w:pPr>
      <w:r>
        <w:t>Attendu que le comptable a justifié de diligences faites pour le recouvrement des créances contestées d’impôt sur les sociétés et de contribution additionnelle, d’un montant de</w:t>
      </w:r>
      <w:r w:rsidR="00F120C1">
        <w:t xml:space="preserve"> </w:t>
      </w:r>
      <w:r>
        <w:t>4 481,00</w:t>
      </w:r>
      <w:r w:rsidR="00D2684F">
        <w:t> </w:t>
      </w:r>
      <w:r>
        <w:t>euros ; qu’en revanche, la créance de taxe sur la valeur ajoutée, non contestée, d’un montant de 158 802,00</w:t>
      </w:r>
      <w:r w:rsidR="00A7084C">
        <w:t> </w:t>
      </w:r>
      <w:r>
        <w:t xml:space="preserve">euros, n’aurait fait l’objet que d’un procès-verbal de saisie-vente signifié le 15 décembre 2010 ; </w:t>
      </w:r>
    </w:p>
    <w:p w:rsidR="00A10495" w:rsidRDefault="00A10495" w:rsidP="00CC2F39">
      <w:pPr>
        <w:pStyle w:val="Corpsdetexte"/>
        <w:spacing w:before="240" w:after="240"/>
        <w:ind w:left="567" w:firstLine="851"/>
      </w:pPr>
      <w:r>
        <w:t>Attendu</w:t>
      </w:r>
      <w:r w:rsidR="00836370">
        <w:t xml:space="preserve"> qu’au</w:t>
      </w:r>
      <w:r>
        <w:t>x termes de l’article 1</w:t>
      </w:r>
      <w:r w:rsidRPr="00A10495">
        <w:rPr>
          <w:vertAlign w:val="superscript"/>
        </w:rPr>
        <w:t>er</w:t>
      </w:r>
      <w:r w:rsidR="006B4A07">
        <w:rPr>
          <w:vertAlign w:val="superscript"/>
        </w:rPr>
        <w:t xml:space="preserve"> </w:t>
      </w:r>
      <w:r>
        <w:t>du décret n°</w:t>
      </w:r>
      <w:r w:rsidR="00D2684F">
        <w:t> </w:t>
      </w:r>
      <w:r>
        <w:t>77-1017 du 1</w:t>
      </w:r>
      <w:r w:rsidRPr="00A10495">
        <w:rPr>
          <w:vertAlign w:val="superscript"/>
        </w:rPr>
        <w:t>er</w:t>
      </w:r>
      <w:r w:rsidR="00D2684F">
        <w:rPr>
          <w:vertAlign w:val="superscript"/>
        </w:rPr>
        <w:t> </w:t>
      </w:r>
      <w:r>
        <w:t>septembre</w:t>
      </w:r>
      <w:r w:rsidR="00D2684F">
        <w:t> </w:t>
      </w:r>
      <w:r>
        <w:t xml:space="preserve">1977, </w:t>
      </w:r>
      <w:r w:rsidR="00836370">
        <w:t>M.</w:t>
      </w:r>
      <w:r w:rsidR="007961AF">
        <w:t> </w:t>
      </w:r>
      <w:r w:rsidR="000508FD">
        <w:t>X</w:t>
      </w:r>
      <w:r w:rsidR="00836370">
        <w:t xml:space="preserve"> </w:t>
      </w:r>
      <w:r>
        <w:t xml:space="preserve">n’a pas effectué les diligences suffisantes </w:t>
      </w:r>
      <w:r w:rsidR="00836370">
        <w:t>pour recouvrer la créance non contestée de taxe sur la valeur ajoutée à hauteur de 158 802,00 euros</w:t>
      </w:r>
      <w:r>
        <w:t> ;</w:t>
      </w:r>
    </w:p>
    <w:p w:rsidR="00243615" w:rsidRDefault="00A10495" w:rsidP="00CC2F39">
      <w:pPr>
        <w:pStyle w:val="Corpsdetexte"/>
        <w:spacing w:before="240" w:after="240"/>
        <w:ind w:left="567" w:firstLine="851"/>
      </w:pPr>
      <w:r>
        <w:t xml:space="preserve">Attendu </w:t>
      </w:r>
      <w:r w:rsidR="00D2684F">
        <w:t xml:space="preserve">que </w:t>
      </w:r>
      <w:r>
        <w:t>par réquisitoire susvisé</w:t>
      </w:r>
      <w:r w:rsidR="002F1184">
        <w:t>,</w:t>
      </w:r>
      <w:r w:rsidR="00836370">
        <w:t xml:space="preserve"> </w:t>
      </w:r>
      <w:r>
        <w:t xml:space="preserve">le procureur général conclut que </w:t>
      </w:r>
      <w:r w:rsidR="00836370">
        <w:t xml:space="preserve">la </w:t>
      </w:r>
      <w:r w:rsidR="00243615">
        <w:t xml:space="preserve">responsabilité personnelle et pécuniaire </w:t>
      </w:r>
      <w:r w:rsidR="00836370">
        <w:t>de M.</w:t>
      </w:r>
      <w:r w:rsidR="00A7084C">
        <w:t> </w:t>
      </w:r>
      <w:r w:rsidR="000508FD">
        <w:t>X</w:t>
      </w:r>
      <w:r w:rsidR="00836370">
        <w:t xml:space="preserve">, en fonctions </w:t>
      </w:r>
      <w:r w:rsidR="00D2684F">
        <w:t>depuis le</w:t>
      </w:r>
      <w:r w:rsidR="00F120C1">
        <w:t xml:space="preserve"> </w:t>
      </w:r>
      <w:r w:rsidR="00836370">
        <w:t>2</w:t>
      </w:r>
      <w:r w:rsidR="0040490C">
        <w:t> </w:t>
      </w:r>
      <w:r w:rsidR="00836370">
        <w:t>septembre</w:t>
      </w:r>
      <w:r w:rsidR="0040490C">
        <w:t> </w:t>
      </w:r>
      <w:r w:rsidR="00836370">
        <w:t>1996</w:t>
      </w:r>
      <w:r>
        <w:t>,</w:t>
      </w:r>
      <w:r w:rsidR="00836370">
        <w:t xml:space="preserve"> </w:t>
      </w:r>
      <w:r>
        <w:t xml:space="preserve">pouvait être mise en jeu </w:t>
      </w:r>
      <w:r w:rsidR="00243615">
        <w:t>au titre de l’exercice 2009</w:t>
      </w:r>
      <w:r>
        <w:t> ;</w:t>
      </w:r>
    </w:p>
    <w:p w:rsidR="002437B4" w:rsidRDefault="00312B43" w:rsidP="00CC2F39">
      <w:pPr>
        <w:pStyle w:val="ParagrapheStandard"/>
        <w:spacing w:before="240" w:after="240" w:line="240" w:lineRule="auto"/>
        <w:ind w:firstLine="851"/>
      </w:pPr>
      <w:r>
        <w:t>Attendu que dans sa réponse à la Cour</w:t>
      </w:r>
      <w:r w:rsidR="00883AD1">
        <w:t>,</w:t>
      </w:r>
      <w:r>
        <w:t xml:space="preserve"> l</w:t>
      </w:r>
      <w:r w:rsidRPr="00FB1A9F">
        <w:t>e comptable</w:t>
      </w:r>
      <w:r>
        <w:t xml:space="preserve"> fait état que la créance de </w:t>
      </w:r>
      <w:r w:rsidR="00654B28">
        <w:t xml:space="preserve">taxe sur la valeur ajoutée </w:t>
      </w:r>
      <w:r>
        <w:t>d’un montant de 158 802,00</w:t>
      </w:r>
      <w:r w:rsidR="001B5935">
        <w:t> </w:t>
      </w:r>
      <w:r>
        <w:t>euros a fait l’objet d’une transaction fiscale le</w:t>
      </w:r>
      <w:r w:rsidR="001B5935">
        <w:t> </w:t>
      </w:r>
      <w:r>
        <w:t>5</w:t>
      </w:r>
      <w:r w:rsidR="00654B28">
        <w:t> </w:t>
      </w:r>
      <w:r>
        <w:t>décembre</w:t>
      </w:r>
      <w:r w:rsidR="001B5935">
        <w:t> </w:t>
      </w:r>
      <w:r>
        <w:t>2006 ramenant les pénalités de 72 969,00</w:t>
      </w:r>
      <w:r w:rsidR="001B5935">
        <w:t> </w:t>
      </w:r>
      <w:r>
        <w:t>euros à</w:t>
      </w:r>
      <w:r w:rsidR="00F120C1">
        <w:t xml:space="preserve"> </w:t>
      </w:r>
      <w:r>
        <w:t>30 000,00</w:t>
      </w:r>
      <w:r w:rsidR="001B5935">
        <w:t> </w:t>
      </w:r>
      <w:r>
        <w:t xml:space="preserve">euros ; qu’il </w:t>
      </w:r>
      <w:r w:rsidR="002437B4">
        <w:t xml:space="preserve">indique </w:t>
      </w:r>
      <w:r>
        <w:t xml:space="preserve">que cette créance devait être apurée, en premier lieu, par l’imputation d’un excédent de </w:t>
      </w:r>
      <w:r w:rsidR="00654B28">
        <w:t>taxe sur la valeur ajoutée</w:t>
      </w:r>
      <w:r>
        <w:t xml:space="preserve"> </w:t>
      </w:r>
      <w:r w:rsidR="002F1184">
        <w:t>de 42 336,00</w:t>
      </w:r>
      <w:r w:rsidR="001B5935">
        <w:t> </w:t>
      </w:r>
      <w:r w:rsidR="002F1184">
        <w:t xml:space="preserve">euros </w:t>
      </w:r>
      <w:r>
        <w:t>déclarée sur la période de janvier à juillet</w:t>
      </w:r>
      <w:r w:rsidR="001B5935">
        <w:t> </w:t>
      </w:r>
      <w:r>
        <w:t>2005</w:t>
      </w:r>
      <w:r w:rsidR="00883AD1">
        <w:t xml:space="preserve"> </w:t>
      </w:r>
      <w:r>
        <w:t xml:space="preserve">et, en second lieu, par l’imputation des régularisations de </w:t>
      </w:r>
      <w:r w:rsidR="00654B28">
        <w:t>taxe sur la valeur ajoutée</w:t>
      </w:r>
      <w:r w:rsidR="00A01A7D">
        <w:t xml:space="preserve"> </w:t>
      </w:r>
      <w:r>
        <w:t xml:space="preserve">effectuées d’août 2005 à mars 2007 pour pallier l’insuffisance de </w:t>
      </w:r>
      <w:r w:rsidR="00654B28">
        <w:t xml:space="preserve">taxe sur la valeur ajoutée </w:t>
      </w:r>
      <w:r>
        <w:t xml:space="preserve">déclarée sur l’exercice 2004 ; </w:t>
      </w:r>
      <w:r w:rsidR="00C551A8">
        <w:t>q</w:t>
      </w:r>
      <w:r>
        <w:t xml:space="preserve">u’il ne lui paraissait pas utile d’engager les poursuites à l’encontre d’une société qui n’avait plus d’activité réelle depuis mars 2007 ; </w:t>
      </w:r>
    </w:p>
    <w:p w:rsidR="00312B43" w:rsidRDefault="002437B4" w:rsidP="00CC2F39">
      <w:pPr>
        <w:pStyle w:val="ParagrapheStandard"/>
        <w:spacing w:before="240" w:after="240" w:line="240" w:lineRule="auto"/>
        <w:ind w:firstLine="851"/>
      </w:pPr>
      <w:r>
        <w:t xml:space="preserve">Attendu </w:t>
      </w:r>
      <w:r w:rsidR="00312B43">
        <w:t>que</w:t>
      </w:r>
      <w:r w:rsidR="00F120C1">
        <w:t xml:space="preserve"> </w:t>
      </w:r>
      <w:r w:rsidR="00312B43">
        <w:t>ce n’est qu’à l’approche de la prescription de la créance qu’il</w:t>
      </w:r>
      <w:r w:rsidR="00F120C1">
        <w:t xml:space="preserve"> </w:t>
      </w:r>
      <w:r w:rsidR="00312B43">
        <w:t>a</w:t>
      </w:r>
      <w:r w:rsidR="00F120C1">
        <w:t xml:space="preserve"> </w:t>
      </w:r>
      <w:r w:rsidR="00312B43">
        <w:t>exercé le droit de communication, le 20 octobre 2010, en présence du gérant et de l’</w:t>
      </w:r>
      <w:proofErr w:type="spellStart"/>
      <w:r w:rsidR="00312B43">
        <w:t>expert comptable</w:t>
      </w:r>
      <w:proofErr w:type="spellEnd"/>
      <w:r w:rsidR="00312B43">
        <w:t xml:space="preserve"> de la société ; qu’à la suite de cet entretien, le gérant a fait un versement le 22 novembre 2010 de 30</w:t>
      </w:r>
      <w:r w:rsidR="001B5935">
        <w:t> </w:t>
      </w:r>
      <w:r w:rsidR="00312B43">
        <w:t>000</w:t>
      </w:r>
      <w:r w:rsidR="001B5935">
        <w:t> </w:t>
      </w:r>
      <w:r w:rsidR="00312B43">
        <w:t xml:space="preserve">euros affecté sur les droits </w:t>
      </w:r>
      <w:r w:rsidR="004E7BF9">
        <w:t>ce</w:t>
      </w:r>
      <w:r w:rsidR="00312B43">
        <w:t xml:space="preserve"> qui a permis de ramener la créance de</w:t>
      </w:r>
      <w:r w:rsidR="00F120C1">
        <w:t xml:space="preserve"> </w:t>
      </w:r>
      <w:r w:rsidR="00312B43">
        <w:t>158 802,00</w:t>
      </w:r>
      <w:r w:rsidR="001B5935">
        <w:t> </w:t>
      </w:r>
      <w:r w:rsidR="00312B43">
        <w:t xml:space="preserve">euros à 128 802,00 euros ; </w:t>
      </w:r>
      <w:r>
        <w:t xml:space="preserve">attendu </w:t>
      </w:r>
      <w:r w:rsidR="00312B43">
        <w:t>qu’un procès-verbal de saisie-vente établi le</w:t>
      </w:r>
      <w:r w:rsidR="001B5935">
        <w:t> </w:t>
      </w:r>
      <w:r w:rsidR="00312B43">
        <w:t>15</w:t>
      </w:r>
      <w:r w:rsidR="001B5935">
        <w:t> </w:t>
      </w:r>
      <w:r w:rsidR="00312B43">
        <w:t>décembre</w:t>
      </w:r>
      <w:r w:rsidR="001B5935">
        <w:t> </w:t>
      </w:r>
      <w:r w:rsidR="00312B43">
        <w:t xml:space="preserve">2010 </w:t>
      </w:r>
      <w:r w:rsidR="004E7BF9">
        <w:t xml:space="preserve">a interrompu la prescription </w:t>
      </w:r>
      <w:r w:rsidR="00312B43">
        <w:t>; qu’enfin</w:t>
      </w:r>
      <w:r w:rsidR="00654B28">
        <w:t>,</w:t>
      </w:r>
      <w:r w:rsidR="00312B43">
        <w:t xml:space="preserve"> le gérant de la société a contesté les rappels de </w:t>
      </w:r>
      <w:r w:rsidR="00654B28">
        <w:t xml:space="preserve">taxe sur la valeur ajoutée </w:t>
      </w:r>
      <w:r w:rsidR="00312B43">
        <w:t>par réclamation présentée le 22</w:t>
      </w:r>
      <w:r w:rsidR="00E671B9">
        <w:t> </w:t>
      </w:r>
      <w:r w:rsidR="00312B43">
        <w:t>décembre</w:t>
      </w:r>
      <w:r w:rsidR="001B5935">
        <w:t> </w:t>
      </w:r>
      <w:r w:rsidR="00312B43">
        <w:t>2010</w:t>
      </w:r>
      <w:r w:rsidR="00654B28">
        <w:t>,</w:t>
      </w:r>
      <w:r w:rsidR="00312B43">
        <w:t xml:space="preserve"> rejetée le</w:t>
      </w:r>
      <w:r w:rsidR="001B5935">
        <w:t> </w:t>
      </w:r>
      <w:r w:rsidR="00312B43">
        <w:t>21 octobre</w:t>
      </w:r>
      <w:r w:rsidR="001B5935">
        <w:t> </w:t>
      </w:r>
      <w:r w:rsidR="00312B43">
        <w:t>2011 en la forme</w:t>
      </w:r>
      <w:r w:rsidR="00A06EAE">
        <w:t>,</w:t>
      </w:r>
      <w:r w:rsidR="00312B43">
        <w:t xml:space="preserve"> </w:t>
      </w:r>
      <w:r w:rsidR="00654B28">
        <w:t xml:space="preserve">pour </w:t>
      </w:r>
      <w:r w:rsidR="00312B43">
        <w:t>dépôt hors délai en application des articles</w:t>
      </w:r>
      <w:r w:rsidR="001B5935">
        <w:t> </w:t>
      </w:r>
      <w:r w:rsidR="00312B43">
        <w:t>R.</w:t>
      </w:r>
      <w:r w:rsidR="001B5935">
        <w:t> </w:t>
      </w:r>
      <w:r w:rsidR="00312B43">
        <w:t>196-1 et</w:t>
      </w:r>
      <w:r w:rsidR="001B5935">
        <w:t> </w:t>
      </w:r>
      <w:r w:rsidR="00312B43">
        <w:t>R.</w:t>
      </w:r>
      <w:r w:rsidR="001B5935">
        <w:t> </w:t>
      </w:r>
      <w:r w:rsidR="00312B43">
        <w:t xml:space="preserve">196-2 du </w:t>
      </w:r>
      <w:r w:rsidR="00F120C1">
        <w:t>livr</w:t>
      </w:r>
      <w:r w:rsidR="00312B43">
        <w:t>e des procédures fiscales</w:t>
      </w:r>
      <w:r w:rsidR="00A06EAE">
        <w:t>,</w:t>
      </w:r>
      <w:r w:rsidR="00312B43">
        <w:t xml:space="preserve"> et au fond</w:t>
      </w:r>
      <w:r w:rsidR="00A06EAE">
        <w:t>,</w:t>
      </w:r>
      <w:r w:rsidR="00312B43">
        <w:t xml:space="preserve"> pour l’absence d’éléments justificatifs ; </w:t>
      </w:r>
    </w:p>
    <w:p w:rsidR="00312B43" w:rsidRPr="00FA11A2" w:rsidRDefault="005C2E93" w:rsidP="00522DBE">
      <w:pPr>
        <w:pStyle w:val="ParagrapheStandard"/>
        <w:spacing w:before="240" w:after="280" w:line="240" w:lineRule="auto"/>
        <w:ind w:firstLine="851"/>
        <w:rPr>
          <w:u w:val="single"/>
        </w:rPr>
      </w:pPr>
      <w:r w:rsidRPr="00FA11A2">
        <w:lastRenderedPageBreak/>
        <w:t xml:space="preserve">Attendu que la responsabilité du comptable en matières de recettes s’apprécie en fonction de l’étendue de ses diligences, qui doivent être rapides, complètes et adéquates ; que </w:t>
      </w:r>
      <w:r w:rsidR="007F722A" w:rsidRPr="00FA11A2">
        <w:t xml:space="preserve">le </w:t>
      </w:r>
      <w:r w:rsidR="00312B43" w:rsidRPr="00FA11A2">
        <w:t>comptable</w:t>
      </w:r>
      <w:r w:rsidR="00F120C1">
        <w:t xml:space="preserve"> </w:t>
      </w:r>
      <w:r w:rsidR="00312B43" w:rsidRPr="00FA11A2">
        <w:t>n’a entrepris des diligences qu’après réception du questionnaire de la Cour, le</w:t>
      </w:r>
      <w:r w:rsidR="00F120C1">
        <w:t xml:space="preserve"> </w:t>
      </w:r>
      <w:r w:rsidR="00312B43" w:rsidRPr="00FA11A2">
        <w:t>22 octobre</w:t>
      </w:r>
      <w:r w:rsidR="00D31BA6">
        <w:t> </w:t>
      </w:r>
      <w:r w:rsidR="00312B43" w:rsidRPr="00FA11A2">
        <w:t>2010, soit plus de trois ans après la prise en charge de la créance</w:t>
      </w:r>
      <w:r w:rsidR="00E426EE" w:rsidRPr="00FA11A2">
        <w:t>, notifiée par avis de mise en recouvrement le 29 décembre 2006</w:t>
      </w:r>
      <w:r w:rsidR="00BF3E8B" w:rsidRPr="00FA11A2">
        <w:t> ;</w:t>
      </w:r>
      <w:r w:rsidR="00312B43" w:rsidRPr="00FA11A2">
        <w:t xml:space="preserve">  </w:t>
      </w:r>
    </w:p>
    <w:p w:rsidR="00312B43" w:rsidRPr="00FA11A2" w:rsidRDefault="00FA11A2" w:rsidP="00522DBE">
      <w:pPr>
        <w:pStyle w:val="helene"/>
        <w:spacing w:before="240" w:after="280" w:line="240" w:lineRule="auto"/>
        <w:ind w:left="567" w:firstLine="851"/>
        <w:rPr>
          <w:b/>
        </w:rPr>
      </w:pPr>
      <w:r w:rsidRPr="00FA11A2">
        <w:t xml:space="preserve">Attendu </w:t>
      </w:r>
      <w:r w:rsidR="00E426EE" w:rsidRPr="00FA11A2">
        <w:t>qu</w:t>
      </w:r>
      <w:r w:rsidR="00654AE2" w:rsidRPr="00FA11A2">
        <w:t xml:space="preserve">e l’absence de prescription de la créance est sans effet sur la responsabilité du comptable ; qu’en effet, celle-ci est engagée, comme le prévoit </w:t>
      </w:r>
      <w:r w:rsidR="00312B43" w:rsidRPr="00FA11A2">
        <w:t>l’article</w:t>
      </w:r>
      <w:r w:rsidR="00F120C1">
        <w:t xml:space="preserve"> </w:t>
      </w:r>
      <w:r w:rsidR="00312B43" w:rsidRPr="00FA11A2">
        <w:t>1</w:t>
      </w:r>
      <w:r w:rsidR="00312B43" w:rsidRPr="00FA11A2">
        <w:rPr>
          <w:vertAlign w:val="superscript"/>
        </w:rPr>
        <w:t>er</w:t>
      </w:r>
      <w:r w:rsidR="00312B43" w:rsidRPr="00FA11A2">
        <w:t xml:space="preserve"> du décret n°</w:t>
      </w:r>
      <w:r w:rsidR="00D31BA6">
        <w:t> </w:t>
      </w:r>
      <w:r w:rsidR="00312B43" w:rsidRPr="00FA11A2">
        <w:t xml:space="preserve">77-1017 </w:t>
      </w:r>
      <w:r w:rsidR="00654AE2" w:rsidRPr="00FA11A2">
        <w:t>précité, dès lors que le comptable n’a pu, faute de diligences, « </w:t>
      </w:r>
      <w:r w:rsidR="00312B43" w:rsidRPr="00FA11A2">
        <w:t>justifi</w:t>
      </w:r>
      <w:r w:rsidR="00654AE2" w:rsidRPr="00FA11A2">
        <w:t>er</w:t>
      </w:r>
      <w:r w:rsidR="00312B43" w:rsidRPr="00FA11A2">
        <w:t xml:space="preserve"> de l’entière réalisation </w:t>
      </w:r>
      <w:r w:rsidR="00654AE2" w:rsidRPr="00FA11A2">
        <w:t xml:space="preserve">des droits </w:t>
      </w:r>
      <w:r w:rsidR="00312B43" w:rsidRPr="00FA11A2">
        <w:t xml:space="preserve">au 31 décembre de la troisième année suivant celle au cours de laquelle il </w:t>
      </w:r>
      <w:r w:rsidR="00654AE2" w:rsidRPr="00FA11A2">
        <w:t>a</w:t>
      </w:r>
      <w:r w:rsidR="00312B43" w:rsidRPr="00FA11A2">
        <w:t xml:space="preserve"> eu connaissance de leur exigibilité</w:t>
      </w:r>
      <w:r w:rsidR="00654AE2" w:rsidRPr="00FA11A2">
        <w:t> »</w:t>
      </w:r>
      <w:r w:rsidR="00E426EE" w:rsidRPr="00FA11A2">
        <w:t> ;</w:t>
      </w:r>
      <w:r w:rsidR="00312B43" w:rsidRPr="00FA11A2">
        <w:t xml:space="preserve"> </w:t>
      </w:r>
    </w:p>
    <w:p w:rsidR="00302A8B" w:rsidRDefault="00E426EE" w:rsidP="00522DBE">
      <w:pPr>
        <w:pStyle w:val="ordinaire"/>
        <w:spacing w:before="240" w:after="280"/>
        <w:ind w:left="567" w:firstLine="851"/>
      </w:pPr>
      <w:r>
        <w:t>Attendu qu</w:t>
      </w:r>
      <w:r w:rsidR="00FA11A2">
        <w:t xml:space="preserve">e faute de diligences et de réalisation des droits à la date prévue par les textes, </w:t>
      </w:r>
      <w:r w:rsidR="00312B43">
        <w:t>M.</w:t>
      </w:r>
      <w:r w:rsidR="00D31BA6">
        <w:t> </w:t>
      </w:r>
      <w:r w:rsidR="000508FD">
        <w:t>X</w:t>
      </w:r>
      <w:r w:rsidR="00312B43">
        <w:t xml:space="preserve">, comptable en </w:t>
      </w:r>
      <w:r w:rsidR="00B81987">
        <w:t xml:space="preserve">fonctions </w:t>
      </w:r>
      <w:r w:rsidR="00312B43">
        <w:t>du 2 septembre</w:t>
      </w:r>
      <w:r w:rsidR="00D31BA6">
        <w:t> </w:t>
      </w:r>
      <w:r w:rsidR="00312B43">
        <w:t>1996</w:t>
      </w:r>
      <w:r w:rsidR="00B81987">
        <w:t xml:space="preserve"> </w:t>
      </w:r>
      <w:r w:rsidR="00312B43">
        <w:t>ne s’est pas acquitté de ses obligations</w:t>
      </w:r>
      <w:r>
        <w:t> ;</w:t>
      </w:r>
      <w:r w:rsidR="00312B43">
        <w:t xml:space="preserve"> </w:t>
      </w:r>
    </w:p>
    <w:p w:rsidR="00312B43" w:rsidRPr="006E0B59" w:rsidRDefault="00302A8B" w:rsidP="00522DBE">
      <w:pPr>
        <w:pStyle w:val="ordinaire"/>
        <w:spacing w:before="240" w:after="280"/>
        <w:ind w:left="567" w:firstLine="851"/>
      </w:pPr>
      <w:r>
        <w:t>Attendu qu’a</w:t>
      </w:r>
      <w:r w:rsidR="00312B43">
        <w:t>ux termes de l'article 60 modifié de la loi n°</w:t>
      </w:r>
      <w:r w:rsidR="00D31BA6">
        <w:t> </w:t>
      </w:r>
      <w:r w:rsidR="00312B43">
        <w:t>63-156 du 23 février</w:t>
      </w:r>
      <w:r w:rsidR="00D31BA6">
        <w:t> </w:t>
      </w:r>
      <w:r w:rsidR="00312B43">
        <w:t xml:space="preserve">1963 : </w:t>
      </w:r>
      <w:r w:rsidR="00312B43" w:rsidRPr="00E74423">
        <w:rPr>
          <w:i/>
        </w:rPr>
        <w:t>« les comptables publics sont personnellement et pécuniairement responsables du recouvrement des recettes</w:t>
      </w:r>
      <w:proofErr w:type="gramStart"/>
      <w:r w:rsidR="00312B43" w:rsidRPr="00E74423">
        <w:rPr>
          <w:i/>
        </w:rPr>
        <w:t>…(</w:t>
      </w:r>
      <w:proofErr w:type="gramEnd"/>
      <w:r w:rsidR="00312B43" w:rsidRPr="00E74423">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w:t>
      </w:r>
      <w:r w:rsidR="00F1540E">
        <w:rPr>
          <w:i/>
        </w:rPr>
        <w:t> </w:t>
      </w:r>
      <w:r w:rsidR="00312B43" w:rsidRPr="00E74423">
        <w:rPr>
          <w:i/>
        </w:rPr>
        <w:t>comptable public dont la responsabilité pécuniaire est mise en jeu a l’obligation de verser immédiatement de ses deniers personnels une somme égale au montant de la perte de recette subie</w:t>
      </w:r>
      <w:proofErr w:type="gramStart"/>
      <w:r w:rsidR="00312B43" w:rsidRPr="00E74423">
        <w:rPr>
          <w:i/>
        </w:rPr>
        <w:t>…(</w:t>
      </w:r>
      <w:proofErr w:type="gramEnd"/>
      <w:r w:rsidR="00312B43" w:rsidRPr="00E74423">
        <w:rPr>
          <w:i/>
        </w:rPr>
        <w:t xml:space="preserve">paragraphe </w:t>
      </w:r>
      <w:proofErr w:type="spellStart"/>
      <w:r w:rsidR="00312B43" w:rsidRPr="00E74423">
        <w:rPr>
          <w:i/>
        </w:rPr>
        <w:t>VI-al</w:t>
      </w:r>
      <w:proofErr w:type="spellEnd"/>
      <w:r w:rsidR="00312B43" w:rsidRPr="00E74423">
        <w:rPr>
          <w:i/>
        </w:rPr>
        <w:t>. 1) »</w:t>
      </w:r>
      <w:r w:rsidR="00C551A8">
        <w:t> ;</w:t>
      </w:r>
      <w:r w:rsidR="00312B43" w:rsidRPr="006E0B59">
        <w:t xml:space="preserve"> </w:t>
      </w:r>
    </w:p>
    <w:p w:rsidR="002437B4" w:rsidRDefault="002437B4" w:rsidP="00522DBE">
      <w:pPr>
        <w:pStyle w:val="ordinaire"/>
        <w:spacing w:before="240" w:after="280"/>
        <w:ind w:left="567" w:firstLine="851"/>
      </w:pPr>
      <w:r>
        <w:t>Attendu dès lors que M.</w:t>
      </w:r>
      <w:r w:rsidR="00D31BA6">
        <w:t> </w:t>
      </w:r>
      <w:r w:rsidR="000508FD">
        <w:t>X</w:t>
      </w:r>
      <w:r>
        <w:t xml:space="preserve"> doit être constitué débiteur envers l’Etat de</w:t>
      </w:r>
      <w:r w:rsidR="00F120C1">
        <w:t xml:space="preserve"> </w:t>
      </w:r>
      <w:r>
        <w:t>la somme de</w:t>
      </w:r>
      <w:r w:rsidR="00F120C1">
        <w:t xml:space="preserve"> </w:t>
      </w:r>
      <w:r>
        <w:t>1</w:t>
      </w:r>
      <w:r w:rsidR="00116F4C">
        <w:t>58</w:t>
      </w:r>
      <w:r w:rsidR="00D31BA6">
        <w:t> </w:t>
      </w:r>
      <w:r>
        <w:t>802</w:t>
      </w:r>
      <w:r w:rsidR="00D31BA6">
        <w:t> </w:t>
      </w:r>
      <w:r>
        <w:t>euros</w:t>
      </w:r>
      <w:r w:rsidR="00F120C1">
        <w:t xml:space="preserve"> </w:t>
      </w:r>
      <w:r w:rsidR="00116F4C">
        <w:t>minorée de 30</w:t>
      </w:r>
      <w:r w:rsidR="00D31BA6">
        <w:t> </w:t>
      </w:r>
      <w:r w:rsidR="00116F4C">
        <w:t>000</w:t>
      </w:r>
      <w:r w:rsidR="00D31BA6">
        <w:t> </w:t>
      </w:r>
      <w:r w:rsidR="00116F4C">
        <w:t>euros reçus le 22</w:t>
      </w:r>
      <w:r w:rsidR="00D31BA6">
        <w:t> </w:t>
      </w:r>
      <w:r w:rsidR="00116F4C">
        <w:t>novembre</w:t>
      </w:r>
      <w:r w:rsidR="00D31BA6">
        <w:t> </w:t>
      </w:r>
      <w:r w:rsidR="00116F4C">
        <w:t>2010, soit</w:t>
      </w:r>
      <w:r w:rsidR="00F120C1">
        <w:t xml:space="preserve"> </w:t>
      </w:r>
      <w:r w:rsidR="00116F4C">
        <w:t>128</w:t>
      </w:r>
      <w:r w:rsidR="00D31BA6">
        <w:t> </w:t>
      </w:r>
      <w:r w:rsidR="00116F4C">
        <w:t>802</w:t>
      </w:r>
      <w:r w:rsidR="00D31BA6">
        <w:t> </w:t>
      </w:r>
      <w:r w:rsidR="00116F4C">
        <w:t>euros</w:t>
      </w:r>
      <w:r w:rsidR="00D31BA6">
        <w:t xml:space="preserve"> </w:t>
      </w:r>
      <w:r w:rsidR="00116F4C">
        <w:t>;</w:t>
      </w:r>
    </w:p>
    <w:p w:rsidR="00312B43" w:rsidRPr="001B4BFF" w:rsidRDefault="00C551A8" w:rsidP="00522DBE">
      <w:pPr>
        <w:pStyle w:val="ordinaire"/>
        <w:spacing w:before="240" w:after="280"/>
        <w:ind w:left="567" w:firstLine="851"/>
        <w:rPr>
          <w:i/>
        </w:rPr>
      </w:pPr>
      <w:r>
        <w:t xml:space="preserve">Attendu </w:t>
      </w:r>
      <w:r w:rsidR="001B4BFF">
        <w:t>qu’a</w:t>
      </w:r>
      <w:r w:rsidR="00312B43">
        <w:t xml:space="preserve">ux termes du paragraphe VIII de l’article 60 modifié </w:t>
      </w:r>
      <w:r w:rsidR="001B4BFF">
        <w:t xml:space="preserve">susvisé, </w:t>
      </w:r>
      <w:r w:rsidR="00312B43">
        <w:t xml:space="preserve">les intérêts courent : </w:t>
      </w:r>
      <w:r w:rsidR="00312B43" w:rsidRPr="001B4BFF">
        <w:rPr>
          <w:i/>
        </w:rPr>
        <w:t>« au taux légal à compter du premier acte de mise en jeu de la responsabilité personnelle et pécuniaire des comptables publics »</w:t>
      </w:r>
      <w:r w:rsidR="00AA1CA3">
        <w:rPr>
          <w:i/>
        </w:rPr>
        <w:t> ;</w:t>
      </w:r>
      <w:r w:rsidR="00312B43" w:rsidRPr="001B4BFF">
        <w:rPr>
          <w:i/>
        </w:rPr>
        <w:t xml:space="preserve"> </w:t>
      </w:r>
    </w:p>
    <w:p w:rsidR="00312B43" w:rsidRDefault="00C551A8" w:rsidP="00522DBE">
      <w:pPr>
        <w:pStyle w:val="ordinaire"/>
        <w:spacing w:before="240" w:after="280"/>
        <w:ind w:left="567" w:firstLine="851"/>
      </w:pPr>
      <w:r>
        <w:t xml:space="preserve">Attendu </w:t>
      </w:r>
      <w:r w:rsidR="00312B43">
        <w:t>que le premier acte de mise en jeu de la responsabilité est la réception par le comptable de la notification du réquisitoire du ministère public</w:t>
      </w:r>
      <w:r w:rsidR="001F1AD1">
        <w:t xml:space="preserve"> ; que </w:t>
      </w:r>
      <w:r w:rsidR="00116F4C">
        <w:t xml:space="preserve">cette notification a été transmise par la directrice départementale des finances publiques au </w:t>
      </w:r>
      <w:r w:rsidR="00312B43">
        <w:t>comptable</w:t>
      </w:r>
      <w:r w:rsidR="00116F4C">
        <w:t xml:space="preserve">, qui en </w:t>
      </w:r>
      <w:r w:rsidR="00312B43">
        <w:t>a</w:t>
      </w:r>
      <w:r w:rsidR="00F120C1">
        <w:t xml:space="preserve"> </w:t>
      </w:r>
      <w:r w:rsidR="00312B43">
        <w:t>accusé réception le 7</w:t>
      </w:r>
      <w:r w:rsidR="00D31BA6">
        <w:t> </w:t>
      </w:r>
      <w:r w:rsidR="00312B43">
        <w:t>janvier</w:t>
      </w:r>
      <w:r w:rsidR="00D31BA6">
        <w:t> </w:t>
      </w:r>
      <w:r w:rsidR="00312B43">
        <w:t>2012</w:t>
      </w:r>
      <w:r w:rsidR="001F1AD1">
        <w:t> ; que l</w:t>
      </w:r>
      <w:r w:rsidR="00312B43">
        <w:t>es intérêts d</w:t>
      </w:r>
      <w:r>
        <w:t>oivent</w:t>
      </w:r>
      <w:r w:rsidR="00312B43">
        <w:t xml:space="preserve"> donc être calculés à compter de cette date</w:t>
      </w:r>
      <w:r w:rsidR="001F1AD1">
        <w:t> ;</w:t>
      </w:r>
      <w:r w:rsidR="00312B43">
        <w:t xml:space="preserve"> </w:t>
      </w:r>
    </w:p>
    <w:p w:rsidR="00551829" w:rsidRDefault="00551829" w:rsidP="00522DBE">
      <w:pPr>
        <w:pStyle w:val="helene"/>
        <w:spacing w:before="240" w:after="280" w:line="240" w:lineRule="auto"/>
        <w:ind w:left="567" w:firstLine="851"/>
      </w:pPr>
      <w:r>
        <w:t>Par ce motif,</w:t>
      </w:r>
    </w:p>
    <w:p w:rsidR="00551829" w:rsidRDefault="00551829" w:rsidP="00522DBE">
      <w:pPr>
        <w:pStyle w:val="Corpsdetexte"/>
        <w:spacing w:before="240" w:after="280"/>
        <w:ind w:left="567" w:firstLine="851"/>
      </w:pPr>
      <w:r>
        <w:t>M.</w:t>
      </w:r>
      <w:r w:rsidR="00D31BA6">
        <w:t> </w:t>
      </w:r>
      <w:r w:rsidR="000508FD">
        <w:t>X</w:t>
      </w:r>
      <w:r w:rsidR="004C6DF4">
        <w:t xml:space="preserve"> </w:t>
      </w:r>
      <w:r w:rsidR="00D60674">
        <w:t xml:space="preserve">est constitué débiteur </w:t>
      </w:r>
      <w:r w:rsidR="00C86ACA">
        <w:t xml:space="preserve">envers l’Etat </w:t>
      </w:r>
      <w:r>
        <w:t>au titre de</w:t>
      </w:r>
      <w:r w:rsidR="00F120C1">
        <w:t xml:space="preserve"> </w:t>
      </w:r>
      <w:r>
        <w:t>l’</w:t>
      </w:r>
      <w:r w:rsidR="00C86ACA">
        <w:t>année</w:t>
      </w:r>
      <w:r w:rsidR="00F1540E">
        <w:t> </w:t>
      </w:r>
      <w:r>
        <w:t>200</w:t>
      </w:r>
      <w:r w:rsidR="00844FBB">
        <w:t>9</w:t>
      </w:r>
      <w:r w:rsidR="00C86ACA">
        <w:t xml:space="preserve">, de la somme de </w:t>
      </w:r>
      <w:r w:rsidR="00365ACC">
        <w:t xml:space="preserve">cent </w:t>
      </w:r>
      <w:proofErr w:type="spellStart"/>
      <w:r w:rsidR="00844FBB">
        <w:t>vingt huit</w:t>
      </w:r>
      <w:proofErr w:type="spellEnd"/>
      <w:r w:rsidR="00844FBB">
        <w:t xml:space="preserve"> mille huit </w:t>
      </w:r>
      <w:r w:rsidR="004C6DF4">
        <w:t xml:space="preserve">cent </w:t>
      </w:r>
      <w:r w:rsidR="00844FBB">
        <w:t>deux</w:t>
      </w:r>
      <w:r w:rsidR="00365ACC">
        <w:t xml:space="preserve"> </w:t>
      </w:r>
      <w:r w:rsidR="004C6DF4">
        <w:t>e</w:t>
      </w:r>
      <w:r w:rsidR="00C86ACA">
        <w:t>ur</w:t>
      </w:r>
      <w:r w:rsidR="004C6DF4">
        <w:t>os</w:t>
      </w:r>
      <w:r w:rsidR="00C86ACA">
        <w:t xml:space="preserve"> (</w:t>
      </w:r>
      <w:r w:rsidR="004C6DF4">
        <w:t>1</w:t>
      </w:r>
      <w:r w:rsidR="00844FBB">
        <w:t>28</w:t>
      </w:r>
      <w:r w:rsidR="00F1540E">
        <w:t> </w:t>
      </w:r>
      <w:r w:rsidR="00844FBB">
        <w:t>802</w:t>
      </w:r>
      <w:r w:rsidR="00C86ACA">
        <w:t>,</w:t>
      </w:r>
      <w:r w:rsidR="004C6DF4">
        <w:t>00</w:t>
      </w:r>
      <w:r w:rsidR="00D31BA6">
        <w:t> </w:t>
      </w:r>
      <w:r w:rsidR="00C86ACA">
        <w:t xml:space="preserve">euros), augmentée des intérêts de droit à compter du </w:t>
      </w:r>
      <w:r w:rsidR="00365ACC">
        <w:t>7</w:t>
      </w:r>
      <w:r w:rsidR="00D31BA6">
        <w:t> </w:t>
      </w:r>
      <w:r w:rsidR="00365ACC">
        <w:t>janvier</w:t>
      </w:r>
      <w:r w:rsidR="00D31BA6">
        <w:t> </w:t>
      </w:r>
      <w:r w:rsidR="00365ACC">
        <w:t>2012</w:t>
      </w:r>
      <w:r w:rsidR="00C86ACA">
        <w:t>.</w:t>
      </w:r>
    </w:p>
    <w:p w:rsidR="00AA049F" w:rsidRDefault="00D31BA6" w:rsidP="00B125A3">
      <w:pPr>
        <w:pStyle w:val="Corpsdetexte"/>
        <w:spacing w:before="240" w:after="360"/>
        <w:ind w:left="567" w:firstLine="0"/>
        <w:jc w:val="center"/>
      </w:pPr>
      <w:r>
        <w:t>----</w:t>
      </w:r>
      <w:r w:rsidR="00DE6855">
        <w:t>--</w:t>
      </w:r>
      <w:r>
        <w:t>----</w:t>
      </w:r>
    </w:p>
    <w:p w:rsidR="00551829" w:rsidRDefault="00551829" w:rsidP="00015FBB">
      <w:pPr>
        <w:pStyle w:val="ps"/>
        <w:spacing w:before="240" w:after="480" w:line="240" w:lineRule="auto"/>
        <w:rPr>
          <w:rFonts w:ascii="Times New Roman" w:hAnsi="Times New Roman"/>
        </w:rPr>
      </w:pPr>
      <w:r>
        <w:rPr>
          <w:rFonts w:ascii="Times New Roman" w:hAnsi="Times New Roman"/>
        </w:rPr>
        <w:lastRenderedPageBreak/>
        <w:t>Fait et jugé en la Cour des comptes, première chambre, première section, le</w:t>
      </w:r>
      <w:r w:rsidR="00C847C2">
        <w:rPr>
          <w:rFonts w:ascii="Times New Roman" w:hAnsi="Times New Roman"/>
        </w:rPr>
        <w:t> </w:t>
      </w:r>
      <w:r w:rsidR="00AA049F">
        <w:rPr>
          <w:rFonts w:ascii="Times New Roman" w:hAnsi="Times New Roman"/>
        </w:rPr>
        <w:t>seize</w:t>
      </w:r>
      <w:r w:rsidR="00E74423">
        <w:rPr>
          <w:rFonts w:ascii="Times New Roman" w:hAnsi="Times New Roman"/>
        </w:rPr>
        <w:t xml:space="preserve"> mai </w:t>
      </w:r>
      <w:r w:rsidR="007105A3">
        <w:rPr>
          <w:rFonts w:ascii="Times New Roman" w:hAnsi="Times New Roman"/>
        </w:rPr>
        <w:t>deux mil douze</w:t>
      </w:r>
      <w:r>
        <w:rPr>
          <w:rFonts w:ascii="Times New Roman" w:hAnsi="Times New Roman"/>
        </w:rPr>
        <w:t xml:space="preserve">, présents : Mme Fradin, président de section, </w:t>
      </w:r>
      <w:r w:rsidR="00976E2B">
        <w:rPr>
          <w:rFonts w:ascii="Times New Roman" w:hAnsi="Times New Roman"/>
        </w:rPr>
        <w:t>M</w:t>
      </w:r>
      <w:r>
        <w:rPr>
          <w:rFonts w:ascii="Times New Roman" w:hAnsi="Times New Roman"/>
        </w:rPr>
        <w:t>.</w:t>
      </w:r>
      <w:r w:rsidR="00214122">
        <w:rPr>
          <w:rFonts w:ascii="Times New Roman" w:hAnsi="Times New Roman"/>
        </w:rPr>
        <w:t> </w:t>
      </w:r>
      <w:r w:rsidR="00AA049F">
        <w:rPr>
          <w:rFonts w:ascii="Times New Roman" w:hAnsi="Times New Roman"/>
        </w:rPr>
        <w:t>Brun-Buisson, Mme</w:t>
      </w:r>
      <w:r w:rsidR="00214122">
        <w:rPr>
          <w:rFonts w:ascii="Times New Roman" w:hAnsi="Times New Roman"/>
        </w:rPr>
        <w:t> </w:t>
      </w:r>
      <w:proofErr w:type="spellStart"/>
      <w:r w:rsidR="00AA049F">
        <w:rPr>
          <w:rFonts w:ascii="Times New Roman" w:hAnsi="Times New Roman"/>
        </w:rPr>
        <w:t>Moati</w:t>
      </w:r>
      <w:proofErr w:type="spellEnd"/>
      <w:r w:rsidR="00AA049F">
        <w:rPr>
          <w:rFonts w:ascii="Times New Roman" w:hAnsi="Times New Roman"/>
        </w:rPr>
        <w:t xml:space="preserve">, MM. </w:t>
      </w:r>
      <w:r w:rsidR="007105A3">
        <w:rPr>
          <w:rFonts w:ascii="Times New Roman" w:hAnsi="Times New Roman"/>
        </w:rPr>
        <w:t>Lair</w:t>
      </w:r>
      <w:r w:rsidR="00AA049F">
        <w:rPr>
          <w:rFonts w:ascii="Times New Roman" w:hAnsi="Times New Roman"/>
        </w:rPr>
        <w:t xml:space="preserve"> et Chouvet</w:t>
      </w:r>
      <w:r>
        <w:rPr>
          <w:rFonts w:ascii="Times New Roman" w:hAnsi="Times New Roman"/>
        </w:rPr>
        <w:t>, conseillers maîtres.</w:t>
      </w:r>
    </w:p>
    <w:p w:rsidR="00551829" w:rsidRDefault="00551829" w:rsidP="003E272B">
      <w:pPr>
        <w:pStyle w:val="ps"/>
        <w:spacing w:before="240" w:after="480" w:line="240" w:lineRule="auto"/>
        <w:rPr>
          <w:rFonts w:ascii="Times New Roman" w:hAnsi="Times New Roman"/>
        </w:rPr>
      </w:pPr>
      <w:r>
        <w:rPr>
          <w:rFonts w:ascii="Times New Roman" w:hAnsi="Times New Roman"/>
        </w:rPr>
        <w:t xml:space="preserve">Signé : Fradin, président de section, </w:t>
      </w:r>
      <w:r w:rsidR="00526173">
        <w:rPr>
          <w:rFonts w:ascii="Times New Roman" w:hAnsi="Times New Roman"/>
        </w:rPr>
        <w:t>Le Baron</w:t>
      </w:r>
      <w:r>
        <w:rPr>
          <w:rFonts w:ascii="Times New Roman" w:hAnsi="Times New Roman"/>
        </w:rPr>
        <w:t>, greffi</w:t>
      </w:r>
      <w:r w:rsidR="00976E2B">
        <w:rPr>
          <w:rFonts w:ascii="Times New Roman" w:hAnsi="Times New Roman"/>
        </w:rPr>
        <w:t>er</w:t>
      </w:r>
      <w:r>
        <w:rPr>
          <w:rFonts w:ascii="Times New Roman" w:hAnsi="Times New Roman"/>
        </w:rPr>
        <w:t>.</w:t>
      </w:r>
    </w:p>
    <w:p w:rsidR="00551829" w:rsidRDefault="00551829" w:rsidP="003E272B">
      <w:pPr>
        <w:pStyle w:val="ps"/>
        <w:spacing w:before="240" w:after="480" w:line="240" w:lineRule="auto"/>
        <w:rPr>
          <w:rFonts w:ascii="Times New Roman" w:hAnsi="Times New Roman"/>
        </w:rPr>
      </w:pPr>
      <w:r>
        <w:rPr>
          <w:rFonts w:ascii="Times New Roman" w:hAnsi="Times New Roman"/>
        </w:rPr>
        <w:t>Collationné, certifié conforme à la minute étant au greffe de la Cour des comptes.</w:t>
      </w:r>
    </w:p>
    <w:p w:rsidR="00551829" w:rsidRDefault="00551829" w:rsidP="003E272B">
      <w:pPr>
        <w:spacing w:after="480"/>
        <w:ind w:left="567" w:firstLine="851"/>
      </w:pPr>
      <w:r>
        <w:t xml:space="preserve">En conséquence, la République </w:t>
      </w:r>
      <w:r w:rsidR="00EC1B4C">
        <w:t xml:space="preserve">française </w:t>
      </w:r>
      <w:r>
        <w:t>mande et ordonne à tous huissiers de justice, sur ce requis, de mettre ledit arrêt à exécution, aux procureurs généraux et aux</w:t>
      </w:r>
      <w:r w:rsidR="00EC1B4C">
        <w:t> </w:t>
      </w:r>
      <w:r>
        <w:t xml:space="preserve">procureurs de la République près </w:t>
      </w:r>
      <w:r w:rsidR="00EC1B4C">
        <w:t>l</w:t>
      </w:r>
      <w:r>
        <w:t>es tribunaux de grande instance d’y tenir la main, à</w:t>
      </w:r>
      <w:r w:rsidR="00C34411">
        <w:t> </w:t>
      </w:r>
      <w:r>
        <w:t>tous commandants et officiers de force publique de prêter main-forte lorsqu’ils en seront légalement requis.</w:t>
      </w:r>
    </w:p>
    <w:p w:rsidR="00551829" w:rsidRDefault="00551829" w:rsidP="00C93895">
      <w:pPr>
        <w:pStyle w:val="Corpsdetexte"/>
        <w:spacing w:after="360"/>
        <w:ind w:left="567" w:firstLine="851"/>
      </w:pPr>
      <w:r>
        <w:t>Délivré par moi, secrétaire général.</w:t>
      </w:r>
    </w:p>
    <w:p w:rsidR="005409ED" w:rsidRDefault="005409ED" w:rsidP="00F14438">
      <w:pPr>
        <w:pStyle w:val="Corpsdetexte"/>
        <w:spacing w:before="0" w:after="0"/>
        <w:ind w:firstLine="5670"/>
        <w:jc w:val="center"/>
        <w:rPr>
          <w:b/>
          <w:bCs/>
          <w:szCs w:val="24"/>
        </w:rPr>
      </w:pPr>
      <w:r>
        <w:rPr>
          <w:b/>
          <w:bCs/>
          <w:szCs w:val="24"/>
        </w:rPr>
        <w:t>Pour le Secrétaire général</w:t>
      </w:r>
    </w:p>
    <w:p w:rsidR="005409ED" w:rsidRDefault="005409ED" w:rsidP="00F14438">
      <w:pPr>
        <w:pStyle w:val="Corpsdetexte"/>
        <w:spacing w:before="0" w:after="0"/>
        <w:ind w:firstLine="5670"/>
        <w:jc w:val="center"/>
        <w:rPr>
          <w:b/>
          <w:bCs/>
          <w:szCs w:val="24"/>
        </w:rPr>
      </w:pPr>
      <w:proofErr w:type="gramStart"/>
      <w:r>
        <w:rPr>
          <w:b/>
          <w:bCs/>
          <w:szCs w:val="24"/>
        </w:rPr>
        <w:t>et</w:t>
      </w:r>
      <w:proofErr w:type="gramEnd"/>
      <w:r>
        <w:rPr>
          <w:b/>
          <w:bCs/>
          <w:szCs w:val="24"/>
        </w:rPr>
        <w:t xml:space="preserve"> par délégation,</w:t>
      </w:r>
    </w:p>
    <w:p w:rsidR="005409ED" w:rsidRDefault="00A308F9" w:rsidP="003E272B">
      <w:pPr>
        <w:pStyle w:val="Corpsdetexte"/>
        <w:spacing w:before="0" w:after="1920"/>
        <w:ind w:firstLine="5670"/>
        <w:jc w:val="center"/>
        <w:rPr>
          <w:b/>
          <w:bCs/>
          <w:szCs w:val="24"/>
        </w:rPr>
      </w:pPr>
      <w:proofErr w:type="gramStart"/>
      <w:r>
        <w:rPr>
          <w:b/>
          <w:bCs/>
          <w:szCs w:val="24"/>
        </w:rPr>
        <w:t>l</w:t>
      </w:r>
      <w:r w:rsidR="005409ED">
        <w:rPr>
          <w:b/>
          <w:bCs/>
          <w:szCs w:val="24"/>
        </w:rPr>
        <w:t>e</w:t>
      </w:r>
      <w:proofErr w:type="gramEnd"/>
      <w:r w:rsidR="005409ED">
        <w:rPr>
          <w:b/>
          <w:bCs/>
          <w:szCs w:val="24"/>
        </w:rPr>
        <w:t xml:space="preserve"> Chef du Greffe contentieux</w:t>
      </w:r>
    </w:p>
    <w:p w:rsidR="005409ED" w:rsidRDefault="005409ED" w:rsidP="003E272B">
      <w:pPr>
        <w:pStyle w:val="Corpsdetexte"/>
        <w:spacing w:after="360"/>
        <w:ind w:firstLine="6096"/>
        <w:jc w:val="center"/>
        <w:rPr>
          <w:b/>
          <w:bCs/>
          <w:szCs w:val="24"/>
        </w:rPr>
      </w:pPr>
      <w:r>
        <w:rPr>
          <w:b/>
          <w:bCs/>
          <w:szCs w:val="24"/>
        </w:rPr>
        <w:t>Daniel FEREZ</w:t>
      </w:r>
    </w:p>
    <w:bookmarkEnd w:id="4"/>
    <w:p w:rsidR="000B111D" w:rsidRDefault="000B111D" w:rsidP="00650C0E">
      <w:pPr>
        <w:pStyle w:val="corpsdetexteCar0"/>
        <w:ind w:firstLine="720"/>
      </w:pPr>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E72" w:rsidRDefault="00D60E72">
      <w:pPr>
        <w:spacing w:before="0" w:after="0"/>
      </w:pPr>
      <w:r>
        <w:separator/>
      </w:r>
    </w:p>
  </w:endnote>
  <w:endnote w:type="continuationSeparator" w:id="0">
    <w:p w:rsidR="00D60E72" w:rsidRDefault="00D60E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E72" w:rsidRDefault="00D60E72">
      <w:pPr>
        <w:spacing w:before="0" w:after="0"/>
      </w:pPr>
      <w:r>
        <w:separator/>
      </w:r>
    </w:p>
  </w:footnote>
  <w:footnote w:type="continuationSeparator" w:id="0">
    <w:p w:rsidR="00D60E72" w:rsidRDefault="00D60E7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38" w:rsidRDefault="00F14438"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F14438" w:rsidRDefault="00F14438"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38" w:rsidRDefault="00F14438"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F6AAF">
      <w:rPr>
        <w:rStyle w:val="Numrodepage"/>
        <w:noProof/>
      </w:rPr>
      <w:t>5</w:t>
    </w:r>
    <w:r>
      <w:rPr>
        <w:rStyle w:val="Numrodepage"/>
      </w:rPr>
      <w:fldChar w:fldCharType="end"/>
    </w:r>
  </w:p>
  <w:p w:rsidR="00F14438" w:rsidRDefault="00F14438"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1"/>
    <w:lvlOverride w:ilvl="0">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5FBB"/>
    <w:rsid w:val="000205A5"/>
    <w:rsid w:val="0003391D"/>
    <w:rsid w:val="000417B7"/>
    <w:rsid w:val="000501FD"/>
    <w:rsid w:val="000508FD"/>
    <w:rsid w:val="00053817"/>
    <w:rsid w:val="00056564"/>
    <w:rsid w:val="00062EE5"/>
    <w:rsid w:val="0007126D"/>
    <w:rsid w:val="0007350A"/>
    <w:rsid w:val="0009009E"/>
    <w:rsid w:val="00096B76"/>
    <w:rsid w:val="000A45CA"/>
    <w:rsid w:val="000A54E3"/>
    <w:rsid w:val="000A5765"/>
    <w:rsid w:val="000A6EFC"/>
    <w:rsid w:val="000B03AC"/>
    <w:rsid w:val="000B111D"/>
    <w:rsid w:val="000C17C4"/>
    <w:rsid w:val="000C4EBB"/>
    <w:rsid w:val="000C4F7B"/>
    <w:rsid w:val="000D0829"/>
    <w:rsid w:val="000D707C"/>
    <w:rsid w:val="00113A37"/>
    <w:rsid w:val="00116F4C"/>
    <w:rsid w:val="001275AB"/>
    <w:rsid w:val="00133406"/>
    <w:rsid w:val="001456BE"/>
    <w:rsid w:val="001466E9"/>
    <w:rsid w:val="001547FF"/>
    <w:rsid w:val="00165AC7"/>
    <w:rsid w:val="00172848"/>
    <w:rsid w:val="00176A47"/>
    <w:rsid w:val="00180D49"/>
    <w:rsid w:val="0018367E"/>
    <w:rsid w:val="0018438A"/>
    <w:rsid w:val="001867CF"/>
    <w:rsid w:val="00191C3C"/>
    <w:rsid w:val="001951E2"/>
    <w:rsid w:val="001951E5"/>
    <w:rsid w:val="001A1014"/>
    <w:rsid w:val="001A4AB7"/>
    <w:rsid w:val="001B2EB8"/>
    <w:rsid w:val="001B45AD"/>
    <w:rsid w:val="001B4BFF"/>
    <w:rsid w:val="001B5935"/>
    <w:rsid w:val="001C5AB2"/>
    <w:rsid w:val="001C6471"/>
    <w:rsid w:val="001D1D53"/>
    <w:rsid w:val="001F1AD1"/>
    <w:rsid w:val="001F3148"/>
    <w:rsid w:val="001F4EC3"/>
    <w:rsid w:val="00203FD3"/>
    <w:rsid w:val="00214122"/>
    <w:rsid w:val="00215710"/>
    <w:rsid w:val="00236A04"/>
    <w:rsid w:val="00237168"/>
    <w:rsid w:val="00241151"/>
    <w:rsid w:val="00241F17"/>
    <w:rsid w:val="00243615"/>
    <w:rsid w:val="002437B4"/>
    <w:rsid w:val="00244890"/>
    <w:rsid w:val="00253D7A"/>
    <w:rsid w:val="00256EDF"/>
    <w:rsid w:val="00274E9A"/>
    <w:rsid w:val="00275738"/>
    <w:rsid w:val="00277B7F"/>
    <w:rsid w:val="0028460B"/>
    <w:rsid w:val="00287CC8"/>
    <w:rsid w:val="002D2D5C"/>
    <w:rsid w:val="002D31D5"/>
    <w:rsid w:val="002D32D3"/>
    <w:rsid w:val="002E2F57"/>
    <w:rsid w:val="002F1184"/>
    <w:rsid w:val="00300FA2"/>
    <w:rsid w:val="00302A8B"/>
    <w:rsid w:val="00312B43"/>
    <w:rsid w:val="00320C4B"/>
    <w:rsid w:val="00326BAE"/>
    <w:rsid w:val="0032726F"/>
    <w:rsid w:val="00351A4B"/>
    <w:rsid w:val="00352646"/>
    <w:rsid w:val="0035311D"/>
    <w:rsid w:val="00365ACC"/>
    <w:rsid w:val="00371675"/>
    <w:rsid w:val="00374CF4"/>
    <w:rsid w:val="00382576"/>
    <w:rsid w:val="00393253"/>
    <w:rsid w:val="003A2C60"/>
    <w:rsid w:val="003A4B8F"/>
    <w:rsid w:val="003C16FA"/>
    <w:rsid w:val="003D591F"/>
    <w:rsid w:val="003E272B"/>
    <w:rsid w:val="003E7727"/>
    <w:rsid w:val="003F2EE2"/>
    <w:rsid w:val="003F673B"/>
    <w:rsid w:val="003F7E2B"/>
    <w:rsid w:val="00401C01"/>
    <w:rsid w:val="0040490C"/>
    <w:rsid w:val="00423C01"/>
    <w:rsid w:val="00424E66"/>
    <w:rsid w:val="00432832"/>
    <w:rsid w:val="00433DBC"/>
    <w:rsid w:val="00436201"/>
    <w:rsid w:val="00437D5D"/>
    <w:rsid w:val="00454889"/>
    <w:rsid w:val="00461736"/>
    <w:rsid w:val="00466607"/>
    <w:rsid w:val="00471ED1"/>
    <w:rsid w:val="004919DB"/>
    <w:rsid w:val="004B52DE"/>
    <w:rsid w:val="004C6DF4"/>
    <w:rsid w:val="004D031F"/>
    <w:rsid w:val="004D04DE"/>
    <w:rsid w:val="004D3A9D"/>
    <w:rsid w:val="004D4916"/>
    <w:rsid w:val="004E421B"/>
    <w:rsid w:val="004E5425"/>
    <w:rsid w:val="004E7BF9"/>
    <w:rsid w:val="004F2D9C"/>
    <w:rsid w:val="004F7D03"/>
    <w:rsid w:val="00500880"/>
    <w:rsid w:val="00506595"/>
    <w:rsid w:val="00510D13"/>
    <w:rsid w:val="00512D55"/>
    <w:rsid w:val="00522DBE"/>
    <w:rsid w:val="0052325E"/>
    <w:rsid w:val="00525444"/>
    <w:rsid w:val="00526173"/>
    <w:rsid w:val="005347C5"/>
    <w:rsid w:val="005409ED"/>
    <w:rsid w:val="005411F4"/>
    <w:rsid w:val="0054664A"/>
    <w:rsid w:val="0055130C"/>
    <w:rsid w:val="00551829"/>
    <w:rsid w:val="00555C29"/>
    <w:rsid w:val="00556978"/>
    <w:rsid w:val="00565C83"/>
    <w:rsid w:val="00573998"/>
    <w:rsid w:val="005824D9"/>
    <w:rsid w:val="005952BA"/>
    <w:rsid w:val="005A6782"/>
    <w:rsid w:val="005B2AC0"/>
    <w:rsid w:val="005B54A7"/>
    <w:rsid w:val="005C2E93"/>
    <w:rsid w:val="005C5011"/>
    <w:rsid w:val="005D5563"/>
    <w:rsid w:val="005E3C83"/>
    <w:rsid w:val="005E3D17"/>
    <w:rsid w:val="005E51F2"/>
    <w:rsid w:val="005F401B"/>
    <w:rsid w:val="005F6812"/>
    <w:rsid w:val="006009CB"/>
    <w:rsid w:val="0060213B"/>
    <w:rsid w:val="0060481A"/>
    <w:rsid w:val="00611281"/>
    <w:rsid w:val="0061408E"/>
    <w:rsid w:val="00627C87"/>
    <w:rsid w:val="006319CF"/>
    <w:rsid w:val="00632C91"/>
    <w:rsid w:val="00643810"/>
    <w:rsid w:val="00650C0E"/>
    <w:rsid w:val="0065478C"/>
    <w:rsid w:val="00654AE2"/>
    <w:rsid w:val="00654B28"/>
    <w:rsid w:val="0065596B"/>
    <w:rsid w:val="0066528D"/>
    <w:rsid w:val="00666DF5"/>
    <w:rsid w:val="006708E6"/>
    <w:rsid w:val="00670DA3"/>
    <w:rsid w:val="006733C9"/>
    <w:rsid w:val="00682A53"/>
    <w:rsid w:val="006831DE"/>
    <w:rsid w:val="006948F9"/>
    <w:rsid w:val="00697051"/>
    <w:rsid w:val="006B2357"/>
    <w:rsid w:val="006B4A07"/>
    <w:rsid w:val="006D1103"/>
    <w:rsid w:val="006D4511"/>
    <w:rsid w:val="006D680F"/>
    <w:rsid w:val="006E0721"/>
    <w:rsid w:val="006E7176"/>
    <w:rsid w:val="006F385C"/>
    <w:rsid w:val="007105A3"/>
    <w:rsid w:val="007120A7"/>
    <w:rsid w:val="00712102"/>
    <w:rsid w:val="00712DDA"/>
    <w:rsid w:val="00713643"/>
    <w:rsid w:val="0072106C"/>
    <w:rsid w:val="007304CE"/>
    <w:rsid w:val="00734B69"/>
    <w:rsid w:val="007406BE"/>
    <w:rsid w:val="00744C24"/>
    <w:rsid w:val="00757124"/>
    <w:rsid w:val="00773634"/>
    <w:rsid w:val="00787D5A"/>
    <w:rsid w:val="00792A1B"/>
    <w:rsid w:val="007961AF"/>
    <w:rsid w:val="00797EC4"/>
    <w:rsid w:val="007A24EF"/>
    <w:rsid w:val="007A2FE8"/>
    <w:rsid w:val="007A416C"/>
    <w:rsid w:val="007A47BE"/>
    <w:rsid w:val="007B59CC"/>
    <w:rsid w:val="007D7137"/>
    <w:rsid w:val="007E11A1"/>
    <w:rsid w:val="007F2EF7"/>
    <w:rsid w:val="007F5230"/>
    <w:rsid w:val="007F722A"/>
    <w:rsid w:val="007F7A8D"/>
    <w:rsid w:val="008021D5"/>
    <w:rsid w:val="00811224"/>
    <w:rsid w:val="008157C3"/>
    <w:rsid w:val="008179A5"/>
    <w:rsid w:val="00835EE2"/>
    <w:rsid w:val="00836370"/>
    <w:rsid w:val="00844FBB"/>
    <w:rsid w:val="00844FD2"/>
    <w:rsid w:val="00856A36"/>
    <w:rsid w:val="008739F4"/>
    <w:rsid w:val="0087512D"/>
    <w:rsid w:val="008778BF"/>
    <w:rsid w:val="0088122E"/>
    <w:rsid w:val="00883AD1"/>
    <w:rsid w:val="00890185"/>
    <w:rsid w:val="00893703"/>
    <w:rsid w:val="008A2818"/>
    <w:rsid w:val="008A2E31"/>
    <w:rsid w:val="008C576D"/>
    <w:rsid w:val="008C7068"/>
    <w:rsid w:val="008D111E"/>
    <w:rsid w:val="008D4B18"/>
    <w:rsid w:val="008D77C8"/>
    <w:rsid w:val="008D7DD1"/>
    <w:rsid w:val="008E1ADC"/>
    <w:rsid w:val="008E66F3"/>
    <w:rsid w:val="008E6FD2"/>
    <w:rsid w:val="008F45FB"/>
    <w:rsid w:val="0091055D"/>
    <w:rsid w:val="00917F6B"/>
    <w:rsid w:val="00922DE7"/>
    <w:rsid w:val="009332D6"/>
    <w:rsid w:val="00933888"/>
    <w:rsid w:val="00936E34"/>
    <w:rsid w:val="009425BE"/>
    <w:rsid w:val="0094308D"/>
    <w:rsid w:val="0094665F"/>
    <w:rsid w:val="009467B5"/>
    <w:rsid w:val="00971AAF"/>
    <w:rsid w:val="00976E2B"/>
    <w:rsid w:val="0097765E"/>
    <w:rsid w:val="00980671"/>
    <w:rsid w:val="009A168E"/>
    <w:rsid w:val="009A204B"/>
    <w:rsid w:val="009C4491"/>
    <w:rsid w:val="009C6A2A"/>
    <w:rsid w:val="009D00D7"/>
    <w:rsid w:val="009D3160"/>
    <w:rsid w:val="009D564E"/>
    <w:rsid w:val="009D7482"/>
    <w:rsid w:val="009E5F31"/>
    <w:rsid w:val="009E7DD4"/>
    <w:rsid w:val="009F6499"/>
    <w:rsid w:val="00A01A7D"/>
    <w:rsid w:val="00A053D5"/>
    <w:rsid w:val="00A06EAE"/>
    <w:rsid w:val="00A10495"/>
    <w:rsid w:val="00A154E3"/>
    <w:rsid w:val="00A15E09"/>
    <w:rsid w:val="00A1693D"/>
    <w:rsid w:val="00A1738E"/>
    <w:rsid w:val="00A308F9"/>
    <w:rsid w:val="00A41788"/>
    <w:rsid w:val="00A5648B"/>
    <w:rsid w:val="00A7084C"/>
    <w:rsid w:val="00A83B2D"/>
    <w:rsid w:val="00A8570A"/>
    <w:rsid w:val="00A85DBC"/>
    <w:rsid w:val="00AA049F"/>
    <w:rsid w:val="00AA1CA3"/>
    <w:rsid w:val="00AC5FD7"/>
    <w:rsid w:val="00AD42E5"/>
    <w:rsid w:val="00AF25DD"/>
    <w:rsid w:val="00B125A3"/>
    <w:rsid w:val="00B14F63"/>
    <w:rsid w:val="00B24D69"/>
    <w:rsid w:val="00B369E7"/>
    <w:rsid w:val="00B52D5B"/>
    <w:rsid w:val="00B54A04"/>
    <w:rsid w:val="00B57450"/>
    <w:rsid w:val="00B679D1"/>
    <w:rsid w:val="00B74377"/>
    <w:rsid w:val="00B74E79"/>
    <w:rsid w:val="00B75B8D"/>
    <w:rsid w:val="00B81987"/>
    <w:rsid w:val="00B86DB1"/>
    <w:rsid w:val="00BA3E86"/>
    <w:rsid w:val="00BA4A26"/>
    <w:rsid w:val="00BA663C"/>
    <w:rsid w:val="00BA6FAA"/>
    <w:rsid w:val="00BC5565"/>
    <w:rsid w:val="00BD5881"/>
    <w:rsid w:val="00BE3429"/>
    <w:rsid w:val="00BE7898"/>
    <w:rsid w:val="00BF2B56"/>
    <w:rsid w:val="00BF3E8B"/>
    <w:rsid w:val="00C04A2B"/>
    <w:rsid w:val="00C1245F"/>
    <w:rsid w:val="00C1267A"/>
    <w:rsid w:val="00C17551"/>
    <w:rsid w:val="00C34411"/>
    <w:rsid w:val="00C524B1"/>
    <w:rsid w:val="00C551A8"/>
    <w:rsid w:val="00C65484"/>
    <w:rsid w:val="00C75A8A"/>
    <w:rsid w:val="00C847C2"/>
    <w:rsid w:val="00C86ACA"/>
    <w:rsid w:val="00C90AAB"/>
    <w:rsid w:val="00C90E50"/>
    <w:rsid w:val="00C93895"/>
    <w:rsid w:val="00CA21CB"/>
    <w:rsid w:val="00CB5E8D"/>
    <w:rsid w:val="00CC2F39"/>
    <w:rsid w:val="00CC4B0A"/>
    <w:rsid w:val="00CC7CF9"/>
    <w:rsid w:val="00CD5987"/>
    <w:rsid w:val="00CE34C3"/>
    <w:rsid w:val="00D06882"/>
    <w:rsid w:val="00D1074D"/>
    <w:rsid w:val="00D2683D"/>
    <w:rsid w:val="00D2684F"/>
    <w:rsid w:val="00D30053"/>
    <w:rsid w:val="00D31BA6"/>
    <w:rsid w:val="00D3432E"/>
    <w:rsid w:val="00D53BC2"/>
    <w:rsid w:val="00D54A7E"/>
    <w:rsid w:val="00D60674"/>
    <w:rsid w:val="00D60E72"/>
    <w:rsid w:val="00D71C82"/>
    <w:rsid w:val="00D71D86"/>
    <w:rsid w:val="00D72C62"/>
    <w:rsid w:val="00D75AB9"/>
    <w:rsid w:val="00D75EA8"/>
    <w:rsid w:val="00D83501"/>
    <w:rsid w:val="00D9162A"/>
    <w:rsid w:val="00DA24B4"/>
    <w:rsid w:val="00DA7B29"/>
    <w:rsid w:val="00DB18C3"/>
    <w:rsid w:val="00DD24CD"/>
    <w:rsid w:val="00DD6407"/>
    <w:rsid w:val="00DD65D6"/>
    <w:rsid w:val="00DE0080"/>
    <w:rsid w:val="00DE6855"/>
    <w:rsid w:val="00DE70C2"/>
    <w:rsid w:val="00DF37B5"/>
    <w:rsid w:val="00E16933"/>
    <w:rsid w:val="00E312F6"/>
    <w:rsid w:val="00E34D1D"/>
    <w:rsid w:val="00E35BD8"/>
    <w:rsid w:val="00E417FA"/>
    <w:rsid w:val="00E426EE"/>
    <w:rsid w:val="00E618E2"/>
    <w:rsid w:val="00E671B9"/>
    <w:rsid w:val="00E74423"/>
    <w:rsid w:val="00E75A1C"/>
    <w:rsid w:val="00E856D6"/>
    <w:rsid w:val="00E93D36"/>
    <w:rsid w:val="00EC1258"/>
    <w:rsid w:val="00EC1B4C"/>
    <w:rsid w:val="00EE291E"/>
    <w:rsid w:val="00EF6AAF"/>
    <w:rsid w:val="00F06E29"/>
    <w:rsid w:val="00F120C1"/>
    <w:rsid w:val="00F14438"/>
    <w:rsid w:val="00F14760"/>
    <w:rsid w:val="00F1540E"/>
    <w:rsid w:val="00F16357"/>
    <w:rsid w:val="00F2492F"/>
    <w:rsid w:val="00F25676"/>
    <w:rsid w:val="00F26C02"/>
    <w:rsid w:val="00F275F6"/>
    <w:rsid w:val="00F30C77"/>
    <w:rsid w:val="00F57C83"/>
    <w:rsid w:val="00F81BAA"/>
    <w:rsid w:val="00F9000E"/>
    <w:rsid w:val="00F907A3"/>
    <w:rsid w:val="00F92C2A"/>
    <w:rsid w:val="00FA11A2"/>
    <w:rsid w:val="00FA1F44"/>
    <w:rsid w:val="00FA5A7A"/>
    <w:rsid w:val="00FA7667"/>
    <w:rsid w:val="00FB698B"/>
    <w:rsid w:val="00FC60E8"/>
    <w:rsid w:val="00FD2748"/>
    <w:rsid w:val="00FE0903"/>
    <w:rsid w:val="00FE2866"/>
    <w:rsid w:val="00FE5ADB"/>
    <w:rsid w:val="00FF3A8A"/>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
    <w:rsid w:val="004E421B"/>
  </w:style>
  <w:style w:type="character" w:customStyle="1" w:styleId="CorpsdetexteCar">
    <w:name w:val="Corps de texte Car"/>
    <w:aliases w:val="Corps de texte Car1 Car Car,Corps de texte Car Car Car Car,Corps de texte Car Car encadré Car Car Car Car Car Car,Corps de texte Car1 Car Car1 Car Car,Corps de texte Car Car Car Car1 Car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5409ED"/>
    <w:pPr>
      <w:ind w:left="1701"/>
      <w:jc w:val="both"/>
    </w:pPr>
    <w:rPr>
      <w:rFonts w:ascii="Times New Roman" w:hAnsi="Times New Roman"/>
      <w:b w:val="0"/>
      <w:szCs w:val="24"/>
    </w:rPr>
  </w:style>
  <w:style w:type="paragraph" w:customStyle="1" w:styleId="PS0">
    <w:name w:val="PS"/>
    <w:basedOn w:val="Normal"/>
    <w:link w:val="PSCar"/>
    <w:rsid w:val="005409ED"/>
    <w:pPr>
      <w:spacing w:before="0" w:after="480"/>
      <w:ind w:left="1701" w:firstLine="1134"/>
    </w:pPr>
    <w:rPr>
      <w:szCs w:val="24"/>
    </w:rPr>
  </w:style>
  <w:style w:type="character" w:customStyle="1" w:styleId="PSCar">
    <w:name w:val="PS Car"/>
    <w:link w:val="PS0"/>
    <w:rsid w:val="005409ED"/>
    <w:rPr>
      <w:sz w:val="24"/>
      <w:szCs w:val="24"/>
    </w:rPr>
  </w:style>
  <w:style w:type="character" w:customStyle="1" w:styleId="P0Car">
    <w:name w:val="P0 Car"/>
    <w:link w:val="P0"/>
    <w:rsid w:val="005409ED"/>
    <w:rPr>
      <w:sz w:val="24"/>
      <w:szCs w:val="24"/>
    </w:rPr>
  </w:style>
  <w:style w:type="character" w:styleId="Marquedecommentaire">
    <w:name w:val="annotation reference"/>
    <w:uiPriority w:val="99"/>
    <w:semiHidden/>
    <w:unhideWhenUsed/>
    <w:rsid w:val="004F7D03"/>
    <w:rPr>
      <w:sz w:val="16"/>
      <w:szCs w:val="16"/>
    </w:rPr>
  </w:style>
  <w:style w:type="paragraph" w:styleId="Commentaire">
    <w:name w:val="annotation text"/>
    <w:basedOn w:val="Normal"/>
    <w:link w:val="CommentaireCar"/>
    <w:uiPriority w:val="99"/>
    <w:semiHidden/>
    <w:unhideWhenUsed/>
    <w:rsid w:val="004F7D03"/>
    <w:rPr>
      <w:sz w:val="20"/>
    </w:rPr>
  </w:style>
  <w:style w:type="character" w:customStyle="1" w:styleId="CommentaireCar">
    <w:name w:val="Commentaire Car"/>
    <w:basedOn w:val="Policepardfaut"/>
    <w:link w:val="Commentaire"/>
    <w:uiPriority w:val="99"/>
    <w:semiHidden/>
    <w:rsid w:val="004F7D03"/>
  </w:style>
  <w:style w:type="paragraph" w:styleId="Objetducommentaire">
    <w:name w:val="annotation subject"/>
    <w:basedOn w:val="Commentaire"/>
    <w:next w:val="Commentaire"/>
    <w:link w:val="ObjetducommentaireCar"/>
    <w:uiPriority w:val="99"/>
    <w:semiHidden/>
    <w:unhideWhenUsed/>
    <w:rsid w:val="004F7D03"/>
    <w:rPr>
      <w:b/>
      <w:bCs/>
    </w:rPr>
  </w:style>
  <w:style w:type="character" w:customStyle="1" w:styleId="ObjetducommentaireCar">
    <w:name w:val="Objet du commentaire Car"/>
    <w:link w:val="Objetducommentaire"/>
    <w:uiPriority w:val="99"/>
    <w:semiHidden/>
    <w:rsid w:val="004F7D03"/>
    <w:rPr>
      <w:b/>
      <w:bCs/>
    </w:rPr>
  </w:style>
  <w:style w:type="paragraph" w:styleId="Rvision">
    <w:name w:val="Revision"/>
    <w:hidden/>
    <w:uiPriority w:val="99"/>
    <w:semiHidden/>
    <w:rsid w:val="004F7D0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90114-850C-41FB-8751-E34F6F09B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31265B-78B3-4290-82C3-307664C0CB1A}">
  <ds:schemaRefs>
    <ds:schemaRef ds:uri="http://schemas.microsoft.com/sharepoint/v3/contenttype/forms"/>
  </ds:schemaRefs>
</ds:datastoreItem>
</file>

<file path=customXml/itemProps3.xml><?xml version="1.0" encoding="utf-8"?>
<ds:datastoreItem xmlns:ds="http://schemas.openxmlformats.org/officeDocument/2006/customXml" ds:itemID="{008D63DC-3815-49AB-B9FE-6F29BC5D19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D70FE2-1A8E-40EE-B361-ABFE02EBD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1584</Words>
  <Characters>8715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4</cp:revision>
  <cp:lastPrinted>2012-10-10T18:10:00Z</cp:lastPrinted>
  <dcterms:created xsi:type="dcterms:W3CDTF">2013-02-28T15:51:00Z</dcterms:created>
  <dcterms:modified xsi:type="dcterms:W3CDTF">2013-08-22T16:52:00Z</dcterms:modified>
</cp:coreProperties>
</file>