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tblInd w:w="-497" w:type="dxa"/>
        <w:tblLayout w:type="fixed"/>
        <w:tblCellMar>
          <w:left w:w="70" w:type="dxa"/>
          <w:right w:w="70" w:type="dxa"/>
        </w:tblCellMar>
        <w:tblLook w:val="04A0" w:firstRow="1" w:lastRow="0" w:firstColumn="1" w:lastColumn="0" w:noHBand="0" w:noVBand="1"/>
      </w:tblPr>
      <w:tblGrid>
        <w:gridCol w:w="3402"/>
        <w:gridCol w:w="2552"/>
        <w:gridCol w:w="4111"/>
      </w:tblGrid>
      <w:tr w:rsidR="00F34712" w:rsidTr="00F34712">
        <w:tc>
          <w:tcPr>
            <w:tcW w:w="3402" w:type="dxa"/>
            <w:vAlign w:val="center"/>
            <w:hideMark/>
          </w:tcPr>
          <w:p w:rsidR="00F34712" w:rsidRDefault="00F34712">
            <w:pPr>
              <w:pStyle w:val="1pageCour"/>
            </w:pPr>
            <w:r>
              <w:t>Cour des comptes</w:t>
            </w:r>
          </w:p>
        </w:tc>
        <w:tc>
          <w:tcPr>
            <w:tcW w:w="2552" w:type="dxa"/>
            <w:vAlign w:val="center"/>
          </w:tcPr>
          <w:p w:rsidR="00F34712" w:rsidRDefault="00F34712">
            <w:pPr>
              <w:pStyle w:val="1pageCour"/>
            </w:pPr>
          </w:p>
        </w:tc>
        <w:tc>
          <w:tcPr>
            <w:tcW w:w="4111" w:type="dxa"/>
            <w:vAlign w:val="center"/>
          </w:tcPr>
          <w:p w:rsidR="00F34712" w:rsidRDefault="00F34712">
            <w:pPr>
              <w:pStyle w:val="1pageCour"/>
              <w:rPr>
                <w:sz w:val="22"/>
                <w:szCs w:val="22"/>
                <w:u w:val="single"/>
              </w:rPr>
            </w:pPr>
          </w:p>
        </w:tc>
      </w:tr>
      <w:tr w:rsidR="00F34712" w:rsidTr="00F34712">
        <w:tc>
          <w:tcPr>
            <w:tcW w:w="3402" w:type="dxa"/>
            <w:vAlign w:val="center"/>
            <w:hideMark/>
          </w:tcPr>
          <w:p w:rsidR="00F34712" w:rsidRDefault="00F34712">
            <w:pPr>
              <w:pStyle w:val="1pageCour"/>
              <w:rPr>
                <w:sz w:val="16"/>
                <w:szCs w:val="16"/>
              </w:rPr>
            </w:pPr>
            <w:r>
              <w:rPr>
                <w:sz w:val="16"/>
                <w:szCs w:val="16"/>
              </w:rPr>
              <w:t>----------</w:t>
            </w:r>
          </w:p>
        </w:tc>
        <w:tc>
          <w:tcPr>
            <w:tcW w:w="2552" w:type="dxa"/>
            <w:vAlign w:val="center"/>
          </w:tcPr>
          <w:p w:rsidR="00F34712" w:rsidRDefault="00F34712">
            <w:pPr>
              <w:pStyle w:val="1pageCour"/>
              <w:rPr>
                <w:sz w:val="16"/>
                <w:szCs w:val="16"/>
              </w:rPr>
            </w:pPr>
          </w:p>
        </w:tc>
        <w:tc>
          <w:tcPr>
            <w:tcW w:w="4111" w:type="dxa"/>
            <w:vAlign w:val="center"/>
          </w:tcPr>
          <w:p w:rsidR="00F34712" w:rsidRDefault="00F34712">
            <w:pPr>
              <w:pStyle w:val="1pageCour"/>
              <w:rPr>
                <w:sz w:val="16"/>
                <w:szCs w:val="16"/>
              </w:rPr>
            </w:pPr>
          </w:p>
        </w:tc>
      </w:tr>
      <w:tr w:rsidR="00F34712" w:rsidTr="00F34712">
        <w:trPr>
          <w:trHeight w:val="356"/>
        </w:trPr>
        <w:tc>
          <w:tcPr>
            <w:tcW w:w="3402" w:type="dxa"/>
            <w:vAlign w:val="center"/>
            <w:hideMark/>
          </w:tcPr>
          <w:p w:rsidR="00F34712" w:rsidRDefault="00F34712">
            <w:pPr>
              <w:pStyle w:val="1pageChambre"/>
            </w:pPr>
            <w:r>
              <w:t>Troisième chambre</w:t>
            </w:r>
          </w:p>
        </w:tc>
        <w:tc>
          <w:tcPr>
            <w:tcW w:w="2552" w:type="dxa"/>
            <w:vAlign w:val="center"/>
          </w:tcPr>
          <w:p w:rsidR="00F34712" w:rsidRDefault="00F34712">
            <w:pPr>
              <w:pStyle w:val="1pageChambre"/>
            </w:pPr>
          </w:p>
        </w:tc>
        <w:tc>
          <w:tcPr>
            <w:tcW w:w="4111" w:type="dxa"/>
            <w:vAlign w:val="center"/>
          </w:tcPr>
          <w:p w:rsidR="00F34712" w:rsidRDefault="00F34712">
            <w:pPr>
              <w:pStyle w:val="1pageChambre"/>
            </w:pPr>
          </w:p>
        </w:tc>
      </w:tr>
      <w:tr w:rsidR="00F34712" w:rsidTr="00F34712">
        <w:tc>
          <w:tcPr>
            <w:tcW w:w="3402" w:type="dxa"/>
            <w:vAlign w:val="center"/>
            <w:hideMark/>
          </w:tcPr>
          <w:p w:rsidR="00F34712" w:rsidRDefault="00F34712">
            <w:pPr>
              <w:pStyle w:val="1pageCour"/>
              <w:rPr>
                <w:sz w:val="16"/>
                <w:szCs w:val="16"/>
              </w:rPr>
            </w:pPr>
            <w:r>
              <w:rPr>
                <w:sz w:val="16"/>
                <w:szCs w:val="16"/>
              </w:rPr>
              <w:t>----------</w:t>
            </w:r>
          </w:p>
        </w:tc>
        <w:tc>
          <w:tcPr>
            <w:tcW w:w="2552" w:type="dxa"/>
            <w:vAlign w:val="center"/>
          </w:tcPr>
          <w:p w:rsidR="00F34712" w:rsidRDefault="00F34712">
            <w:pPr>
              <w:pStyle w:val="1pageCour"/>
              <w:rPr>
                <w:sz w:val="16"/>
                <w:szCs w:val="16"/>
              </w:rPr>
            </w:pPr>
          </w:p>
        </w:tc>
        <w:tc>
          <w:tcPr>
            <w:tcW w:w="4111" w:type="dxa"/>
            <w:vAlign w:val="center"/>
          </w:tcPr>
          <w:p w:rsidR="00F34712" w:rsidRDefault="00F34712">
            <w:pPr>
              <w:pStyle w:val="1pageCour"/>
              <w:rPr>
                <w:sz w:val="16"/>
                <w:szCs w:val="16"/>
              </w:rPr>
            </w:pPr>
          </w:p>
        </w:tc>
      </w:tr>
      <w:tr w:rsidR="00F34712" w:rsidTr="00F34712">
        <w:tc>
          <w:tcPr>
            <w:tcW w:w="3402" w:type="dxa"/>
            <w:vAlign w:val="center"/>
            <w:hideMark/>
          </w:tcPr>
          <w:p w:rsidR="00F34712" w:rsidRDefault="00F34712">
            <w:pPr>
              <w:pStyle w:val="1pageChambre"/>
            </w:pPr>
            <w:r>
              <w:t>Quatrième section</w:t>
            </w:r>
          </w:p>
        </w:tc>
        <w:tc>
          <w:tcPr>
            <w:tcW w:w="2552" w:type="dxa"/>
            <w:vAlign w:val="center"/>
          </w:tcPr>
          <w:p w:rsidR="00F34712" w:rsidRDefault="00F34712">
            <w:pPr>
              <w:pStyle w:val="1pageChambre"/>
              <w:rPr>
                <w:sz w:val="16"/>
                <w:szCs w:val="16"/>
              </w:rPr>
            </w:pPr>
          </w:p>
        </w:tc>
        <w:tc>
          <w:tcPr>
            <w:tcW w:w="4111" w:type="dxa"/>
            <w:vAlign w:val="center"/>
          </w:tcPr>
          <w:p w:rsidR="00F34712" w:rsidRDefault="00F34712">
            <w:pPr>
              <w:pStyle w:val="1pageChambre"/>
              <w:rPr>
                <w:sz w:val="16"/>
                <w:szCs w:val="16"/>
              </w:rPr>
            </w:pPr>
          </w:p>
        </w:tc>
      </w:tr>
      <w:tr w:rsidR="00F34712" w:rsidTr="00F34712">
        <w:tc>
          <w:tcPr>
            <w:tcW w:w="3402" w:type="dxa"/>
            <w:vAlign w:val="center"/>
            <w:hideMark/>
          </w:tcPr>
          <w:p w:rsidR="00F34712" w:rsidRDefault="00F34712">
            <w:pPr>
              <w:pStyle w:val="1pageCour"/>
              <w:spacing w:after="120"/>
              <w:rPr>
                <w:sz w:val="16"/>
                <w:szCs w:val="16"/>
              </w:rPr>
            </w:pPr>
            <w:r>
              <w:rPr>
                <w:sz w:val="16"/>
                <w:szCs w:val="16"/>
              </w:rPr>
              <w:t>----------</w:t>
            </w:r>
          </w:p>
        </w:tc>
        <w:tc>
          <w:tcPr>
            <w:tcW w:w="2552" w:type="dxa"/>
            <w:vAlign w:val="center"/>
          </w:tcPr>
          <w:p w:rsidR="00F34712" w:rsidRDefault="00F34712">
            <w:pPr>
              <w:pStyle w:val="1pageCour"/>
              <w:rPr>
                <w:sz w:val="16"/>
                <w:szCs w:val="16"/>
              </w:rPr>
            </w:pPr>
          </w:p>
        </w:tc>
        <w:tc>
          <w:tcPr>
            <w:tcW w:w="4111" w:type="dxa"/>
            <w:vAlign w:val="center"/>
          </w:tcPr>
          <w:p w:rsidR="00F34712" w:rsidRDefault="00F34712">
            <w:pPr>
              <w:pStyle w:val="1pageCour"/>
              <w:rPr>
                <w:sz w:val="16"/>
                <w:szCs w:val="16"/>
              </w:rPr>
            </w:pPr>
          </w:p>
        </w:tc>
      </w:tr>
      <w:tr w:rsidR="00F34712" w:rsidTr="00892CE6">
        <w:trPr>
          <w:trHeight w:val="503"/>
        </w:trPr>
        <w:tc>
          <w:tcPr>
            <w:tcW w:w="3402" w:type="dxa"/>
            <w:vAlign w:val="center"/>
            <w:hideMark/>
          </w:tcPr>
          <w:p w:rsidR="00F34712" w:rsidRDefault="00F34712" w:rsidP="008F6CE0">
            <w:pPr>
              <w:pStyle w:val="Corpstextegauche"/>
              <w:spacing w:before="0" w:after="240"/>
              <w:jc w:val="center"/>
              <w:rPr>
                <w:i/>
                <w:sz w:val="22"/>
                <w:szCs w:val="22"/>
              </w:rPr>
            </w:pPr>
            <w:r>
              <w:rPr>
                <w:b/>
                <w:i/>
                <w:sz w:val="22"/>
                <w:szCs w:val="22"/>
              </w:rPr>
              <w:t xml:space="preserve">Arrêt n° </w:t>
            </w:r>
            <w:r w:rsidR="00106B5B">
              <w:rPr>
                <w:b/>
                <w:i/>
                <w:sz w:val="22"/>
                <w:szCs w:val="22"/>
              </w:rPr>
              <w:t>65</w:t>
            </w:r>
            <w:r w:rsidR="008F6CE0">
              <w:rPr>
                <w:b/>
                <w:i/>
                <w:sz w:val="22"/>
                <w:szCs w:val="22"/>
              </w:rPr>
              <w:t>3</w:t>
            </w:r>
            <w:r w:rsidR="00106B5B">
              <w:rPr>
                <w:b/>
                <w:i/>
                <w:sz w:val="22"/>
                <w:szCs w:val="22"/>
              </w:rPr>
              <w:t>65</w:t>
            </w:r>
          </w:p>
        </w:tc>
        <w:tc>
          <w:tcPr>
            <w:tcW w:w="2552" w:type="dxa"/>
            <w:vAlign w:val="center"/>
          </w:tcPr>
          <w:p w:rsidR="00F34712" w:rsidRDefault="00F34712">
            <w:pPr>
              <w:pStyle w:val="Corpsdetexte"/>
              <w:spacing w:before="0" w:after="0"/>
              <w:ind w:left="0" w:firstLine="0"/>
              <w:rPr>
                <w:sz w:val="22"/>
                <w:szCs w:val="22"/>
              </w:rPr>
            </w:pPr>
          </w:p>
        </w:tc>
        <w:tc>
          <w:tcPr>
            <w:tcW w:w="4111" w:type="dxa"/>
            <w:vAlign w:val="center"/>
          </w:tcPr>
          <w:p w:rsidR="00F34712" w:rsidRDefault="00F34712">
            <w:pPr>
              <w:pStyle w:val="Corpsdetexte"/>
              <w:spacing w:before="0" w:after="0"/>
              <w:ind w:left="0" w:firstLine="0"/>
              <w:rPr>
                <w:sz w:val="22"/>
                <w:szCs w:val="22"/>
              </w:rPr>
            </w:pPr>
          </w:p>
        </w:tc>
      </w:tr>
      <w:tr w:rsidR="00F34712" w:rsidTr="00F34712">
        <w:tc>
          <w:tcPr>
            <w:tcW w:w="10065" w:type="dxa"/>
            <w:gridSpan w:val="3"/>
            <w:vAlign w:val="center"/>
          </w:tcPr>
          <w:p w:rsidR="00F34712" w:rsidRDefault="00F34712">
            <w:pPr>
              <w:pStyle w:val="OR"/>
              <w:rPr>
                <w:caps/>
              </w:rPr>
            </w:pPr>
            <w:r>
              <w:rPr>
                <w:caps/>
              </w:rPr>
              <w:t>Université d’evry – Val d’Essonne</w:t>
            </w:r>
          </w:p>
          <w:p w:rsidR="00F34712" w:rsidRDefault="00F34712">
            <w:pPr>
              <w:pStyle w:val="OR"/>
              <w:rPr>
                <w:caps/>
              </w:rPr>
            </w:pPr>
          </w:p>
          <w:p w:rsidR="00F34712" w:rsidRDefault="00F34712">
            <w:pPr>
              <w:pStyle w:val="OR"/>
              <w:rPr>
                <w:caps/>
              </w:rPr>
            </w:pPr>
          </w:p>
        </w:tc>
      </w:tr>
      <w:tr w:rsidR="00F34712" w:rsidTr="00F34712">
        <w:tc>
          <w:tcPr>
            <w:tcW w:w="10065" w:type="dxa"/>
            <w:gridSpan w:val="3"/>
            <w:vAlign w:val="center"/>
          </w:tcPr>
          <w:p w:rsidR="00F34712" w:rsidRDefault="00F34712">
            <w:pPr>
              <w:pStyle w:val="OR"/>
            </w:pPr>
            <w:r>
              <w:t>Exercices 2008</w:t>
            </w:r>
            <w:r w:rsidR="004142E2">
              <w:t xml:space="preserve"> et </w:t>
            </w:r>
            <w:r>
              <w:t>2009</w:t>
            </w:r>
          </w:p>
          <w:p w:rsidR="00F34712" w:rsidRDefault="00F34712">
            <w:pPr>
              <w:pStyle w:val="OR"/>
            </w:pPr>
          </w:p>
        </w:tc>
      </w:tr>
      <w:tr w:rsidR="00F34712" w:rsidTr="00F34712">
        <w:tc>
          <w:tcPr>
            <w:tcW w:w="10065" w:type="dxa"/>
            <w:gridSpan w:val="3"/>
            <w:vAlign w:val="center"/>
          </w:tcPr>
          <w:p w:rsidR="00F34712" w:rsidRDefault="00F34712">
            <w:pPr>
              <w:pStyle w:val="OR"/>
            </w:pPr>
            <w:r>
              <w:t>Rapport n° 2012-076-0</w:t>
            </w:r>
          </w:p>
          <w:p w:rsidR="00F34712" w:rsidRDefault="00F34712">
            <w:pPr>
              <w:pStyle w:val="OR"/>
            </w:pPr>
          </w:p>
        </w:tc>
      </w:tr>
      <w:tr w:rsidR="00F34712" w:rsidTr="00F34712">
        <w:tc>
          <w:tcPr>
            <w:tcW w:w="10065" w:type="dxa"/>
            <w:gridSpan w:val="3"/>
            <w:vAlign w:val="center"/>
          </w:tcPr>
          <w:p w:rsidR="00F34712" w:rsidRDefault="00F34712">
            <w:pPr>
              <w:pStyle w:val="OR"/>
            </w:pPr>
            <w:r>
              <w:t>Audience publique du 8 mars 2012</w:t>
            </w:r>
          </w:p>
          <w:p w:rsidR="00F34712" w:rsidRDefault="00F34712">
            <w:pPr>
              <w:pStyle w:val="OR"/>
            </w:pPr>
          </w:p>
        </w:tc>
      </w:tr>
      <w:tr w:rsidR="00F34712" w:rsidTr="00F34712">
        <w:tc>
          <w:tcPr>
            <w:tcW w:w="10065" w:type="dxa"/>
            <w:gridSpan w:val="3"/>
            <w:vAlign w:val="center"/>
            <w:hideMark/>
          </w:tcPr>
          <w:p w:rsidR="00F34712" w:rsidRDefault="00F34712" w:rsidP="00273CFF">
            <w:pPr>
              <w:pStyle w:val="OR"/>
              <w:spacing w:after="480"/>
            </w:pPr>
            <w:r>
              <w:t xml:space="preserve">Lecture publique </w:t>
            </w:r>
            <w:r w:rsidR="00293EE1">
              <w:t>du</w:t>
            </w:r>
            <w:r>
              <w:t xml:space="preserve"> </w:t>
            </w:r>
            <w:r w:rsidR="009B4E21">
              <w:t>30 novembre 2012</w:t>
            </w:r>
          </w:p>
        </w:tc>
      </w:tr>
    </w:tbl>
    <w:p w:rsidR="00273CFF" w:rsidRDefault="00273CFF" w:rsidP="00F34712">
      <w:pPr>
        <w:pStyle w:val="Corpsdetexte"/>
      </w:pPr>
      <w:r>
        <w:t>LA COUR DES COMPTES a rendu l’arrêt suivant :</w:t>
      </w:r>
    </w:p>
    <w:p w:rsidR="00F34712" w:rsidRPr="009B4E21" w:rsidRDefault="00F34712" w:rsidP="00F34712">
      <w:pPr>
        <w:pStyle w:val="Corpsdetexte"/>
      </w:pPr>
      <w:r w:rsidRPr="009B4E21">
        <w:t>LA COUR,</w:t>
      </w:r>
    </w:p>
    <w:p w:rsidR="00F34712" w:rsidRPr="009B4E21" w:rsidRDefault="00F34712" w:rsidP="00F34712">
      <w:pPr>
        <w:pStyle w:val="Corpsdetexte"/>
        <w:rPr>
          <w:rFonts w:eastAsia="Calibri"/>
          <w:lang w:eastAsia="en-US"/>
        </w:rPr>
      </w:pPr>
      <w:r w:rsidRPr="009B4E21">
        <w:rPr>
          <w:rFonts w:eastAsia="Calibri"/>
          <w:lang w:eastAsia="en-US"/>
        </w:rPr>
        <w:t xml:space="preserve">Vu les comptes de </w:t>
      </w:r>
      <w:r w:rsidR="00BA64EB">
        <w:rPr>
          <w:rFonts w:eastAsia="Calibri"/>
          <w:lang w:eastAsia="en-US"/>
        </w:rPr>
        <w:t>l</w:t>
      </w:r>
      <w:r w:rsidRPr="00BA64EB">
        <w:rPr>
          <w:rFonts w:eastAsia="Calibri"/>
          <w:caps/>
          <w:lang w:eastAsia="en-US"/>
        </w:rPr>
        <w:t>’Université d’evry-Val d’Essonne</w:t>
      </w:r>
      <w:r w:rsidRPr="009B4E21">
        <w:rPr>
          <w:rFonts w:eastAsia="Calibri"/>
          <w:lang w:eastAsia="en-US"/>
        </w:rPr>
        <w:t xml:space="preserve"> produits pour les exercices</w:t>
      </w:r>
      <w:r w:rsidR="008F76BB">
        <w:rPr>
          <w:rFonts w:eastAsia="Calibri"/>
          <w:lang w:eastAsia="en-US"/>
        </w:rPr>
        <w:t xml:space="preserve"> </w:t>
      </w:r>
      <w:r w:rsidRPr="009B4E21">
        <w:rPr>
          <w:rFonts w:eastAsia="Calibri"/>
          <w:lang w:eastAsia="en-US"/>
        </w:rPr>
        <w:t xml:space="preserve">2008 </w:t>
      </w:r>
      <w:r w:rsidR="004142E2">
        <w:rPr>
          <w:rFonts w:eastAsia="Calibri"/>
          <w:lang w:eastAsia="en-US"/>
        </w:rPr>
        <w:t>et</w:t>
      </w:r>
      <w:r w:rsidRPr="009B4E21">
        <w:rPr>
          <w:rFonts w:eastAsia="Calibri"/>
          <w:lang w:eastAsia="en-US"/>
        </w:rPr>
        <w:t xml:space="preserve"> 2009 par M.</w:t>
      </w:r>
      <w:r w:rsidR="00BA64EB">
        <w:rPr>
          <w:rFonts w:eastAsia="Calibri"/>
          <w:lang w:eastAsia="en-US"/>
        </w:rPr>
        <w:t> </w:t>
      </w:r>
      <w:r w:rsidR="00884FFB">
        <w:rPr>
          <w:rFonts w:eastAsia="Calibri"/>
          <w:lang w:eastAsia="en-US"/>
        </w:rPr>
        <w:t>X</w:t>
      </w:r>
      <w:r w:rsidRPr="009B4E21">
        <w:rPr>
          <w:rFonts w:eastAsia="Calibri"/>
          <w:lang w:eastAsia="en-US"/>
        </w:rPr>
        <w:t>, agent comptable de ladite université du 14</w:t>
      </w:r>
      <w:r w:rsidR="00BA64EB">
        <w:rPr>
          <w:rFonts w:eastAsia="Calibri"/>
          <w:lang w:eastAsia="en-US"/>
        </w:rPr>
        <w:t> </w:t>
      </w:r>
      <w:r w:rsidRPr="009B4E21">
        <w:rPr>
          <w:rFonts w:eastAsia="Calibri"/>
          <w:lang w:eastAsia="en-US"/>
        </w:rPr>
        <w:t>novembre</w:t>
      </w:r>
      <w:r w:rsidR="00BA64EB">
        <w:rPr>
          <w:rFonts w:eastAsia="Calibri"/>
          <w:lang w:eastAsia="en-US"/>
        </w:rPr>
        <w:t> </w:t>
      </w:r>
      <w:r w:rsidRPr="009B4E21">
        <w:rPr>
          <w:rFonts w:eastAsia="Calibri"/>
          <w:lang w:eastAsia="en-US"/>
        </w:rPr>
        <w:t>2008 au 31</w:t>
      </w:r>
      <w:r w:rsidR="00BA64EB">
        <w:rPr>
          <w:rFonts w:eastAsia="Calibri"/>
          <w:lang w:eastAsia="en-US"/>
        </w:rPr>
        <w:t> </w:t>
      </w:r>
      <w:r w:rsidRPr="009B4E21">
        <w:rPr>
          <w:rFonts w:eastAsia="Calibri"/>
          <w:lang w:eastAsia="en-US"/>
        </w:rPr>
        <w:t>décembre</w:t>
      </w:r>
      <w:r w:rsidR="00BA64EB">
        <w:rPr>
          <w:rFonts w:eastAsia="Calibri"/>
          <w:lang w:eastAsia="en-US"/>
        </w:rPr>
        <w:t> </w:t>
      </w:r>
      <w:r w:rsidRPr="009B4E21">
        <w:rPr>
          <w:rFonts w:eastAsia="Calibri"/>
          <w:lang w:eastAsia="en-US"/>
        </w:rPr>
        <w:t>2009</w:t>
      </w:r>
      <w:r w:rsidR="009B4E21" w:rsidRPr="009B4E21">
        <w:rPr>
          <w:rFonts w:eastAsia="Calibri"/>
          <w:lang w:eastAsia="en-US"/>
        </w:rPr>
        <w:t xml:space="preserve"> </w:t>
      </w:r>
      <w:r w:rsidRPr="009B4E21">
        <w:rPr>
          <w:rFonts w:eastAsia="Calibri"/>
          <w:lang w:eastAsia="en-US"/>
        </w:rPr>
        <w:t>;</w:t>
      </w:r>
    </w:p>
    <w:p w:rsidR="00F34712" w:rsidRPr="009B4E21" w:rsidRDefault="00F34712" w:rsidP="00F34712">
      <w:pPr>
        <w:pStyle w:val="Corpsdetexte"/>
        <w:rPr>
          <w:rFonts w:eastAsia="Calibri"/>
          <w:lang w:eastAsia="en-US"/>
        </w:rPr>
      </w:pPr>
      <w:r w:rsidRPr="009B4E21">
        <w:rPr>
          <w:rFonts w:eastAsia="Calibri"/>
          <w:lang w:eastAsia="en-US"/>
        </w:rPr>
        <w:t>Vu le réquisitoire du Procureur général près la Cour des comptes n° 2011-76</w:t>
      </w:r>
      <w:r w:rsidR="00293EE1">
        <w:rPr>
          <w:rFonts w:eastAsia="Calibri"/>
          <w:lang w:eastAsia="en-US"/>
        </w:rPr>
        <w:t xml:space="preserve"> RQ-DB</w:t>
      </w:r>
      <w:r w:rsidRPr="009B4E21">
        <w:rPr>
          <w:rFonts w:eastAsia="Calibri"/>
          <w:lang w:eastAsia="en-US"/>
        </w:rPr>
        <w:t xml:space="preserve"> en</w:t>
      </w:r>
      <w:r w:rsidR="00BA64EB">
        <w:rPr>
          <w:rFonts w:eastAsia="Calibri"/>
          <w:lang w:eastAsia="en-US"/>
        </w:rPr>
        <w:t xml:space="preserve"> </w:t>
      </w:r>
      <w:r w:rsidRPr="009B4E21">
        <w:rPr>
          <w:rFonts w:eastAsia="Calibri"/>
          <w:lang w:eastAsia="en-US"/>
        </w:rPr>
        <w:t>date du</w:t>
      </w:r>
      <w:r w:rsidR="008F76BB">
        <w:rPr>
          <w:rFonts w:eastAsia="Calibri"/>
          <w:lang w:eastAsia="en-US"/>
        </w:rPr>
        <w:t xml:space="preserve"> </w:t>
      </w:r>
      <w:r w:rsidRPr="009B4E21">
        <w:rPr>
          <w:rFonts w:eastAsia="Calibri"/>
          <w:lang w:eastAsia="en-US"/>
        </w:rPr>
        <w:t>30</w:t>
      </w:r>
      <w:r w:rsidR="00804B67">
        <w:rPr>
          <w:rFonts w:eastAsia="Calibri"/>
          <w:lang w:eastAsia="en-US"/>
        </w:rPr>
        <w:t> </w:t>
      </w:r>
      <w:r w:rsidR="00BA64EB">
        <w:rPr>
          <w:rFonts w:eastAsia="Calibri"/>
          <w:lang w:eastAsia="en-US"/>
        </w:rPr>
        <w:t>a</w:t>
      </w:r>
      <w:r w:rsidRPr="009B4E21">
        <w:rPr>
          <w:rFonts w:eastAsia="Calibri"/>
          <w:lang w:eastAsia="en-US"/>
        </w:rPr>
        <w:t>o</w:t>
      </w:r>
      <w:r w:rsidR="00BA64EB">
        <w:rPr>
          <w:rFonts w:eastAsia="Calibri"/>
          <w:lang w:eastAsia="en-US"/>
        </w:rPr>
        <w:t>û</w:t>
      </w:r>
      <w:r w:rsidRPr="009B4E21">
        <w:rPr>
          <w:rFonts w:eastAsia="Calibri"/>
          <w:lang w:eastAsia="en-US"/>
        </w:rPr>
        <w:t>t</w:t>
      </w:r>
      <w:r w:rsidR="00804B67">
        <w:rPr>
          <w:rFonts w:eastAsia="Calibri"/>
          <w:lang w:eastAsia="en-US"/>
        </w:rPr>
        <w:t> </w:t>
      </w:r>
      <w:r w:rsidRPr="009B4E21">
        <w:rPr>
          <w:rFonts w:eastAsia="Calibri"/>
          <w:lang w:eastAsia="en-US"/>
        </w:rPr>
        <w:t xml:space="preserve">2011, notifié à </w:t>
      </w:r>
      <w:r w:rsidR="00884FFB">
        <w:rPr>
          <w:rFonts w:eastAsia="Calibri"/>
          <w:lang w:eastAsia="en-US"/>
        </w:rPr>
        <w:t>Mme Y</w:t>
      </w:r>
      <w:r w:rsidRPr="009B4E21">
        <w:rPr>
          <w:rFonts w:eastAsia="Calibri"/>
          <w:lang w:eastAsia="en-US"/>
        </w:rPr>
        <w:t>, agent comptable du 1</w:t>
      </w:r>
      <w:r w:rsidRPr="00804B67">
        <w:rPr>
          <w:rFonts w:eastAsia="Calibri"/>
          <w:vertAlign w:val="superscript"/>
          <w:lang w:eastAsia="en-US"/>
        </w:rPr>
        <w:t>er</w:t>
      </w:r>
      <w:r w:rsidR="00804B67">
        <w:rPr>
          <w:rFonts w:eastAsia="Calibri"/>
          <w:lang w:eastAsia="en-US"/>
        </w:rPr>
        <w:t> </w:t>
      </w:r>
      <w:r w:rsidRPr="009B4E21">
        <w:rPr>
          <w:rFonts w:eastAsia="Calibri"/>
          <w:lang w:eastAsia="en-US"/>
        </w:rPr>
        <w:t>janvier au 13</w:t>
      </w:r>
      <w:r w:rsidR="00804B67">
        <w:rPr>
          <w:rFonts w:eastAsia="Calibri"/>
          <w:lang w:eastAsia="en-US"/>
        </w:rPr>
        <w:t> </w:t>
      </w:r>
      <w:r w:rsidRPr="009B4E21">
        <w:rPr>
          <w:rFonts w:eastAsia="Calibri"/>
          <w:lang w:eastAsia="en-US"/>
        </w:rPr>
        <w:t>novembre</w:t>
      </w:r>
      <w:r w:rsidR="00804B67">
        <w:rPr>
          <w:rFonts w:eastAsia="Calibri"/>
          <w:lang w:eastAsia="en-US"/>
        </w:rPr>
        <w:t> </w:t>
      </w:r>
      <w:r w:rsidRPr="009B4E21">
        <w:rPr>
          <w:rFonts w:eastAsia="Calibri"/>
          <w:lang w:eastAsia="en-US"/>
        </w:rPr>
        <w:t>2008, à M.</w:t>
      </w:r>
      <w:r w:rsidR="00804B67">
        <w:rPr>
          <w:rFonts w:eastAsia="Calibri"/>
          <w:lang w:eastAsia="en-US"/>
        </w:rPr>
        <w:t> </w:t>
      </w:r>
      <w:r w:rsidR="00884FFB">
        <w:rPr>
          <w:rFonts w:eastAsia="Calibri"/>
          <w:lang w:eastAsia="en-US"/>
        </w:rPr>
        <w:t>X</w:t>
      </w:r>
      <w:r w:rsidRPr="009B4E21">
        <w:rPr>
          <w:rFonts w:eastAsia="Calibri"/>
          <w:lang w:eastAsia="en-US"/>
        </w:rPr>
        <w:t>, et au directeur de l’établissement le 13</w:t>
      </w:r>
      <w:r w:rsidR="00804B67">
        <w:rPr>
          <w:rFonts w:eastAsia="Calibri"/>
          <w:lang w:eastAsia="en-US"/>
        </w:rPr>
        <w:t> </w:t>
      </w:r>
      <w:r w:rsidRPr="009B4E21">
        <w:rPr>
          <w:rFonts w:eastAsia="Calibri"/>
          <w:lang w:eastAsia="en-US"/>
        </w:rPr>
        <w:t>septembre</w:t>
      </w:r>
      <w:r w:rsidR="00804B67">
        <w:rPr>
          <w:rFonts w:eastAsia="Calibri"/>
          <w:lang w:eastAsia="en-US"/>
        </w:rPr>
        <w:t> </w:t>
      </w:r>
      <w:r w:rsidRPr="009B4E21">
        <w:rPr>
          <w:rFonts w:eastAsia="Calibri"/>
          <w:lang w:eastAsia="en-US"/>
        </w:rPr>
        <w:t>2011, par</w:t>
      </w:r>
      <w:r w:rsidR="008F76BB">
        <w:rPr>
          <w:rFonts w:eastAsia="Calibri"/>
          <w:lang w:eastAsia="en-US"/>
        </w:rPr>
        <w:t xml:space="preserve"> </w:t>
      </w:r>
      <w:r w:rsidRPr="009B4E21">
        <w:rPr>
          <w:rFonts w:eastAsia="Calibri"/>
          <w:lang w:eastAsia="en-US"/>
        </w:rPr>
        <w:t>lequel la Cour a</w:t>
      </w:r>
      <w:r w:rsidR="008F76BB">
        <w:rPr>
          <w:rFonts w:eastAsia="Calibri"/>
          <w:lang w:eastAsia="en-US"/>
        </w:rPr>
        <w:t xml:space="preserve"> </w:t>
      </w:r>
      <w:r w:rsidRPr="009B4E21">
        <w:rPr>
          <w:rFonts w:eastAsia="Calibri"/>
          <w:lang w:eastAsia="en-US"/>
        </w:rPr>
        <w:t>été saisie de six présomptions de charges, au ti</w:t>
      </w:r>
      <w:r w:rsidR="00EF6114">
        <w:rPr>
          <w:rFonts w:eastAsia="Calibri"/>
          <w:lang w:eastAsia="en-US"/>
        </w:rPr>
        <w:t xml:space="preserve">tre des exercices 2008 </w:t>
      </w:r>
      <w:r w:rsidR="004142E2">
        <w:rPr>
          <w:rFonts w:eastAsia="Calibri"/>
          <w:lang w:eastAsia="en-US"/>
        </w:rPr>
        <w:t>et</w:t>
      </w:r>
      <w:r w:rsidR="00EF6114">
        <w:rPr>
          <w:rFonts w:eastAsia="Calibri"/>
          <w:lang w:eastAsia="en-US"/>
        </w:rPr>
        <w:t xml:space="preserve"> 2009 ;</w:t>
      </w:r>
    </w:p>
    <w:p w:rsidR="00F34712" w:rsidRPr="009B4E21" w:rsidRDefault="00F34712" w:rsidP="00F34712">
      <w:pPr>
        <w:pStyle w:val="Corpsdetexte"/>
        <w:rPr>
          <w:rFonts w:eastAsia="Calibri"/>
          <w:lang w:eastAsia="en-US"/>
        </w:rPr>
      </w:pPr>
      <w:r w:rsidRPr="009B4E21">
        <w:rPr>
          <w:rFonts w:eastAsia="Calibri"/>
          <w:lang w:eastAsia="en-US"/>
        </w:rPr>
        <w:t>Vu le code des juridictions financières ;</w:t>
      </w:r>
    </w:p>
    <w:p w:rsidR="00F34712" w:rsidRPr="009B4E21" w:rsidRDefault="00F34712" w:rsidP="00F34712">
      <w:pPr>
        <w:pStyle w:val="Corpsdetexte"/>
        <w:rPr>
          <w:rFonts w:eastAsia="Calibri"/>
          <w:lang w:eastAsia="en-US"/>
        </w:rPr>
      </w:pPr>
      <w:r w:rsidRPr="009B4E21">
        <w:rPr>
          <w:rFonts w:eastAsia="Calibri"/>
          <w:lang w:eastAsia="en-US"/>
        </w:rPr>
        <w:t>Vu l’article 60 modifié de la loi de finances n°</w:t>
      </w:r>
      <w:r w:rsidR="00804B67">
        <w:rPr>
          <w:rFonts w:eastAsia="Calibri"/>
          <w:lang w:eastAsia="en-US"/>
        </w:rPr>
        <w:t> </w:t>
      </w:r>
      <w:r w:rsidRPr="009B4E21">
        <w:rPr>
          <w:rFonts w:eastAsia="Calibri"/>
          <w:lang w:eastAsia="en-US"/>
        </w:rPr>
        <w:t xml:space="preserve">63-156 du 23 février 1963 ; </w:t>
      </w:r>
    </w:p>
    <w:p w:rsidR="00F34712" w:rsidRPr="009B4E21" w:rsidRDefault="00F34712" w:rsidP="00F34712">
      <w:pPr>
        <w:pStyle w:val="Corpsdetexte"/>
        <w:rPr>
          <w:rFonts w:eastAsia="Calibri"/>
          <w:lang w:eastAsia="en-US"/>
        </w:rPr>
      </w:pPr>
      <w:r w:rsidRPr="009B4E21">
        <w:rPr>
          <w:rFonts w:eastAsia="Calibri"/>
          <w:lang w:eastAsia="en-US"/>
        </w:rPr>
        <w:t>Vu le décret n° 62-1587 du 29 décembre</w:t>
      </w:r>
      <w:r w:rsidR="00804B67">
        <w:rPr>
          <w:rFonts w:eastAsia="Calibri"/>
          <w:lang w:eastAsia="en-US"/>
        </w:rPr>
        <w:t> </w:t>
      </w:r>
      <w:r w:rsidRPr="009B4E21">
        <w:rPr>
          <w:rFonts w:eastAsia="Calibri"/>
          <w:lang w:eastAsia="en-US"/>
        </w:rPr>
        <w:t>1962 modifié portant règlement général sur la comptabilité publique ;</w:t>
      </w:r>
    </w:p>
    <w:p w:rsidR="00F34712" w:rsidRPr="009B4E21" w:rsidRDefault="00F34712" w:rsidP="00EF6114">
      <w:pPr>
        <w:pStyle w:val="Corpsdetexte"/>
        <w:spacing w:after="360"/>
        <w:rPr>
          <w:rFonts w:eastAsia="Calibri"/>
          <w:lang w:eastAsia="en-US"/>
        </w:rPr>
      </w:pPr>
      <w:r w:rsidRPr="009B4E21">
        <w:rPr>
          <w:rFonts w:eastAsia="Calibri"/>
          <w:lang w:eastAsia="en-US"/>
        </w:rPr>
        <w:t>Vu les lois et règlements applicables aux établissements publics nationaux à caractère scientifique, culturel et professionnel et notamment ceux applicables à l’</w:t>
      </w:r>
      <w:r w:rsidR="00804B67">
        <w:rPr>
          <w:rFonts w:eastAsia="Calibri"/>
          <w:lang w:eastAsia="en-US"/>
        </w:rPr>
        <w:t>U</w:t>
      </w:r>
      <w:r w:rsidRPr="009B4E21">
        <w:rPr>
          <w:rFonts w:eastAsia="Calibri"/>
          <w:lang w:eastAsia="en-US"/>
        </w:rPr>
        <w:t>niversité d’Evry</w:t>
      </w:r>
      <w:r w:rsidR="00804B67">
        <w:rPr>
          <w:rFonts w:eastAsia="Calibri"/>
          <w:lang w:eastAsia="en-US"/>
        </w:rPr>
        <w:t> </w:t>
      </w:r>
      <w:r w:rsidRPr="009B4E21">
        <w:rPr>
          <w:rFonts w:eastAsia="Calibri"/>
          <w:lang w:eastAsia="en-US"/>
        </w:rPr>
        <w:t>-</w:t>
      </w:r>
      <w:r w:rsidR="00804B67">
        <w:rPr>
          <w:rFonts w:eastAsia="Calibri"/>
          <w:lang w:eastAsia="en-US"/>
        </w:rPr>
        <w:t> Val d’E</w:t>
      </w:r>
      <w:r w:rsidRPr="009B4E21">
        <w:rPr>
          <w:rFonts w:eastAsia="Calibri"/>
          <w:lang w:eastAsia="en-US"/>
        </w:rPr>
        <w:t>ssonne</w:t>
      </w:r>
      <w:r w:rsidR="00804B67">
        <w:rPr>
          <w:rFonts w:eastAsia="Calibri"/>
          <w:lang w:eastAsia="en-US"/>
        </w:rPr>
        <w:t xml:space="preserve"> </w:t>
      </w:r>
      <w:r w:rsidRPr="009B4E21">
        <w:rPr>
          <w:rFonts w:eastAsia="Calibri"/>
          <w:lang w:eastAsia="en-US"/>
        </w:rPr>
        <w:t>;</w:t>
      </w:r>
    </w:p>
    <w:p w:rsidR="00F94E8E" w:rsidRDefault="00F94E8E" w:rsidP="00B13DBB">
      <w:pPr>
        <w:pStyle w:val="IN"/>
        <w:ind w:left="284"/>
      </w:pPr>
      <w:r>
        <w:fldChar w:fldCharType="begin"/>
      </w:r>
      <w:r>
        <w:fldChar w:fldCharType="end"/>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284152" w:rsidRPr="00DF5530" w:rsidRDefault="00284152" w:rsidP="00284152">
      <w:pPr>
        <w:pStyle w:val="Corpsdetexte"/>
        <w:rPr>
          <w:rFonts w:eastAsia="Calibri"/>
          <w:lang w:eastAsia="en-US"/>
        </w:rPr>
      </w:pPr>
      <w:r w:rsidRPr="00DF5530">
        <w:rPr>
          <w:rFonts w:eastAsia="Calibri"/>
          <w:lang w:eastAsia="en-US"/>
        </w:rPr>
        <w:lastRenderedPageBreak/>
        <w:t>Vu l’arrêté du Premier président de la Cour des comptes du</w:t>
      </w:r>
      <w:r w:rsidR="004142E2">
        <w:rPr>
          <w:rFonts w:eastAsia="Calibri"/>
          <w:lang w:eastAsia="en-US"/>
        </w:rPr>
        <w:t xml:space="preserve"> 27 décembre 2011 </w:t>
      </w:r>
      <w:r w:rsidRPr="00DF5530">
        <w:rPr>
          <w:rFonts w:eastAsia="Calibri"/>
          <w:lang w:eastAsia="en-US"/>
        </w:rPr>
        <w:t>portant répartition des attributions entre les chambres de la Cour des comptes ;</w:t>
      </w:r>
    </w:p>
    <w:p w:rsidR="00F34712" w:rsidRPr="00DF5530" w:rsidRDefault="00F34712" w:rsidP="00F34712">
      <w:pPr>
        <w:pStyle w:val="Corpsdetexte"/>
        <w:rPr>
          <w:rFonts w:eastAsia="Calibri"/>
          <w:lang w:eastAsia="en-US"/>
        </w:rPr>
      </w:pPr>
      <w:r w:rsidRPr="00DF5530">
        <w:rPr>
          <w:rFonts w:eastAsia="Calibri"/>
          <w:lang w:eastAsia="en-US"/>
        </w:rPr>
        <w:t>Vu la décision du 5 septembre 2011 par laquelle le président de la troisième chambre a</w:t>
      </w:r>
      <w:r w:rsidR="008F76BB">
        <w:rPr>
          <w:rFonts w:eastAsia="Calibri"/>
          <w:lang w:eastAsia="en-US"/>
        </w:rPr>
        <w:t xml:space="preserve"> </w:t>
      </w:r>
      <w:r w:rsidRPr="00DF5530">
        <w:rPr>
          <w:rFonts w:eastAsia="Calibri"/>
          <w:lang w:eastAsia="en-US"/>
        </w:rPr>
        <w:t xml:space="preserve">désigné Mme Caroline Régis, conseillère référendaire, pour instruire cette affaire ; </w:t>
      </w:r>
    </w:p>
    <w:p w:rsidR="00F34712" w:rsidRPr="00DF5530" w:rsidRDefault="00F34712" w:rsidP="00F34712">
      <w:pPr>
        <w:pStyle w:val="Corpsdetexte"/>
        <w:rPr>
          <w:rFonts w:eastAsia="Calibri"/>
          <w:lang w:eastAsia="en-US"/>
        </w:rPr>
      </w:pPr>
      <w:r w:rsidRPr="00DF5530">
        <w:rPr>
          <w:rFonts w:eastAsia="Calibri"/>
          <w:lang w:eastAsia="en-US"/>
        </w:rPr>
        <w:t>Vu les courriers adressés aux comptables et à l’ordonnateur, les réponses et les pièces produites à l’appui des comptes ou recueillies pendant l’instruction ;</w:t>
      </w:r>
    </w:p>
    <w:p w:rsidR="00F34712" w:rsidRPr="00DF5530" w:rsidRDefault="00F34712" w:rsidP="00F34712">
      <w:pPr>
        <w:pStyle w:val="Corpsdetexte"/>
        <w:rPr>
          <w:rFonts w:eastAsia="Calibri"/>
          <w:lang w:eastAsia="en-US"/>
        </w:rPr>
      </w:pPr>
      <w:r w:rsidRPr="00DF5530">
        <w:rPr>
          <w:rFonts w:eastAsia="Calibri"/>
          <w:lang w:eastAsia="en-US"/>
        </w:rPr>
        <w:t>Sur le rapport à fin d’arrêt n° 2012-076-0 de Mme Caroline Régis</w:t>
      </w:r>
      <w:r w:rsidR="00DF5530">
        <w:rPr>
          <w:rFonts w:eastAsia="Calibri"/>
          <w:lang w:eastAsia="en-US"/>
        </w:rPr>
        <w:t xml:space="preserve"> </w:t>
      </w:r>
      <w:r w:rsidRPr="00DF5530">
        <w:rPr>
          <w:rFonts w:eastAsia="Calibri"/>
          <w:lang w:eastAsia="en-US"/>
        </w:rPr>
        <w:t>;</w:t>
      </w:r>
    </w:p>
    <w:p w:rsidR="00F34712" w:rsidRPr="00DF5530" w:rsidRDefault="00F34712" w:rsidP="00F34712">
      <w:pPr>
        <w:pStyle w:val="Corpsdetexte"/>
        <w:rPr>
          <w:rFonts w:eastAsia="Calibri"/>
          <w:lang w:eastAsia="en-US"/>
        </w:rPr>
      </w:pPr>
      <w:r w:rsidRPr="00DF5530">
        <w:rPr>
          <w:rFonts w:eastAsia="Calibri"/>
          <w:lang w:eastAsia="en-US"/>
        </w:rPr>
        <w:t>Vu les conclusions n° 68 du Procureur général près la Cour des comptes du</w:t>
      </w:r>
      <w:r w:rsidR="008C171C">
        <w:rPr>
          <w:rFonts w:eastAsia="Calibri"/>
          <w:lang w:eastAsia="en-US"/>
        </w:rPr>
        <w:t xml:space="preserve"> </w:t>
      </w:r>
      <w:r w:rsidRPr="00DF5530">
        <w:rPr>
          <w:rFonts w:eastAsia="Calibri"/>
          <w:lang w:eastAsia="en-US"/>
        </w:rPr>
        <w:t>31</w:t>
      </w:r>
      <w:r w:rsidR="008C171C">
        <w:rPr>
          <w:rFonts w:eastAsia="Calibri"/>
          <w:lang w:eastAsia="en-US"/>
        </w:rPr>
        <w:t> </w:t>
      </w:r>
      <w:r w:rsidRPr="00DF5530">
        <w:rPr>
          <w:rFonts w:eastAsia="Calibri"/>
          <w:lang w:eastAsia="en-US"/>
        </w:rPr>
        <w:t>janvier</w:t>
      </w:r>
      <w:r w:rsidR="008C171C">
        <w:rPr>
          <w:rFonts w:eastAsia="Calibri"/>
          <w:lang w:eastAsia="en-US"/>
        </w:rPr>
        <w:t> </w:t>
      </w:r>
      <w:r w:rsidRPr="00DF5530">
        <w:rPr>
          <w:rFonts w:eastAsia="Calibri"/>
          <w:lang w:eastAsia="en-US"/>
        </w:rPr>
        <w:t>2012 ;</w:t>
      </w:r>
    </w:p>
    <w:p w:rsidR="00F34712" w:rsidRPr="00DF5530" w:rsidRDefault="00F34712" w:rsidP="00F34712">
      <w:pPr>
        <w:pStyle w:val="Corpsdetexte"/>
        <w:rPr>
          <w:rFonts w:eastAsia="Calibri"/>
          <w:lang w:eastAsia="en-US"/>
        </w:rPr>
      </w:pPr>
      <w:r w:rsidRPr="00DF5530">
        <w:rPr>
          <w:rFonts w:eastAsia="Calibri"/>
          <w:lang w:eastAsia="en-US"/>
        </w:rPr>
        <w:t xml:space="preserve">Vu les lettres en date du </w:t>
      </w:r>
      <w:r w:rsidR="00ED294B">
        <w:rPr>
          <w:rFonts w:eastAsia="Calibri"/>
          <w:lang w:eastAsia="en-US"/>
        </w:rPr>
        <w:t>26 janvier</w:t>
      </w:r>
      <w:r w:rsidR="00A535ED">
        <w:rPr>
          <w:rFonts w:eastAsia="Calibri"/>
          <w:lang w:eastAsia="en-US"/>
        </w:rPr>
        <w:t xml:space="preserve"> </w:t>
      </w:r>
      <w:r w:rsidRPr="00DF5530">
        <w:rPr>
          <w:rFonts w:eastAsia="Calibri"/>
          <w:lang w:eastAsia="en-US"/>
        </w:rPr>
        <w:t xml:space="preserve">2012 informant </w:t>
      </w:r>
      <w:r w:rsidR="00884FFB">
        <w:rPr>
          <w:rFonts w:eastAsia="Calibri"/>
          <w:lang w:eastAsia="en-US"/>
        </w:rPr>
        <w:t>Mme Y</w:t>
      </w:r>
      <w:r w:rsidRPr="00DF5530">
        <w:rPr>
          <w:rFonts w:eastAsia="Calibri"/>
          <w:lang w:eastAsia="en-US"/>
        </w:rPr>
        <w:t xml:space="preserve"> et M.</w:t>
      </w:r>
      <w:r w:rsidR="00A535ED">
        <w:rPr>
          <w:rFonts w:eastAsia="Calibri"/>
          <w:lang w:eastAsia="en-US"/>
        </w:rPr>
        <w:t> </w:t>
      </w:r>
      <w:r w:rsidR="00884FFB">
        <w:rPr>
          <w:rFonts w:eastAsia="Calibri"/>
          <w:lang w:eastAsia="en-US"/>
        </w:rPr>
        <w:t>X</w:t>
      </w:r>
      <w:r w:rsidRPr="00DF5530">
        <w:rPr>
          <w:rFonts w:eastAsia="Calibri"/>
          <w:lang w:eastAsia="en-US"/>
        </w:rPr>
        <w:t>, ainsi que le directeur de l’établissement,</w:t>
      </w:r>
      <w:r w:rsidR="00DF5530">
        <w:rPr>
          <w:rFonts w:eastAsia="Calibri"/>
          <w:lang w:eastAsia="en-US"/>
        </w:rPr>
        <w:t xml:space="preserve"> </w:t>
      </w:r>
      <w:r w:rsidRPr="00DF5530">
        <w:rPr>
          <w:rFonts w:eastAsia="Calibri"/>
          <w:lang w:eastAsia="en-US"/>
        </w:rPr>
        <w:t>de la date de l’audience publique, ensemble les accusés de réception ;</w:t>
      </w:r>
    </w:p>
    <w:p w:rsidR="00F34712" w:rsidRPr="00DF5530" w:rsidRDefault="00F34712" w:rsidP="00F34712">
      <w:pPr>
        <w:pStyle w:val="Corpsdetexte"/>
        <w:rPr>
          <w:rFonts w:eastAsia="Calibri"/>
          <w:lang w:eastAsia="en-US"/>
        </w:rPr>
      </w:pPr>
      <w:r w:rsidRPr="00DF5530">
        <w:rPr>
          <w:rFonts w:eastAsia="Calibri"/>
          <w:lang w:eastAsia="en-US"/>
        </w:rPr>
        <w:t>Entendus en audience publique, Mme</w:t>
      </w:r>
      <w:r w:rsidR="00DF5530">
        <w:rPr>
          <w:rFonts w:eastAsia="Calibri"/>
          <w:lang w:eastAsia="en-US"/>
        </w:rPr>
        <w:t xml:space="preserve"> </w:t>
      </w:r>
      <w:r w:rsidRPr="00DF5530">
        <w:rPr>
          <w:rFonts w:eastAsia="Calibri"/>
          <w:lang w:eastAsia="en-US"/>
        </w:rPr>
        <w:t xml:space="preserve">Caroline Régis, en son rapport oral, M. Roch-Olivier Maistre, </w:t>
      </w:r>
      <w:r w:rsidR="00293EE1">
        <w:rPr>
          <w:rFonts w:eastAsia="Calibri"/>
          <w:lang w:eastAsia="en-US"/>
        </w:rPr>
        <w:t>Premier</w:t>
      </w:r>
      <w:r w:rsidR="00A535ED">
        <w:rPr>
          <w:rFonts w:eastAsia="Calibri"/>
          <w:lang w:eastAsia="en-US"/>
        </w:rPr>
        <w:t xml:space="preserve"> </w:t>
      </w:r>
      <w:r w:rsidRPr="00DF5530">
        <w:rPr>
          <w:rFonts w:eastAsia="Calibri"/>
          <w:lang w:eastAsia="en-US"/>
        </w:rPr>
        <w:t>avocat général, en ses conclusions orales ; les parties informées de l'audience, n'étant ni présentes, ni représentées ;</w:t>
      </w:r>
    </w:p>
    <w:p w:rsidR="00F34712" w:rsidRPr="00DF5530" w:rsidRDefault="00F34712" w:rsidP="004C3D8D">
      <w:pPr>
        <w:pStyle w:val="Corpsdetexte"/>
        <w:spacing w:after="240"/>
        <w:rPr>
          <w:rFonts w:eastAsia="Calibri"/>
          <w:lang w:eastAsia="en-US"/>
        </w:rPr>
      </w:pPr>
      <w:r w:rsidRPr="00DF5530">
        <w:rPr>
          <w:rFonts w:eastAsia="Calibri"/>
          <w:lang w:eastAsia="en-US"/>
        </w:rPr>
        <w:t>Après en avoir délibéré à huis clos, hors de la présence du rapporteur et du représentant du ministère public, M.</w:t>
      </w:r>
      <w:r w:rsidR="00A535ED">
        <w:rPr>
          <w:rFonts w:eastAsia="Calibri"/>
          <w:lang w:eastAsia="en-US"/>
        </w:rPr>
        <w:t> </w:t>
      </w:r>
      <w:r w:rsidRPr="00DF5530">
        <w:rPr>
          <w:rFonts w:eastAsia="Calibri"/>
          <w:lang w:eastAsia="en-US"/>
        </w:rPr>
        <w:t xml:space="preserve">Gilles </w:t>
      </w:r>
      <w:proofErr w:type="spellStart"/>
      <w:r w:rsidRPr="00DF5530">
        <w:rPr>
          <w:rFonts w:eastAsia="Calibri"/>
          <w:lang w:eastAsia="en-US"/>
        </w:rPr>
        <w:t>Andréani</w:t>
      </w:r>
      <w:proofErr w:type="spellEnd"/>
      <w:r w:rsidRPr="00DF5530">
        <w:rPr>
          <w:rFonts w:eastAsia="Calibri"/>
          <w:lang w:eastAsia="en-US"/>
        </w:rPr>
        <w:t>, réviseur, étant entendu en ses observations ;</w:t>
      </w:r>
    </w:p>
    <w:p w:rsidR="00F34712" w:rsidRPr="00A535ED" w:rsidRDefault="00F34712" w:rsidP="00A535ED">
      <w:pPr>
        <w:pStyle w:val="Corpsdetexte"/>
        <w:spacing w:after="480"/>
        <w:ind w:firstLine="0"/>
        <w:jc w:val="center"/>
      </w:pPr>
      <w:r w:rsidRPr="00A535ED">
        <w:t>ORDONNE :</w:t>
      </w:r>
    </w:p>
    <w:p w:rsidR="00F34712" w:rsidRPr="00A535ED" w:rsidRDefault="00F34712" w:rsidP="00A535ED">
      <w:pPr>
        <w:spacing w:after="360"/>
        <w:ind w:left="567" w:firstLine="1134"/>
        <w:jc w:val="both"/>
        <w:rPr>
          <w:b/>
          <w:i/>
          <w:sz w:val="24"/>
          <w:szCs w:val="24"/>
        </w:rPr>
      </w:pPr>
      <w:r w:rsidRPr="00A535ED">
        <w:rPr>
          <w:b/>
          <w:i/>
          <w:sz w:val="24"/>
          <w:szCs w:val="24"/>
        </w:rPr>
        <w:t>Première, deuxième et troisième présomptions de charge</w:t>
      </w:r>
    </w:p>
    <w:p w:rsidR="00F34712" w:rsidRPr="00A535ED" w:rsidRDefault="00F34712" w:rsidP="00A535ED">
      <w:pPr>
        <w:spacing w:after="360"/>
        <w:ind w:left="567" w:firstLine="1134"/>
        <w:jc w:val="both"/>
        <w:rPr>
          <w:sz w:val="24"/>
          <w:szCs w:val="24"/>
        </w:rPr>
      </w:pPr>
      <w:r w:rsidRPr="00A535ED">
        <w:rPr>
          <w:sz w:val="24"/>
          <w:szCs w:val="24"/>
        </w:rPr>
        <w:t>Attendu que par réquisitoire n°</w:t>
      </w:r>
      <w:r w:rsidR="00A535ED">
        <w:rPr>
          <w:sz w:val="24"/>
          <w:szCs w:val="24"/>
        </w:rPr>
        <w:t> </w:t>
      </w:r>
      <w:r w:rsidRPr="00A535ED">
        <w:rPr>
          <w:sz w:val="24"/>
          <w:szCs w:val="24"/>
        </w:rPr>
        <w:t xml:space="preserve">2011-76 </w:t>
      </w:r>
      <w:r w:rsidR="00293EE1">
        <w:rPr>
          <w:sz w:val="24"/>
          <w:szCs w:val="24"/>
        </w:rPr>
        <w:t>RQ-DB du</w:t>
      </w:r>
      <w:r w:rsidRPr="00A535ED">
        <w:rPr>
          <w:sz w:val="24"/>
          <w:szCs w:val="24"/>
        </w:rPr>
        <w:t xml:space="preserve"> 30 août 2011</w:t>
      </w:r>
      <w:r w:rsidR="00293EE1">
        <w:rPr>
          <w:sz w:val="24"/>
          <w:szCs w:val="24"/>
        </w:rPr>
        <w:t>,</w:t>
      </w:r>
      <w:r w:rsidRPr="00A535ED">
        <w:rPr>
          <w:sz w:val="24"/>
          <w:szCs w:val="24"/>
        </w:rPr>
        <w:t xml:space="preserve"> le Procureur général près la Cour des comptes a relevé que sur le fondement de 11 mandats </w:t>
      </w:r>
      <w:r w:rsidR="00884FFB">
        <w:rPr>
          <w:sz w:val="24"/>
          <w:szCs w:val="24"/>
        </w:rPr>
        <w:t>Mme Y</w:t>
      </w:r>
      <w:r w:rsidRPr="00A535ED">
        <w:rPr>
          <w:sz w:val="24"/>
          <w:szCs w:val="24"/>
        </w:rPr>
        <w:t xml:space="preserve"> et M.</w:t>
      </w:r>
      <w:r w:rsidR="00A535ED">
        <w:rPr>
          <w:sz w:val="24"/>
          <w:szCs w:val="24"/>
        </w:rPr>
        <w:t> </w:t>
      </w:r>
      <w:r w:rsidR="00884FFB">
        <w:rPr>
          <w:sz w:val="24"/>
          <w:szCs w:val="24"/>
        </w:rPr>
        <w:t>X</w:t>
      </w:r>
      <w:r w:rsidRPr="00A535ED">
        <w:rPr>
          <w:sz w:val="24"/>
          <w:szCs w:val="24"/>
        </w:rPr>
        <w:t xml:space="preserve"> ont</w:t>
      </w:r>
      <w:r w:rsidR="008F76BB">
        <w:rPr>
          <w:sz w:val="24"/>
          <w:szCs w:val="24"/>
        </w:rPr>
        <w:t xml:space="preserve"> </w:t>
      </w:r>
      <w:r w:rsidRPr="00A535ED">
        <w:rPr>
          <w:sz w:val="24"/>
          <w:szCs w:val="24"/>
        </w:rPr>
        <w:t>réglé en 2008 et 2009 des factures d’acquisition de matériel informatique à la société</w:t>
      </w:r>
      <w:r w:rsidR="008F76BB">
        <w:rPr>
          <w:sz w:val="24"/>
          <w:szCs w:val="24"/>
        </w:rPr>
        <w:t xml:space="preserve"> </w:t>
      </w:r>
      <w:r w:rsidRPr="00A535ED">
        <w:rPr>
          <w:sz w:val="24"/>
          <w:szCs w:val="24"/>
        </w:rPr>
        <w:t>INFOTELEM pour un total de 22 546,06</w:t>
      </w:r>
      <w:r w:rsidR="00A535ED">
        <w:rPr>
          <w:sz w:val="24"/>
          <w:szCs w:val="24"/>
        </w:rPr>
        <w:t> </w:t>
      </w:r>
      <w:r w:rsidRPr="00A535ED">
        <w:rPr>
          <w:sz w:val="24"/>
          <w:szCs w:val="24"/>
        </w:rPr>
        <w:t>€ alors que les mandats n’étaient appuyés que des photocopies des factures correspondantes ; que pour trois de ces factures le mandat était appuyé d’un certificat administratif du directeur de l’</w:t>
      </w:r>
      <w:r w:rsidR="00A535ED">
        <w:rPr>
          <w:sz w:val="24"/>
          <w:szCs w:val="24"/>
        </w:rPr>
        <w:t>U</w:t>
      </w:r>
      <w:r w:rsidRPr="00A535ED">
        <w:rPr>
          <w:sz w:val="24"/>
          <w:szCs w:val="24"/>
        </w:rPr>
        <w:t>niversité de technologie d’Evry</w:t>
      </w:r>
      <w:r w:rsidR="00D12183">
        <w:rPr>
          <w:sz w:val="24"/>
          <w:szCs w:val="24"/>
        </w:rPr>
        <w:t> </w:t>
      </w:r>
      <w:r w:rsidR="00A535ED">
        <w:rPr>
          <w:sz w:val="24"/>
          <w:szCs w:val="24"/>
        </w:rPr>
        <w:t>-</w:t>
      </w:r>
      <w:r w:rsidR="00D12183">
        <w:rPr>
          <w:sz w:val="24"/>
          <w:szCs w:val="24"/>
        </w:rPr>
        <w:t> </w:t>
      </w:r>
      <w:r w:rsidRPr="00A535ED">
        <w:rPr>
          <w:sz w:val="24"/>
          <w:szCs w:val="24"/>
        </w:rPr>
        <w:t>Val d’Essonne accompagné d’un duplicata de l’original mais que ce document, non signé, n’avait pas de valeur probante ; que le paiement ainsi effectué au vu de pièces justificatives insuffisantes était de nature à</w:t>
      </w:r>
      <w:r w:rsidR="008F76BB">
        <w:rPr>
          <w:sz w:val="24"/>
          <w:szCs w:val="24"/>
        </w:rPr>
        <w:t xml:space="preserve"> </w:t>
      </w:r>
      <w:r w:rsidRPr="00A535ED">
        <w:rPr>
          <w:sz w:val="24"/>
          <w:szCs w:val="24"/>
        </w:rPr>
        <w:t>engager la responsabilité personnelle et pécuniaire des comptables ;</w:t>
      </w:r>
    </w:p>
    <w:p w:rsidR="00F34712" w:rsidRPr="00A535ED" w:rsidRDefault="00F34712" w:rsidP="00A535ED">
      <w:pPr>
        <w:spacing w:after="360"/>
        <w:ind w:left="567" w:firstLine="1134"/>
        <w:jc w:val="both"/>
        <w:rPr>
          <w:sz w:val="24"/>
          <w:szCs w:val="24"/>
        </w:rPr>
      </w:pPr>
      <w:r w:rsidRPr="00A535ED">
        <w:rPr>
          <w:sz w:val="24"/>
          <w:szCs w:val="24"/>
        </w:rPr>
        <w:t>Attendu que M.</w:t>
      </w:r>
      <w:r w:rsidR="00A535ED">
        <w:rPr>
          <w:sz w:val="24"/>
          <w:szCs w:val="24"/>
        </w:rPr>
        <w:t> </w:t>
      </w:r>
      <w:r w:rsidR="00884FFB">
        <w:rPr>
          <w:sz w:val="24"/>
          <w:szCs w:val="24"/>
        </w:rPr>
        <w:t>X</w:t>
      </w:r>
      <w:r w:rsidRPr="00A535ED">
        <w:rPr>
          <w:sz w:val="24"/>
          <w:szCs w:val="24"/>
        </w:rPr>
        <w:t xml:space="preserve"> a produit à la Cour à l’appui des paiements en cause de nouvelles pièces ;</w:t>
      </w:r>
    </w:p>
    <w:p w:rsidR="00F34712" w:rsidRPr="00A535ED" w:rsidRDefault="00F34712" w:rsidP="00A535ED">
      <w:pPr>
        <w:spacing w:after="360"/>
        <w:ind w:left="567" w:firstLine="1134"/>
        <w:jc w:val="both"/>
        <w:rPr>
          <w:sz w:val="24"/>
          <w:szCs w:val="24"/>
        </w:rPr>
      </w:pPr>
      <w:r w:rsidRPr="00A535ED">
        <w:rPr>
          <w:sz w:val="24"/>
          <w:szCs w:val="24"/>
        </w:rPr>
        <w:t>Considérant que ces pièces constituent des justifications suffisantes en l’espèce au regard des obligations de contrôle des dépenses qui incombent aux comptables publics</w:t>
      </w:r>
      <w:r w:rsidR="008C171C">
        <w:rPr>
          <w:sz w:val="24"/>
          <w:szCs w:val="24"/>
        </w:rPr>
        <w:t xml:space="preserve"> </w:t>
      </w:r>
      <w:r w:rsidRPr="00A535ED">
        <w:rPr>
          <w:sz w:val="24"/>
          <w:szCs w:val="24"/>
        </w:rPr>
        <w:t>;</w:t>
      </w:r>
    </w:p>
    <w:p w:rsidR="00F34712" w:rsidRPr="00A535ED" w:rsidRDefault="00F34712" w:rsidP="00A535ED">
      <w:pPr>
        <w:spacing w:after="360"/>
        <w:ind w:left="567" w:firstLine="1134"/>
        <w:jc w:val="both"/>
        <w:rPr>
          <w:sz w:val="24"/>
          <w:szCs w:val="24"/>
        </w:rPr>
      </w:pPr>
      <w:r w:rsidRPr="00A535ED">
        <w:rPr>
          <w:sz w:val="24"/>
          <w:szCs w:val="24"/>
        </w:rPr>
        <w:lastRenderedPageBreak/>
        <w:t>Par ce motif</w:t>
      </w:r>
      <w:r w:rsidR="00A535ED" w:rsidRPr="00A535ED">
        <w:rPr>
          <w:sz w:val="24"/>
          <w:szCs w:val="24"/>
        </w:rPr>
        <w:t>,</w:t>
      </w:r>
    </w:p>
    <w:p w:rsidR="00F34712" w:rsidRPr="00A535ED" w:rsidRDefault="00F34712" w:rsidP="00A535ED">
      <w:pPr>
        <w:spacing w:after="360"/>
        <w:ind w:left="567" w:firstLine="1134"/>
        <w:jc w:val="both"/>
        <w:rPr>
          <w:sz w:val="24"/>
          <w:szCs w:val="24"/>
        </w:rPr>
      </w:pPr>
      <w:r w:rsidRPr="00A535ED">
        <w:rPr>
          <w:sz w:val="24"/>
          <w:szCs w:val="24"/>
        </w:rPr>
        <w:t xml:space="preserve">Il n’y a pas lieu de retenir de charge à l’encontre de </w:t>
      </w:r>
      <w:r w:rsidR="00884FFB">
        <w:rPr>
          <w:sz w:val="24"/>
          <w:szCs w:val="24"/>
        </w:rPr>
        <w:t>Mme Y</w:t>
      </w:r>
      <w:r w:rsidRPr="00A535ED">
        <w:rPr>
          <w:sz w:val="24"/>
          <w:szCs w:val="24"/>
        </w:rPr>
        <w:t xml:space="preserve"> au titre de l’exercice</w:t>
      </w:r>
      <w:r w:rsidR="008C171C">
        <w:rPr>
          <w:sz w:val="24"/>
          <w:szCs w:val="24"/>
        </w:rPr>
        <w:t> </w:t>
      </w:r>
      <w:r w:rsidRPr="00A535ED">
        <w:rPr>
          <w:sz w:val="24"/>
          <w:szCs w:val="24"/>
        </w:rPr>
        <w:t>2008, ni à l’encontre de M.</w:t>
      </w:r>
      <w:r w:rsidR="00A535ED">
        <w:rPr>
          <w:sz w:val="24"/>
          <w:szCs w:val="24"/>
        </w:rPr>
        <w:t> </w:t>
      </w:r>
      <w:r w:rsidR="00884FFB">
        <w:rPr>
          <w:sz w:val="24"/>
          <w:szCs w:val="24"/>
        </w:rPr>
        <w:t>X</w:t>
      </w:r>
      <w:r w:rsidRPr="00A535ED">
        <w:rPr>
          <w:sz w:val="24"/>
          <w:szCs w:val="24"/>
        </w:rPr>
        <w:t xml:space="preserve"> au titre des exercices 2008 et 2009. </w:t>
      </w:r>
    </w:p>
    <w:p w:rsidR="00F34712" w:rsidRPr="00AD02EB" w:rsidRDefault="00F34712" w:rsidP="00AD02EB">
      <w:pPr>
        <w:spacing w:after="360"/>
        <w:ind w:left="567" w:firstLine="1134"/>
        <w:jc w:val="both"/>
        <w:rPr>
          <w:b/>
          <w:i/>
          <w:sz w:val="24"/>
          <w:szCs w:val="24"/>
        </w:rPr>
      </w:pPr>
      <w:r w:rsidRPr="00AD02EB">
        <w:rPr>
          <w:b/>
          <w:i/>
          <w:sz w:val="24"/>
          <w:szCs w:val="24"/>
        </w:rPr>
        <w:t>Quatrième présomption de charge</w:t>
      </w:r>
    </w:p>
    <w:p w:rsidR="00F34712" w:rsidRPr="00A535ED" w:rsidRDefault="00F34712" w:rsidP="00AD02EB">
      <w:pPr>
        <w:spacing w:after="360"/>
        <w:ind w:left="567" w:firstLine="1134"/>
        <w:jc w:val="both"/>
        <w:rPr>
          <w:sz w:val="24"/>
          <w:szCs w:val="24"/>
        </w:rPr>
      </w:pPr>
      <w:r w:rsidRPr="00A535ED">
        <w:rPr>
          <w:sz w:val="24"/>
          <w:szCs w:val="24"/>
        </w:rPr>
        <w:t>Attendu que par le réquisitoire susvisé le Procureur général près la Cour des comptes a</w:t>
      </w:r>
      <w:r w:rsidR="008F76BB">
        <w:rPr>
          <w:sz w:val="24"/>
          <w:szCs w:val="24"/>
        </w:rPr>
        <w:t xml:space="preserve"> </w:t>
      </w:r>
      <w:r w:rsidRPr="00A535ED">
        <w:rPr>
          <w:sz w:val="24"/>
          <w:szCs w:val="24"/>
        </w:rPr>
        <w:t>relevé que M.</w:t>
      </w:r>
      <w:r w:rsidR="00EB508B">
        <w:rPr>
          <w:sz w:val="24"/>
          <w:szCs w:val="24"/>
        </w:rPr>
        <w:t> </w:t>
      </w:r>
      <w:r w:rsidR="00884FFB">
        <w:rPr>
          <w:sz w:val="24"/>
          <w:szCs w:val="24"/>
        </w:rPr>
        <w:t>X</w:t>
      </w:r>
      <w:r w:rsidRPr="00A535ED">
        <w:rPr>
          <w:sz w:val="24"/>
          <w:szCs w:val="24"/>
        </w:rPr>
        <w:t xml:space="preserve"> a, par mandat n°</w:t>
      </w:r>
      <w:r w:rsidR="00EB508B">
        <w:rPr>
          <w:sz w:val="24"/>
          <w:szCs w:val="24"/>
        </w:rPr>
        <w:t> </w:t>
      </w:r>
      <w:r w:rsidRPr="00A535ED">
        <w:rPr>
          <w:sz w:val="24"/>
          <w:szCs w:val="24"/>
        </w:rPr>
        <w:t>5258</w:t>
      </w:r>
      <w:r w:rsidR="008F76BB">
        <w:rPr>
          <w:sz w:val="24"/>
          <w:szCs w:val="24"/>
        </w:rPr>
        <w:t>,</w:t>
      </w:r>
      <w:r w:rsidRPr="00A535ED">
        <w:rPr>
          <w:sz w:val="24"/>
          <w:szCs w:val="24"/>
        </w:rPr>
        <w:t xml:space="preserve"> versé à l’agent comptable de l’Université Evry </w:t>
      </w:r>
      <w:r w:rsidR="00EB508B">
        <w:rPr>
          <w:sz w:val="24"/>
          <w:szCs w:val="24"/>
        </w:rPr>
        <w:t>- V</w:t>
      </w:r>
      <w:r w:rsidRPr="00A535ED">
        <w:rPr>
          <w:sz w:val="24"/>
          <w:szCs w:val="24"/>
        </w:rPr>
        <w:t>al d’Essonne une indemnité de 2</w:t>
      </w:r>
      <w:r w:rsidR="00EB508B">
        <w:rPr>
          <w:sz w:val="24"/>
          <w:szCs w:val="24"/>
        </w:rPr>
        <w:t> </w:t>
      </w:r>
      <w:r w:rsidRPr="00A535ED">
        <w:rPr>
          <w:sz w:val="24"/>
          <w:szCs w:val="24"/>
        </w:rPr>
        <w:t>199,38</w:t>
      </w:r>
      <w:r w:rsidR="00EB508B">
        <w:rPr>
          <w:sz w:val="24"/>
          <w:szCs w:val="24"/>
        </w:rPr>
        <w:t> </w:t>
      </w:r>
      <w:r w:rsidRPr="00A535ED">
        <w:rPr>
          <w:sz w:val="24"/>
          <w:szCs w:val="24"/>
        </w:rPr>
        <w:t>€ en l’absence des pièces réglementaires et notamment d’une décision d’attribution des indemnités au comptable en fonction et à son prédécesseur et d’un état liquidatif de l’ordonnateur faisant référence au texte ayant institué l’indemnité ;</w:t>
      </w:r>
      <w:r w:rsidR="00EB508B">
        <w:rPr>
          <w:sz w:val="24"/>
          <w:szCs w:val="24"/>
        </w:rPr>
        <w:t xml:space="preserve"> </w:t>
      </w:r>
      <w:r w:rsidRPr="00A535ED">
        <w:rPr>
          <w:sz w:val="24"/>
          <w:szCs w:val="24"/>
        </w:rPr>
        <w:t>que l’absence de ces pièces à l’appui du paiement paraissait de nature à engager la responsabilité personnelle et pécuniaire des comptables ;</w:t>
      </w:r>
    </w:p>
    <w:p w:rsidR="00F34712" w:rsidRPr="00A535ED" w:rsidRDefault="00F34712" w:rsidP="00AD02EB">
      <w:pPr>
        <w:spacing w:after="360"/>
        <w:ind w:left="567" w:firstLine="1134"/>
        <w:jc w:val="both"/>
        <w:rPr>
          <w:sz w:val="24"/>
          <w:szCs w:val="24"/>
        </w:rPr>
      </w:pPr>
      <w:r w:rsidRPr="00A535ED">
        <w:rPr>
          <w:sz w:val="24"/>
          <w:szCs w:val="24"/>
        </w:rPr>
        <w:t>Attendu que M.</w:t>
      </w:r>
      <w:r w:rsidR="00EB508B">
        <w:rPr>
          <w:sz w:val="24"/>
          <w:szCs w:val="24"/>
        </w:rPr>
        <w:t> </w:t>
      </w:r>
      <w:r w:rsidR="00884FFB">
        <w:rPr>
          <w:sz w:val="24"/>
          <w:szCs w:val="24"/>
        </w:rPr>
        <w:t>X</w:t>
      </w:r>
      <w:r w:rsidRPr="00A535ED">
        <w:rPr>
          <w:sz w:val="24"/>
          <w:szCs w:val="24"/>
        </w:rPr>
        <w:t xml:space="preserve"> a produit à l’appui de sa réponse la décision d’attribution à </w:t>
      </w:r>
      <w:r w:rsidR="00884FFB">
        <w:rPr>
          <w:sz w:val="24"/>
          <w:szCs w:val="24"/>
        </w:rPr>
        <w:t>Mme Y</w:t>
      </w:r>
      <w:r w:rsidRPr="00A535ED">
        <w:rPr>
          <w:sz w:val="24"/>
          <w:szCs w:val="24"/>
        </w:rPr>
        <w:t xml:space="preserve"> et à lui-même de l’indemnité en cause, signée du président de l’Université et qui vise le décret n°</w:t>
      </w:r>
      <w:r w:rsidR="00EB508B">
        <w:rPr>
          <w:sz w:val="24"/>
          <w:szCs w:val="24"/>
        </w:rPr>
        <w:t> </w:t>
      </w:r>
      <w:r w:rsidRPr="00A535ED">
        <w:rPr>
          <w:sz w:val="24"/>
          <w:szCs w:val="24"/>
        </w:rPr>
        <w:t>85-618 du 4</w:t>
      </w:r>
      <w:r w:rsidR="00EB508B">
        <w:rPr>
          <w:sz w:val="24"/>
          <w:szCs w:val="24"/>
        </w:rPr>
        <w:t> </w:t>
      </w:r>
      <w:r w:rsidRPr="00A535ED">
        <w:rPr>
          <w:sz w:val="24"/>
          <w:szCs w:val="24"/>
        </w:rPr>
        <w:t>février</w:t>
      </w:r>
      <w:r w:rsidR="00EB508B">
        <w:rPr>
          <w:sz w:val="24"/>
          <w:szCs w:val="24"/>
        </w:rPr>
        <w:t> </w:t>
      </w:r>
      <w:r w:rsidRPr="00A535ED">
        <w:rPr>
          <w:sz w:val="24"/>
          <w:szCs w:val="24"/>
        </w:rPr>
        <w:t>19</w:t>
      </w:r>
      <w:r w:rsidR="00293EE1">
        <w:rPr>
          <w:sz w:val="24"/>
          <w:szCs w:val="24"/>
        </w:rPr>
        <w:t>85</w:t>
      </w:r>
      <w:r w:rsidRPr="00A535ED">
        <w:rPr>
          <w:sz w:val="24"/>
          <w:szCs w:val="24"/>
        </w:rPr>
        <w:t xml:space="preserve"> prévoyant une rétribution pour services rendus lors de la participation à des opérations de recherche ; qu’il résulte des pièces produites que le montant alloué à chacun des agents comptables n’excède pas le montant maximal prévu par le décret précité pour ces indemnités ;</w:t>
      </w:r>
    </w:p>
    <w:p w:rsidR="00F34712" w:rsidRPr="00A535ED" w:rsidRDefault="00F34712" w:rsidP="00AD02EB">
      <w:pPr>
        <w:spacing w:after="360"/>
        <w:ind w:left="567" w:firstLine="1134"/>
        <w:jc w:val="both"/>
        <w:rPr>
          <w:sz w:val="24"/>
          <w:szCs w:val="24"/>
        </w:rPr>
      </w:pPr>
      <w:r w:rsidRPr="00A535ED">
        <w:rPr>
          <w:sz w:val="24"/>
          <w:szCs w:val="24"/>
        </w:rPr>
        <w:t>Considérant que le comptable n’a pas méconnu les obligations de contrôle de la validité de la dépense prévues par les articles 12 et 13 du décret n°</w:t>
      </w:r>
      <w:r w:rsidR="00EB508B">
        <w:rPr>
          <w:sz w:val="24"/>
          <w:szCs w:val="24"/>
        </w:rPr>
        <w:t> </w:t>
      </w:r>
      <w:r w:rsidRPr="00A535ED">
        <w:rPr>
          <w:sz w:val="24"/>
          <w:szCs w:val="24"/>
        </w:rPr>
        <w:t>62-1587 du 29</w:t>
      </w:r>
      <w:r w:rsidR="00F87FC2">
        <w:rPr>
          <w:sz w:val="24"/>
          <w:szCs w:val="24"/>
        </w:rPr>
        <w:t> </w:t>
      </w:r>
      <w:r w:rsidRPr="00A535ED">
        <w:rPr>
          <w:sz w:val="24"/>
          <w:szCs w:val="24"/>
        </w:rPr>
        <w:t>décembre</w:t>
      </w:r>
      <w:r w:rsidR="00F87FC2">
        <w:rPr>
          <w:sz w:val="24"/>
          <w:szCs w:val="24"/>
        </w:rPr>
        <w:t xml:space="preserve"> 1962 </w:t>
      </w:r>
      <w:r w:rsidRPr="00A535ED">
        <w:rPr>
          <w:sz w:val="24"/>
          <w:szCs w:val="24"/>
        </w:rPr>
        <w:t>modifié ;</w:t>
      </w:r>
    </w:p>
    <w:p w:rsidR="00F34712" w:rsidRPr="00EB508B" w:rsidRDefault="00F34712" w:rsidP="00AD02EB">
      <w:pPr>
        <w:spacing w:after="360"/>
        <w:ind w:left="567" w:firstLine="1134"/>
        <w:jc w:val="both"/>
        <w:rPr>
          <w:sz w:val="24"/>
          <w:szCs w:val="24"/>
        </w:rPr>
      </w:pPr>
      <w:r w:rsidRPr="00EB508B">
        <w:rPr>
          <w:sz w:val="24"/>
          <w:szCs w:val="24"/>
        </w:rPr>
        <w:t>Par ces motifs</w:t>
      </w:r>
      <w:r w:rsidR="00EB508B">
        <w:rPr>
          <w:sz w:val="24"/>
          <w:szCs w:val="24"/>
        </w:rPr>
        <w:t>,</w:t>
      </w:r>
    </w:p>
    <w:p w:rsidR="00F34712" w:rsidRPr="00A535ED" w:rsidRDefault="00F34712" w:rsidP="00AD02EB">
      <w:pPr>
        <w:spacing w:after="360"/>
        <w:ind w:left="567" w:firstLine="1134"/>
        <w:jc w:val="both"/>
        <w:rPr>
          <w:sz w:val="24"/>
          <w:szCs w:val="24"/>
        </w:rPr>
      </w:pPr>
      <w:r w:rsidRPr="00A535ED">
        <w:rPr>
          <w:sz w:val="24"/>
          <w:szCs w:val="24"/>
        </w:rPr>
        <w:t>Il n’y a pas lieu de retenir de charge</w:t>
      </w:r>
      <w:r w:rsidR="00F87FC2">
        <w:rPr>
          <w:sz w:val="24"/>
          <w:szCs w:val="24"/>
        </w:rPr>
        <w:t>,</w:t>
      </w:r>
      <w:r w:rsidRPr="00A535ED">
        <w:rPr>
          <w:sz w:val="24"/>
          <w:szCs w:val="24"/>
        </w:rPr>
        <w:t xml:space="preserve"> à ce titre</w:t>
      </w:r>
      <w:r w:rsidR="00F87FC2">
        <w:rPr>
          <w:sz w:val="24"/>
          <w:szCs w:val="24"/>
        </w:rPr>
        <w:t>,</w:t>
      </w:r>
      <w:r w:rsidRPr="00A535ED">
        <w:rPr>
          <w:sz w:val="24"/>
          <w:szCs w:val="24"/>
        </w:rPr>
        <w:t xml:space="preserve"> à l’encontre de M.</w:t>
      </w:r>
      <w:r w:rsidR="00EB508B">
        <w:rPr>
          <w:sz w:val="24"/>
          <w:szCs w:val="24"/>
        </w:rPr>
        <w:t> </w:t>
      </w:r>
      <w:r w:rsidR="00884FFB">
        <w:rPr>
          <w:sz w:val="24"/>
          <w:szCs w:val="24"/>
        </w:rPr>
        <w:t>X</w:t>
      </w:r>
      <w:r w:rsidRPr="00A535ED">
        <w:rPr>
          <w:sz w:val="24"/>
          <w:szCs w:val="24"/>
        </w:rPr>
        <w:t xml:space="preserve"> au titre de l’exercice 2008.</w:t>
      </w:r>
    </w:p>
    <w:p w:rsidR="00F34712" w:rsidRPr="00F845D5" w:rsidRDefault="00F34712" w:rsidP="00F845D5">
      <w:pPr>
        <w:spacing w:after="360"/>
        <w:ind w:left="567" w:firstLine="1134"/>
        <w:jc w:val="both"/>
        <w:rPr>
          <w:b/>
          <w:i/>
          <w:sz w:val="24"/>
          <w:szCs w:val="24"/>
        </w:rPr>
      </w:pPr>
      <w:r w:rsidRPr="00F845D5">
        <w:rPr>
          <w:b/>
          <w:i/>
          <w:sz w:val="24"/>
          <w:szCs w:val="24"/>
        </w:rPr>
        <w:t>Cinquième présomption de charge</w:t>
      </w:r>
    </w:p>
    <w:p w:rsidR="00F34712" w:rsidRPr="00A535ED" w:rsidRDefault="00F34712" w:rsidP="00F845D5">
      <w:pPr>
        <w:spacing w:after="360"/>
        <w:ind w:left="567" w:firstLine="1134"/>
        <w:jc w:val="both"/>
        <w:rPr>
          <w:sz w:val="24"/>
          <w:szCs w:val="24"/>
        </w:rPr>
      </w:pPr>
      <w:r w:rsidRPr="00A535ED">
        <w:rPr>
          <w:sz w:val="24"/>
          <w:szCs w:val="24"/>
        </w:rPr>
        <w:t>Attendu que par le réquisitoire précité le Procureur général près la Cour des comptes a</w:t>
      </w:r>
      <w:r w:rsidR="005B0152">
        <w:rPr>
          <w:sz w:val="24"/>
          <w:szCs w:val="24"/>
        </w:rPr>
        <w:t> </w:t>
      </w:r>
      <w:r w:rsidRPr="00A535ED">
        <w:rPr>
          <w:sz w:val="24"/>
          <w:szCs w:val="24"/>
        </w:rPr>
        <w:t>relevé que M.</w:t>
      </w:r>
      <w:r w:rsidR="005B0152">
        <w:rPr>
          <w:sz w:val="24"/>
          <w:szCs w:val="24"/>
        </w:rPr>
        <w:t> </w:t>
      </w:r>
      <w:r w:rsidR="00884FFB">
        <w:rPr>
          <w:sz w:val="24"/>
          <w:szCs w:val="24"/>
        </w:rPr>
        <w:t>X</w:t>
      </w:r>
      <w:r w:rsidRPr="00A535ED">
        <w:rPr>
          <w:sz w:val="24"/>
          <w:szCs w:val="24"/>
        </w:rPr>
        <w:t xml:space="preserve"> avait payé par mandat n°</w:t>
      </w:r>
      <w:r w:rsidR="005B0152">
        <w:rPr>
          <w:sz w:val="24"/>
          <w:szCs w:val="24"/>
        </w:rPr>
        <w:t> </w:t>
      </w:r>
      <w:r w:rsidRPr="00A535ED">
        <w:rPr>
          <w:sz w:val="24"/>
          <w:szCs w:val="24"/>
        </w:rPr>
        <w:t>4076 du 26</w:t>
      </w:r>
      <w:r w:rsidR="005B0152">
        <w:rPr>
          <w:sz w:val="24"/>
          <w:szCs w:val="24"/>
        </w:rPr>
        <w:t> </w:t>
      </w:r>
      <w:r w:rsidRPr="00A535ED">
        <w:rPr>
          <w:sz w:val="24"/>
          <w:szCs w:val="24"/>
        </w:rPr>
        <w:t>novembre</w:t>
      </w:r>
      <w:r w:rsidR="008D4251">
        <w:rPr>
          <w:sz w:val="24"/>
          <w:szCs w:val="24"/>
        </w:rPr>
        <w:t> </w:t>
      </w:r>
      <w:r w:rsidRPr="00A535ED">
        <w:rPr>
          <w:sz w:val="24"/>
          <w:szCs w:val="24"/>
        </w:rPr>
        <w:t>200</w:t>
      </w:r>
      <w:r w:rsidR="00F87FC2">
        <w:rPr>
          <w:sz w:val="24"/>
          <w:szCs w:val="24"/>
        </w:rPr>
        <w:t>9</w:t>
      </w:r>
      <w:r w:rsidRPr="00A535ED">
        <w:rPr>
          <w:sz w:val="24"/>
          <w:szCs w:val="24"/>
        </w:rPr>
        <w:t xml:space="preserve"> à l’association</w:t>
      </w:r>
      <w:r w:rsidR="008D4251">
        <w:rPr>
          <w:sz w:val="24"/>
          <w:szCs w:val="24"/>
        </w:rPr>
        <w:t xml:space="preserve"> </w:t>
      </w:r>
      <w:r w:rsidRPr="00A535ED">
        <w:rPr>
          <w:sz w:val="24"/>
          <w:szCs w:val="24"/>
        </w:rPr>
        <w:t>EVE’ASION une subvention de 1</w:t>
      </w:r>
      <w:r w:rsidR="00DB65AD">
        <w:rPr>
          <w:sz w:val="24"/>
          <w:szCs w:val="24"/>
        </w:rPr>
        <w:t> </w:t>
      </w:r>
      <w:r w:rsidRPr="00A535ED">
        <w:rPr>
          <w:sz w:val="24"/>
          <w:szCs w:val="24"/>
        </w:rPr>
        <w:t>000</w:t>
      </w:r>
      <w:r w:rsidR="00DB65AD">
        <w:rPr>
          <w:sz w:val="24"/>
          <w:szCs w:val="24"/>
        </w:rPr>
        <w:t> </w:t>
      </w:r>
      <w:r w:rsidRPr="00A535ED">
        <w:rPr>
          <w:sz w:val="24"/>
          <w:szCs w:val="24"/>
        </w:rPr>
        <w:t>€ pour l’organisation de l’arbre de Noël des personnels de l’Université ; qu’à l’appui du mandat ne figurait pas la décision d’attribution de la subvention ; que</w:t>
      </w:r>
      <w:r w:rsidR="008D4251">
        <w:rPr>
          <w:sz w:val="24"/>
          <w:szCs w:val="24"/>
        </w:rPr>
        <w:t xml:space="preserve"> </w:t>
      </w:r>
      <w:r w:rsidRPr="00A535ED">
        <w:rPr>
          <w:sz w:val="24"/>
          <w:szCs w:val="24"/>
        </w:rPr>
        <w:t xml:space="preserve">l’absence de cette pièce était de nature à engager la responsabilité personnelle et pécuniaire du comptable ; </w:t>
      </w:r>
    </w:p>
    <w:p w:rsidR="00F34712" w:rsidRPr="00A535ED" w:rsidRDefault="00F34712" w:rsidP="00F845D5">
      <w:pPr>
        <w:spacing w:after="360"/>
        <w:ind w:left="567" w:firstLine="1134"/>
        <w:jc w:val="both"/>
        <w:rPr>
          <w:sz w:val="24"/>
          <w:szCs w:val="24"/>
        </w:rPr>
      </w:pPr>
      <w:r w:rsidRPr="00A535ED">
        <w:rPr>
          <w:sz w:val="24"/>
          <w:szCs w:val="24"/>
        </w:rPr>
        <w:t>Attendu que le comptable a produit à l’appui de sa réponse une décision d’attribution signée de l’ordonnateur d’un complément de 1</w:t>
      </w:r>
      <w:r w:rsidR="00DB65AD">
        <w:rPr>
          <w:sz w:val="24"/>
          <w:szCs w:val="24"/>
        </w:rPr>
        <w:t> </w:t>
      </w:r>
      <w:r w:rsidRPr="00A535ED">
        <w:rPr>
          <w:sz w:val="24"/>
          <w:szCs w:val="24"/>
        </w:rPr>
        <w:t>000</w:t>
      </w:r>
      <w:r w:rsidR="00DB65AD">
        <w:rPr>
          <w:sz w:val="24"/>
          <w:szCs w:val="24"/>
        </w:rPr>
        <w:t> </w:t>
      </w:r>
      <w:r w:rsidRPr="00A535ED">
        <w:rPr>
          <w:sz w:val="24"/>
          <w:szCs w:val="24"/>
        </w:rPr>
        <w:t>€ à la convention liant l’association à</w:t>
      </w:r>
      <w:r w:rsidR="008D4251">
        <w:rPr>
          <w:sz w:val="24"/>
          <w:szCs w:val="24"/>
        </w:rPr>
        <w:t xml:space="preserve"> </w:t>
      </w:r>
      <w:r w:rsidRPr="00A535ED">
        <w:rPr>
          <w:sz w:val="24"/>
          <w:szCs w:val="24"/>
        </w:rPr>
        <w:t>l’</w:t>
      </w:r>
      <w:r w:rsidR="00F87FC2">
        <w:rPr>
          <w:sz w:val="24"/>
          <w:szCs w:val="24"/>
        </w:rPr>
        <w:t>U</w:t>
      </w:r>
      <w:r w:rsidRPr="00A535ED">
        <w:rPr>
          <w:sz w:val="24"/>
          <w:szCs w:val="24"/>
        </w:rPr>
        <w:t>niversité ;</w:t>
      </w:r>
    </w:p>
    <w:p w:rsidR="00F34712" w:rsidRPr="00A535ED" w:rsidRDefault="00F34712" w:rsidP="00F845D5">
      <w:pPr>
        <w:spacing w:after="360"/>
        <w:ind w:left="567" w:firstLine="1134"/>
        <w:jc w:val="both"/>
        <w:rPr>
          <w:sz w:val="24"/>
          <w:szCs w:val="24"/>
        </w:rPr>
      </w:pPr>
      <w:r w:rsidRPr="00A535ED">
        <w:rPr>
          <w:sz w:val="24"/>
          <w:szCs w:val="24"/>
        </w:rPr>
        <w:t>Considérant que la réponse et les pièces produites par M.</w:t>
      </w:r>
      <w:r w:rsidR="00DB65AD">
        <w:rPr>
          <w:sz w:val="24"/>
          <w:szCs w:val="24"/>
        </w:rPr>
        <w:t> </w:t>
      </w:r>
      <w:r w:rsidR="00884FFB">
        <w:rPr>
          <w:sz w:val="24"/>
          <w:szCs w:val="24"/>
        </w:rPr>
        <w:t>X</w:t>
      </w:r>
      <w:r w:rsidRPr="00A535ED">
        <w:rPr>
          <w:sz w:val="24"/>
          <w:szCs w:val="24"/>
        </w:rPr>
        <w:t xml:space="preserve"> constituent des justifications suffisantes au regard des obligations règlementaires de contrôle de la validité de cette dépense ;</w:t>
      </w:r>
    </w:p>
    <w:p w:rsidR="00F34712" w:rsidRPr="00DB65AD" w:rsidRDefault="00F34712" w:rsidP="00F845D5">
      <w:pPr>
        <w:spacing w:after="360"/>
        <w:ind w:left="567" w:firstLine="1134"/>
        <w:jc w:val="both"/>
        <w:rPr>
          <w:sz w:val="24"/>
          <w:szCs w:val="24"/>
        </w:rPr>
      </w:pPr>
      <w:r w:rsidRPr="00DB65AD">
        <w:rPr>
          <w:sz w:val="24"/>
          <w:szCs w:val="24"/>
        </w:rPr>
        <w:t>Par ce motif</w:t>
      </w:r>
      <w:r w:rsidR="00DB65AD">
        <w:rPr>
          <w:sz w:val="24"/>
          <w:szCs w:val="24"/>
        </w:rPr>
        <w:t>,</w:t>
      </w:r>
    </w:p>
    <w:p w:rsidR="00F34712" w:rsidRPr="00A535ED" w:rsidRDefault="00F34712" w:rsidP="00F845D5">
      <w:pPr>
        <w:spacing w:after="360"/>
        <w:ind w:left="567" w:firstLine="1134"/>
        <w:jc w:val="both"/>
        <w:rPr>
          <w:sz w:val="24"/>
          <w:szCs w:val="24"/>
        </w:rPr>
      </w:pPr>
      <w:r w:rsidRPr="00A535ED">
        <w:rPr>
          <w:sz w:val="24"/>
          <w:szCs w:val="24"/>
        </w:rPr>
        <w:lastRenderedPageBreak/>
        <w:t>Il n’y a pas lieu de retenir de charge</w:t>
      </w:r>
      <w:r w:rsidR="004456C8">
        <w:rPr>
          <w:sz w:val="24"/>
          <w:szCs w:val="24"/>
        </w:rPr>
        <w:t>,</w:t>
      </w:r>
      <w:r w:rsidRPr="00A535ED">
        <w:rPr>
          <w:sz w:val="24"/>
          <w:szCs w:val="24"/>
        </w:rPr>
        <w:t xml:space="preserve"> à ce titre</w:t>
      </w:r>
      <w:r w:rsidR="004456C8">
        <w:rPr>
          <w:sz w:val="24"/>
          <w:szCs w:val="24"/>
        </w:rPr>
        <w:t>,</w:t>
      </w:r>
      <w:r w:rsidRPr="00A535ED">
        <w:rPr>
          <w:sz w:val="24"/>
          <w:szCs w:val="24"/>
        </w:rPr>
        <w:t xml:space="preserve"> à l’encontre de M.</w:t>
      </w:r>
      <w:r w:rsidR="00DB65AD">
        <w:rPr>
          <w:sz w:val="24"/>
          <w:szCs w:val="24"/>
        </w:rPr>
        <w:t> </w:t>
      </w:r>
      <w:r w:rsidR="00884FFB">
        <w:rPr>
          <w:sz w:val="24"/>
          <w:szCs w:val="24"/>
        </w:rPr>
        <w:t>X</w:t>
      </w:r>
      <w:r w:rsidRPr="00A535ED">
        <w:rPr>
          <w:sz w:val="24"/>
          <w:szCs w:val="24"/>
        </w:rPr>
        <w:t xml:space="preserve"> au titre de l’exercice</w:t>
      </w:r>
      <w:r w:rsidR="00DB65AD">
        <w:rPr>
          <w:sz w:val="24"/>
          <w:szCs w:val="24"/>
        </w:rPr>
        <w:t> </w:t>
      </w:r>
      <w:r w:rsidRPr="00A535ED">
        <w:rPr>
          <w:sz w:val="24"/>
          <w:szCs w:val="24"/>
        </w:rPr>
        <w:t>2009.</w:t>
      </w:r>
    </w:p>
    <w:p w:rsidR="00F34712" w:rsidRPr="00DB65AD" w:rsidRDefault="00F34712" w:rsidP="00DB65AD">
      <w:pPr>
        <w:spacing w:after="360"/>
        <w:ind w:left="567" w:firstLine="1134"/>
        <w:jc w:val="both"/>
        <w:rPr>
          <w:b/>
          <w:i/>
          <w:sz w:val="24"/>
          <w:szCs w:val="24"/>
        </w:rPr>
      </w:pPr>
      <w:r w:rsidRPr="00DB65AD">
        <w:rPr>
          <w:b/>
          <w:i/>
          <w:sz w:val="24"/>
          <w:szCs w:val="24"/>
        </w:rPr>
        <w:t>Sixième présomption de charge</w:t>
      </w:r>
    </w:p>
    <w:p w:rsidR="00F34712" w:rsidRPr="00DB65AD" w:rsidRDefault="00F34712" w:rsidP="00DB65AD">
      <w:pPr>
        <w:spacing w:after="360"/>
        <w:ind w:left="567" w:firstLine="1134"/>
        <w:jc w:val="both"/>
        <w:rPr>
          <w:sz w:val="24"/>
          <w:szCs w:val="24"/>
        </w:rPr>
      </w:pPr>
      <w:r w:rsidRPr="00DB65AD">
        <w:rPr>
          <w:sz w:val="24"/>
          <w:szCs w:val="24"/>
        </w:rPr>
        <w:t>Attendu que par le réquisitoire susvisé le Procureur général près la Cour des comptes a</w:t>
      </w:r>
      <w:r w:rsidR="008D4251">
        <w:rPr>
          <w:sz w:val="24"/>
          <w:szCs w:val="24"/>
        </w:rPr>
        <w:t xml:space="preserve"> </w:t>
      </w:r>
      <w:r w:rsidRPr="00DB65AD">
        <w:rPr>
          <w:sz w:val="24"/>
          <w:szCs w:val="24"/>
        </w:rPr>
        <w:t>relevé que sur le fondement d’un ordre de réduction de recettes n°</w:t>
      </w:r>
      <w:r w:rsidR="00DB65AD">
        <w:rPr>
          <w:sz w:val="24"/>
          <w:szCs w:val="24"/>
        </w:rPr>
        <w:t> </w:t>
      </w:r>
      <w:r w:rsidRPr="00DB65AD">
        <w:rPr>
          <w:sz w:val="24"/>
          <w:szCs w:val="24"/>
        </w:rPr>
        <w:t>3 du 29</w:t>
      </w:r>
      <w:r w:rsidR="008C171C">
        <w:rPr>
          <w:sz w:val="24"/>
          <w:szCs w:val="24"/>
        </w:rPr>
        <w:t> </w:t>
      </w:r>
      <w:r w:rsidRPr="00DB65AD">
        <w:rPr>
          <w:sz w:val="24"/>
          <w:szCs w:val="24"/>
        </w:rPr>
        <w:t>septembre</w:t>
      </w:r>
      <w:r w:rsidR="008C171C">
        <w:rPr>
          <w:sz w:val="24"/>
          <w:szCs w:val="24"/>
        </w:rPr>
        <w:t> </w:t>
      </w:r>
      <w:r w:rsidRPr="00DB65AD">
        <w:rPr>
          <w:sz w:val="24"/>
          <w:szCs w:val="24"/>
        </w:rPr>
        <w:t>200</w:t>
      </w:r>
      <w:r w:rsidR="00293EE1">
        <w:rPr>
          <w:sz w:val="24"/>
          <w:szCs w:val="24"/>
        </w:rPr>
        <w:t>8</w:t>
      </w:r>
      <w:r w:rsidRPr="00DB65AD">
        <w:rPr>
          <w:sz w:val="24"/>
          <w:szCs w:val="24"/>
        </w:rPr>
        <w:t xml:space="preserve">, </w:t>
      </w:r>
      <w:r w:rsidR="00884FFB">
        <w:rPr>
          <w:sz w:val="24"/>
          <w:szCs w:val="24"/>
        </w:rPr>
        <w:t>Mme Y</w:t>
      </w:r>
      <w:r w:rsidRPr="00DB65AD">
        <w:rPr>
          <w:sz w:val="24"/>
          <w:szCs w:val="24"/>
        </w:rPr>
        <w:t xml:space="preserve"> a procédé pour un montant total de 2</w:t>
      </w:r>
      <w:r w:rsidR="00DB65AD">
        <w:rPr>
          <w:sz w:val="24"/>
          <w:szCs w:val="24"/>
        </w:rPr>
        <w:t> </w:t>
      </w:r>
      <w:r w:rsidRPr="00DB65AD">
        <w:rPr>
          <w:sz w:val="24"/>
          <w:szCs w:val="24"/>
        </w:rPr>
        <w:t>787,34</w:t>
      </w:r>
      <w:r w:rsidR="00DB65AD">
        <w:rPr>
          <w:sz w:val="24"/>
          <w:szCs w:val="24"/>
        </w:rPr>
        <w:t> </w:t>
      </w:r>
      <w:r w:rsidRPr="00DB65AD">
        <w:rPr>
          <w:sz w:val="24"/>
          <w:szCs w:val="24"/>
        </w:rPr>
        <w:t>€, à l’annulation de cinq créances, « atteintes par la déchéance quadriennale » selon le certificat produit par le président de</w:t>
      </w:r>
      <w:r w:rsidR="008D4251">
        <w:rPr>
          <w:sz w:val="24"/>
          <w:szCs w:val="24"/>
        </w:rPr>
        <w:t xml:space="preserve"> </w:t>
      </w:r>
      <w:r w:rsidRPr="00DB65AD">
        <w:rPr>
          <w:sz w:val="24"/>
          <w:szCs w:val="24"/>
        </w:rPr>
        <w:t>l’</w:t>
      </w:r>
      <w:r w:rsidR="004456C8">
        <w:rPr>
          <w:sz w:val="24"/>
          <w:szCs w:val="24"/>
        </w:rPr>
        <w:t>U</w:t>
      </w:r>
      <w:r w:rsidRPr="00DB65AD">
        <w:rPr>
          <w:sz w:val="24"/>
          <w:szCs w:val="24"/>
        </w:rPr>
        <w:t>niversité</w:t>
      </w:r>
      <w:r w:rsidR="004456C8">
        <w:rPr>
          <w:sz w:val="24"/>
          <w:szCs w:val="24"/>
        </w:rPr>
        <w:t> </w:t>
      </w:r>
      <w:r w:rsidRPr="00DB65AD">
        <w:rPr>
          <w:sz w:val="24"/>
          <w:szCs w:val="24"/>
        </w:rPr>
        <w:t>; que cette opération correspondait en réalité à une admission en non-valeur et non à une réduction de titre de recettes ; qu’ainsi effectuée elle était irrégulière et de nature à engager la responsabilité personnelle et pécuniaire de la comptable</w:t>
      </w:r>
      <w:r w:rsidR="008D4251">
        <w:rPr>
          <w:sz w:val="24"/>
          <w:szCs w:val="24"/>
        </w:rPr>
        <w:t xml:space="preserve"> </w:t>
      </w:r>
      <w:r w:rsidRPr="00DB65AD">
        <w:rPr>
          <w:sz w:val="24"/>
          <w:szCs w:val="24"/>
        </w:rPr>
        <w:t xml:space="preserve">alors en fonction ; </w:t>
      </w:r>
    </w:p>
    <w:p w:rsidR="00F34712" w:rsidRPr="00DB65AD" w:rsidRDefault="00F34712" w:rsidP="00DB65AD">
      <w:pPr>
        <w:spacing w:after="360"/>
        <w:ind w:left="567" w:firstLine="1134"/>
        <w:jc w:val="both"/>
        <w:rPr>
          <w:sz w:val="24"/>
          <w:szCs w:val="24"/>
        </w:rPr>
      </w:pPr>
      <w:r w:rsidRPr="00DB65AD">
        <w:rPr>
          <w:sz w:val="24"/>
          <w:szCs w:val="24"/>
        </w:rPr>
        <w:t>Attendu qu’il ressort des éléments de réponse du comptable et des écritures produites à</w:t>
      </w:r>
      <w:r w:rsidR="008D4251">
        <w:rPr>
          <w:sz w:val="24"/>
          <w:szCs w:val="24"/>
        </w:rPr>
        <w:t xml:space="preserve"> </w:t>
      </w:r>
      <w:r w:rsidRPr="00DB65AD">
        <w:rPr>
          <w:sz w:val="24"/>
          <w:szCs w:val="24"/>
        </w:rPr>
        <w:t>l’appui de celle-ci que la réduction de recettes en cause visait à compenser, au terme de cinq années sans affectation budgétaire, des trop-perçus de recettes encaissés sans objet en 2003 et constatés en produits exceptionnels simultanément à cette réduction</w:t>
      </w:r>
      <w:r w:rsidR="006C0A24">
        <w:rPr>
          <w:sz w:val="24"/>
          <w:szCs w:val="24"/>
        </w:rPr>
        <w:t xml:space="preserve"> </w:t>
      </w:r>
      <w:r w:rsidRPr="00DB65AD">
        <w:rPr>
          <w:sz w:val="24"/>
          <w:szCs w:val="24"/>
        </w:rPr>
        <w:t>;</w:t>
      </w:r>
    </w:p>
    <w:p w:rsidR="00F34712" w:rsidRPr="00DB65AD" w:rsidRDefault="00F34712" w:rsidP="00DB65AD">
      <w:pPr>
        <w:spacing w:after="360"/>
        <w:ind w:left="567" w:firstLine="1134"/>
        <w:jc w:val="both"/>
        <w:rPr>
          <w:sz w:val="24"/>
          <w:szCs w:val="24"/>
        </w:rPr>
      </w:pPr>
      <w:r w:rsidRPr="00DB65AD">
        <w:rPr>
          <w:sz w:val="24"/>
          <w:szCs w:val="24"/>
        </w:rPr>
        <w:t>Considérant que l’opération en cause est suffisamment justifiée ;</w:t>
      </w:r>
    </w:p>
    <w:p w:rsidR="00F34712" w:rsidRPr="00DB65AD" w:rsidRDefault="00F34712" w:rsidP="00DB65AD">
      <w:pPr>
        <w:spacing w:after="360"/>
        <w:ind w:left="567" w:firstLine="1134"/>
        <w:jc w:val="both"/>
        <w:rPr>
          <w:sz w:val="24"/>
          <w:szCs w:val="24"/>
        </w:rPr>
      </w:pPr>
      <w:r w:rsidRPr="00DB65AD">
        <w:rPr>
          <w:sz w:val="24"/>
          <w:szCs w:val="24"/>
        </w:rPr>
        <w:t>Par ces motifs</w:t>
      </w:r>
      <w:r w:rsidR="00DB65AD">
        <w:rPr>
          <w:sz w:val="24"/>
          <w:szCs w:val="24"/>
        </w:rPr>
        <w:t>,</w:t>
      </w:r>
    </w:p>
    <w:p w:rsidR="00F34712" w:rsidRPr="00A535ED" w:rsidRDefault="00F34712" w:rsidP="00DB65AD">
      <w:pPr>
        <w:spacing w:after="360"/>
        <w:ind w:left="567" w:firstLine="1134"/>
        <w:jc w:val="both"/>
        <w:rPr>
          <w:sz w:val="24"/>
          <w:szCs w:val="24"/>
        </w:rPr>
      </w:pPr>
      <w:r w:rsidRPr="00DB65AD">
        <w:rPr>
          <w:sz w:val="24"/>
          <w:szCs w:val="24"/>
        </w:rPr>
        <w:t>Il n’y a pas lieu de retenir de charge</w:t>
      </w:r>
      <w:r w:rsidR="00992602">
        <w:rPr>
          <w:sz w:val="24"/>
          <w:szCs w:val="24"/>
        </w:rPr>
        <w:t>,</w:t>
      </w:r>
      <w:r w:rsidRPr="00DB65AD">
        <w:rPr>
          <w:sz w:val="24"/>
          <w:szCs w:val="24"/>
        </w:rPr>
        <w:t xml:space="preserve"> à ce ti</w:t>
      </w:r>
      <w:r w:rsidRPr="00A535ED">
        <w:rPr>
          <w:sz w:val="24"/>
          <w:szCs w:val="24"/>
        </w:rPr>
        <w:t>tre</w:t>
      </w:r>
      <w:r w:rsidR="00992602">
        <w:rPr>
          <w:sz w:val="24"/>
          <w:szCs w:val="24"/>
        </w:rPr>
        <w:t>,</w:t>
      </w:r>
      <w:r w:rsidRPr="00A535ED">
        <w:rPr>
          <w:sz w:val="24"/>
          <w:szCs w:val="24"/>
        </w:rPr>
        <w:t xml:space="preserve"> à l’encontre de </w:t>
      </w:r>
      <w:r w:rsidR="00884FFB">
        <w:rPr>
          <w:sz w:val="24"/>
          <w:szCs w:val="24"/>
        </w:rPr>
        <w:t>Mme Y</w:t>
      </w:r>
      <w:r w:rsidRPr="00A535ED">
        <w:rPr>
          <w:sz w:val="24"/>
          <w:szCs w:val="24"/>
        </w:rPr>
        <w:t xml:space="preserve"> au titre de l’exercice 2008.</w:t>
      </w:r>
    </w:p>
    <w:p w:rsidR="00F34712" w:rsidRPr="00DB65AD" w:rsidRDefault="00F34712" w:rsidP="00DB65AD">
      <w:pPr>
        <w:spacing w:after="240"/>
        <w:ind w:left="567" w:firstLine="1134"/>
        <w:jc w:val="both"/>
        <w:rPr>
          <w:sz w:val="24"/>
          <w:szCs w:val="24"/>
        </w:rPr>
      </w:pPr>
      <w:r w:rsidRPr="00DB65AD">
        <w:rPr>
          <w:sz w:val="24"/>
          <w:szCs w:val="24"/>
        </w:rPr>
        <w:t>Attendu qu’aucune charge n’a été prononcée sur la gestion 2008, au 13 novembre, à</w:t>
      </w:r>
      <w:r w:rsidR="008D4251">
        <w:rPr>
          <w:sz w:val="24"/>
          <w:szCs w:val="24"/>
        </w:rPr>
        <w:t xml:space="preserve"> </w:t>
      </w:r>
      <w:r w:rsidRPr="00DB65AD">
        <w:rPr>
          <w:sz w:val="24"/>
          <w:szCs w:val="24"/>
        </w:rPr>
        <w:t xml:space="preserve">l’encontre de </w:t>
      </w:r>
      <w:r w:rsidR="00884FFB">
        <w:rPr>
          <w:sz w:val="24"/>
          <w:szCs w:val="24"/>
        </w:rPr>
        <w:t>Mme Y</w:t>
      </w:r>
      <w:r w:rsidRPr="00DB65AD">
        <w:rPr>
          <w:sz w:val="24"/>
          <w:szCs w:val="24"/>
        </w:rPr>
        <w:t>, et du 14</w:t>
      </w:r>
      <w:r w:rsidR="008D4251">
        <w:rPr>
          <w:sz w:val="24"/>
          <w:szCs w:val="24"/>
        </w:rPr>
        <w:t xml:space="preserve"> </w:t>
      </w:r>
      <w:r w:rsidRPr="00DB65AD">
        <w:rPr>
          <w:sz w:val="24"/>
          <w:szCs w:val="24"/>
        </w:rPr>
        <w:t>novembre, à l’encontre de M.</w:t>
      </w:r>
      <w:r w:rsidR="00DB65AD">
        <w:rPr>
          <w:sz w:val="24"/>
          <w:szCs w:val="24"/>
        </w:rPr>
        <w:t> </w:t>
      </w:r>
      <w:r w:rsidR="00884FFB">
        <w:rPr>
          <w:sz w:val="24"/>
          <w:szCs w:val="24"/>
        </w:rPr>
        <w:t>X</w:t>
      </w:r>
      <w:r w:rsidRPr="00DB65AD">
        <w:rPr>
          <w:sz w:val="24"/>
          <w:szCs w:val="24"/>
        </w:rPr>
        <w:t>:</w:t>
      </w:r>
    </w:p>
    <w:p w:rsidR="00F34712" w:rsidRPr="00DB65AD" w:rsidRDefault="00CC0F9F" w:rsidP="00DB65AD">
      <w:pPr>
        <w:spacing w:after="240" w:line="276" w:lineRule="auto"/>
        <w:ind w:left="1701"/>
        <w:jc w:val="both"/>
        <w:rPr>
          <w:sz w:val="24"/>
          <w:szCs w:val="24"/>
        </w:rPr>
      </w:pPr>
      <w:r>
        <w:rPr>
          <w:sz w:val="24"/>
          <w:szCs w:val="24"/>
        </w:rPr>
        <w:t>- </w:t>
      </w:r>
      <w:r w:rsidR="00884FFB">
        <w:rPr>
          <w:sz w:val="24"/>
          <w:szCs w:val="24"/>
        </w:rPr>
        <w:t>Mme Y</w:t>
      </w:r>
      <w:r w:rsidR="00F34712" w:rsidRPr="00DB65AD">
        <w:rPr>
          <w:sz w:val="24"/>
          <w:szCs w:val="24"/>
        </w:rPr>
        <w:t xml:space="preserve"> est déchargée de sa gestion pendant l’année</w:t>
      </w:r>
      <w:r w:rsidR="008D4251">
        <w:rPr>
          <w:sz w:val="24"/>
          <w:szCs w:val="24"/>
        </w:rPr>
        <w:t xml:space="preserve"> </w:t>
      </w:r>
      <w:r w:rsidR="00F34712" w:rsidRPr="00DB65AD">
        <w:rPr>
          <w:sz w:val="24"/>
          <w:szCs w:val="24"/>
        </w:rPr>
        <w:t>2008 au</w:t>
      </w:r>
      <w:r w:rsidR="00E85477">
        <w:rPr>
          <w:sz w:val="24"/>
          <w:szCs w:val="24"/>
        </w:rPr>
        <w:t xml:space="preserve"> </w:t>
      </w:r>
      <w:r w:rsidR="00F34712" w:rsidRPr="00DB65AD">
        <w:rPr>
          <w:sz w:val="24"/>
          <w:szCs w:val="24"/>
        </w:rPr>
        <w:t>13</w:t>
      </w:r>
      <w:r w:rsidR="00E85477">
        <w:rPr>
          <w:sz w:val="24"/>
          <w:szCs w:val="24"/>
        </w:rPr>
        <w:t> </w:t>
      </w:r>
      <w:r w:rsidR="00F34712" w:rsidRPr="00DB65AD">
        <w:rPr>
          <w:sz w:val="24"/>
          <w:szCs w:val="24"/>
        </w:rPr>
        <w:t>novembre</w:t>
      </w:r>
      <w:r w:rsidR="00DB65AD">
        <w:rPr>
          <w:sz w:val="24"/>
          <w:szCs w:val="24"/>
        </w:rPr>
        <w:t xml:space="preserve"> </w:t>
      </w:r>
      <w:r w:rsidR="00F34712" w:rsidRPr="00DB65AD">
        <w:rPr>
          <w:sz w:val="24"/>
          <w:szCs w:val="24"/>
        </w:rPr>
        <w:t>;</w:t>
      </w:r>
    </w:p>
    <w:p w:rsidR="00F34712" w:rsidRPr="00DB65AD" w:rsidRDefault="00CC0F9F" w:rsidP="00992602">
      <w:pPr>
        <w:spacing w:after="360"/>
        <w:ind w:left="1701"/>
        <w:jc w:val="both"/>
        <w:rPr>
          <w:sz w:val="24"/>
          <w:szCs w:val="24"/>
        </w:rPr>
      </w:pPr>
      <w:r>
        <w:rPr>
          <w:sz w:val="24"/>
          <w:szCs w:val="24"/>
        </w:rPr>
        <w:t>- </w:t>
      </w:r>
      <w:r w:rsidR="00884FFB">
        <w:rPr>
          <w:sz w:val="24"/>
          <w:szCs w:val="24"/>
        </w:rPr>
        <w:t>Mme Y</w:t>
      </w:r>
      <w:r w:rsidR="00F34712" w:rsidRPr="00DB65AD">
        <w:rPr>
          <w:sz w:val="24"/>
          <w:szCs w:val="24"/>
        </w:rPr>
        <w:t xml:space="preserve"> est déclarée quitte et libérée de sa gestion terminée à la date ci-avant indiquée.</w:t>
      </w:r>
      <w:r w:rsidR="00992602">
        <w:rPr>
          <w:sz w:val="24"/>
          <w:szCs w:val="24"/>
        </w:rPr>
        <w:t xml:space="preserve"> </w:t>
      </w:r>
      <w:r w:rsidR="00F34712" w:rsidRPr="00DB65AD">
        <w:rPr>
          <w:sz w:val="24"/>
          <w:szCs w:val="24"/>
        </w:rPr>
        <w:t>Mainlevée peut être donnée et radiation peut être faite de toutes oppositions et inscriptions mises ou prises sur ses biens meubles et immeubles ou sur ceux de ses ayants cause pour sûreté desdites gestions et son cautionnement peut être restitué ou sa caution dégagée</w:t>
      </w:r>
      <w:r>
        <w:rPr>
          <w:sz w:val="24"/>
          <w:szCs w:val="24"/>
        </w:rPr>
        <w:t>.</w:t>
      </w:r>
    </w:p>
    <w:p w:rsidR="00F34712" w:rsidRPr="00DB65AD" w:rsidRDefault="00F34712" w:rsidP="00F93B45">
      <w:pPr>
        <w:spacing w:after="360"/>
        <w:ind w:left="567" w:firstLine="1134"/>
        <w:jc w:val="both"/>
        <w:rPr>
          <w:sz w:val="24"/>
          <w:szCs w:val="24"/>
        </w:rPr>
      </w:pPr>
      <w:r w:rsidRPr="00DB65AD">
        <w:rPr>
          <w:sz w:val="24"/>
          <w:szCs w:val="24"/>
        </w:rPr>
        <w:t>-</w:t>
      </w:r>
      <w:r w:rsidR="00DB65AD">
        <w:rPr>
          <w:sz w:val="24"/>
          <w:szCs w:val="24"/>
        </w:rPr>
        <w:t> </w:t>
      </w:r>
      <w:r w:rsidRPr="00DB65AD">
        <w:rPr>
          <w:sz w:val="24"/>
          <w:szCs w:val="24"/>
        </w:rPr>
        <w:t>M.</w:t>
      </w:r>
      <w:r w:rsidR="00DB65AD">
        <w:rPr>
          <w:sz w:val="24"/>
          <w:szCs w:val="24"/>
        </w:rPr>
        <w:t> </w:t>
      </w:r>
      <w:r w:rsidR="00884FFB">
        <w:rPr>
          <w:sz w:val="24"/>
          <w:szCs w:val="24"/>
        </w:rPr>
        <w:t>X</w:t>
      </w:r>
      <w:r w:rsidRPr="00DB65AD">
        <w:rPr>
          <w:sz w:val="24"/>
          <w:szCs w:val="24"/>
        </w:rPr>
        <w:t xml:space="preserve"> est déchargé de sa gestion pendant l’année 2008 </w:t>
      </w:r>
      <w:r w:rsidR="00293EE1">
        <w:rPr>
          <w:sz w:val="24"/>
          <w:szCs w:val="24"/>
        </w:rPr>
        <w:t>d</w:t>
      </w:r>
      <w:r w:rsidRPr="00DB65AD">
        <w:rPr>
          <w:sz w:val="24"/>
          <w:szCs w:val="24"/>
        </w:rPr>
        <w:t>u 14</w:t>
      </w:r>
      <w:r w:rsidR="00CC0F9F">
        <w:rPr>
          <w:sz w:val="24"/>
          <w:szCs w:val="24"/>
        </w:rPr>
        <w:t> </w:t>
      </w:r>
      <w:r w:rsidRPr="00DB65AD">
        <w:rPr>
          <w:sz w:val="24"/>
          <w:szCs w:val="24"/>
        </w:rPr>
        <w:t>novembre</w:t>
      </w:r>
      <w:r w:rsidR="00CC0F9F">
        <w:rPr>
          <w:sz w:val="24"/>
          <w:szCs w:val="24"/>
        </w:rPr>
        <w:t>.</w:t>
      </w:r>
    </w:p>
    <w:p w:rsidR="00F34712" w:rsidRDefault="00F34712" w:rsidP="00DB65AD">
      <w:pPr>
        <w:spacing w:after="240"/>
        <w:ind w:left="567" w:firstLine="1134"/>
        <w:jc w:val="both"/>
        <w:rPr>
          <w:sz w:val="24"/>
          <w:szCs w:val="24"/>
        </w:rPr>
      </w:pPr>
      <w:r w:rsidRPr="00DB65AD">
        <w:rPr>
          <w:sz w:val="24"/>
          <w:szCs w:val="24"/>
        </w:rPr>
        <w:t>Il est sursis à la décharge de la gestion de M.</w:t>
      </w:r>
      <w:r w:rsidR="00DB65AD">
        <w:rPr>
          <w:sz w:val="24"/>
          <w:szCs w:val="24"/>
        </w:rPr>
        <w:t> </w:t>
      </w:r>
      <w:r w:rsidR="00884FFB">
        <w:rPr>
          <w:sz w:val="24"/>
          <w:szCs w:val="24"/>
        </w:rPr>
        <w:t>X</w:t>
      </w:r>
      <w:r w:rsidRPr="00DB65AD">
        <w:rPr>
          <w:sz w:val="24"/>
          <w:szCs w:val="24"/>
        </w:rPr>
        <w:t xml:space="preserve"> au titre de l’exercice</w:t>
      </w:r>
      <w:r w:rsidR="008D4251">
        <w:rPr>
          <w:sz w:val="24"/>
          <w:szCs w:val="24"/>
        </w:rPr>
        <w:t xml:space="preserve"> </w:t>
      </w:r>
      <w:bookmarkStart w:id="0" w:name="_GoBack"/>
      <w:bookmarkEnd w:id="0"/>
      <w:r w:rsidRPr="00DB65AD">
        <w:rPr>
          <w:sz w:val="24"/>
          <w:szCs w:val="24"/>
        </w:rPr>
        <w:t>2009, jusqu’à constatation de l’exacte reprise des soldes du compte 2009 dans la balance d’entrée du compte de l’exercice 2010.</w:t>
      </w:r>
    </w:p>
    <w:p w:rsidR="00E85477" w:rsidRPr="00DB65AD" w:rsidRDefault="00E85477" w:rsidP="00E85477">
      <w:pPr>
        <w:spacing w:after="240"/>
        <w:ind w:left="567"/>
        <w:jc w:val="center"/>
        <w:rPr>
          <w:sz w:val="24"/>
          <w:szCs w:val="24"/>
        </w:rPr>
      </w:pPr>
      <w:r>
        <w:rPr>
          <w:sz w:val="24"/>
          <w:szCs w:val="24"/>
        </w:rPr>
        <w:t>----------</w:t>
      </w:r>
    </w:p>
    <w:p w:rsidR="00F34712" w:rsidRDefault="00F34712" w:rsidP="00E85477">
      <w:pPr>
        <w:ind w:left="567" w:firstLine="1134"/>
        <w:jc w:val="both"/>
        <w:rPr>
          <w:sz w:val="24"/>
          <w:szCs w:val="24"/>
        </w:rPr>
      </w:pPr>
      <w:r w:rsidRPr="00E85477">
        <w:rPr>
          <w:sz w:val="24"/>
          <w:szCs w:val="24"/>
        </w:rPr>
        <w:t>Fait et jugé à la Cour des comptes, troisième chambre, quatrième</w:t>
      </w:r>
      <w:r w:rsidR="00E85477">
        <w:rPr>
          <w:sz w:val="24"/>
          <w:szCs w:val="24"/>
        </w:rPr>
        <w:t xml:space="preserve"> section, le huit mars deux mil</w:t>
      </w:r>
      <w:r w:rsidRPr="00E85477">
        <w:rPr>
          <w:sz w:val="24"/>
          <w:szCs w:val="24"/>
        </w:rPr>
        <w:t xml:space="preserve"> douze</w:t>
      </w:r>
      <w:r w:rsidR="00E85477">
        <w:rPr>
          <w:sz w:val="24"/>
          <w:szCs w:val="24"/>
        </w:rPr>
        <w:t>. P</w:t>
      </w:r>
      <w:r w:rsidRPr="00E85477">
        <w:rPr>
          <w:sz w:val="24"/>
          <w:szCs w:val="24"/>
        </w:rPr>
        <w:t>résents : M. Lefas, président,</w:t>
      </w:r>
      <w:r w:rsidR="00992602">
        <w:rPr>
          <w:sz w:val="24"/>
          <w:szCs w:val="24"/>
        </w:rPr>
        <w:t xml:space="preserve"> </w:t>
      </w:r>
      <w:r w:rsidRPr="00E85477">
        <w:rPr>
          <w:sz w:val="24"/>
          <w:szCs w:val="24"/>
        </w:rPr>
        <w:t>MM.</w:t>
      </w:r>
      <w:r w:rsidR="00992602">
        <w:rPr>
          <w:sz w:val="24"/>
          <w:szCs w:val="24"/>
        </w:rPr>
        <w:t> </w:t>
      </w:r>
      <w:proofErr w:type="spellStart"/>
      <w:r w:rsidRPr="00E85477">
        <w:rPr>
          <w:sz w:val="24"/>
          <w:szCs w:val="24"/>
        </w:rPr>
        <w:t>Duchadeuil</w:t>
      </w:r>
      <w:proofErr w:type="spellEnd"/>
      <w:r w:rsidRPr="00E85477">
        <w:rPr>
          <w:sz w:val="24"/>
          <w:szCs w:val="24"/>
        </w:rPr>
        <w:t xml:space="preserve">, </w:t>
      </w:r>
      <w:proofErr w:type="spellStart"/>
      <w:r w:rsidRPr="00E85477">
        <w:rPr>
          <w:sz w:val="24"/>
          <w:szCs w:val="24"/>
        </w:rPr>
        <w:t>Andréani</w:t>
      </w:r>
      <w:proofErr w:type="spellEnd"/>
      <w:r w:rsidRPr="00E85477">
        <w:rPr>
          <w:sz w:val="24"/>
          <w:szCs w:val="24"/>
        </w:rPr>
        <w:t>, Tournier, Mme Seyvet, conseillers maîtres.</w:t>
      </w:r>
    </w:p>
    <w:p w:rsidR="008A710F" w:rsidRDefault="008A710F" w:rsidP="008A710F">
      <w:pPr>
        <w:pStyle w:val="Corpsdetexte"/>
      </w:pPr>
      <w:r>
        <w:lastRenderedPageBreak/>
        <w:t xml:space="preserve">Signé : Lefas, président, et </w:t>
      </w:r>
      <w:proofErr w:type="spellStart"/>
      <w:r>
        <w:t>Férez</w:t>
      </w:r>
      <w:proofErr w:type="spellEnd"/>
      <w:r>
        <w:t>, greffier.</w:t>
      </w:r>
    </w:p>
    <w:p w:rsidR="008A710F" w:rsidRPr="00E354DC" w:rsidRDefault="008A710F" w:rsidP="00B36EF8">
      <w:pPr>
        <w:pStyle w:val="Corpsdetexte"/>
        <w:spacing w:after="480"/>
      </w:pPr>
      <w:r>
        <w:t>Collationné, certifié conforme à la minute étant a</w:t>
      </w:r>
      <w:r w:rsidR="00E07118">
        <w:t>u greffe de la Cour des comptes et</w:t>
      </w:r>
      <w:r w:rsidR="00B36EF8">
        <w:t> </w:t>
      </w:r>
      <w:r w:rsidR="00E07118">
        <w:t>d</w:t>
      </w:r>
      <w:r>
        <w:t>élivré par moi, secrétaire général.</w:t>
      </w:r>
    </w:p>
    <w:p w:rsidR="008A710F" w:rsidRDefault="008A710F" w:rsidP="008A710F">
      <w:pPr>
        <w:pStyle w:val="Corpsdetexte"/>
        <w:spacing w:before="0" w:after="0"/>
        <w:ind w:left="6804" w:firstLine="0"/>
        <w:jc w:val="center"/>
        <w:rPr>
          <w:b/>
        </w:rPr>
      </w:pPr>
      <w:r w:rsidRPr="00943BCC">
        <w:rPr>
          <w:b/>
        </w:rPr>
        <w:t>Pour le secrétaire général</w:t>
      </w:r>
    </w:p>
    <w:p w:rsidR="008A710F" w:rsidRPr="00943BCC" w:rsidRDefault="008A710F" w:rsidP="008A710F">
      <w:pPr>
        <w:pStyle w:val="Corpsdetexte"/>
        <w:spacing w:before="0" w:after="0"/>
        <w:ind w:left="6804" w:firstLine="0"/>
        <w:jc w:val="center"/>
        <w:rPr>
          <w:b/>
        </w:rPr>
      </w:pPr>
      <w:proofErr w:type="gramStart"/>
      <w:r w:rsidRPr="00943BCC">
        <w:rPr>
          <w:b/>
        </w:rPr>
        <w:t>et</w:t>
      </w:r>
      <w:proofErr w:type="gramEnd"/>
      <w:r w:rsidRPr="00943BCC">
        <w:rPr>
          <w:b/>
        </w:rPr>
        <w:t xml:space="preserve"> par délégation,</w:t>
      </w:r>
    </w:p>
    <w:p w:rsidR="008A710F" w:rsidRPr="00943BCC" w:rsidRDefault="008A710F" w:rsidP="00947FAF">
      <w:pPr>
        <w:pStyle w:val="Corpsdetexte"/>
        <w:spacing w:before="0" w:after="2040"/>
        <w:ind w:left="6804" w:firstLine="0"/>
        <w:jc w:val="center"/>
        <w:rPr>
          <w:b/>
        </w:rPr>
      </w:pPr>
      <w:r w:rsidRPr="00943BCC">
        <w:rPr>
          <w:b/>
        </w:rPr>
        <w:t xml:space="preserve">Le Chef du </w:t>
      </w:r>
      <w:r>
        <w:rPr>
          <w:b/>
        </w:rPr>
        <w:t>G</w:t>
      </w:r>
      <w:r w:rsidRPr="00943BCC">
        <w:rPr>
          <w:b/>
        </w:rPr>
        <w:t>reffe contentieux</w:t>
      </w:r>
    </w:p>
    <w:p w:rsidR="008A710F" w:rsidRPr="00943BCC" w:rsidRDefault="008A710F" w:rsidP="00947FAF">
      <w:pPr>
        <w:pStyle w:val="Corpsdetexte"/>
        <w:ind w:left="7088" w:firstLine="0"/>
        <w:jc w:val="center"/>
        <w:rPr>
          <w:b/>
        </w:rPr>
      </w:pPr>
      <w:r w:rsidRPr="00943BCC">
        <w:rPr>
          <w:b/>
        </w:rPr>
        <w:t>Daniel FEREZ</w:t>
      </w:r>
    </w:p>
    <w:sectPr w:rsidR="008A710F" w:rsidRPr="00943BCC">
      <w:headerReference w:type="default" r:id="rId9"/>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350" w:rsidRDefault="00610350">
      <w:r>
        <w:separator/>
      </w:r>
    </w:p>
  </w:endnote>
  <w:endnote w:type="continuationSeparator" w:id="0">
    <w:p w:rsidR="00610350" w:rsidRDefault="00610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350" w:rsidRDefault="00610350">
      <w:r>
        <w:separator/>
      </w:r>
    </w:p>
  </w:footnote>
  <w:footnote w:type="continuationSeparator" w:id="0">
    <w:p w:rsidR="00610350" w:rsidRDefault="006103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ABD" w:rsidRDefault="001A3ABD">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8D4251">
      <w:rPr>
        <w:rFonts w:ascii="CG Times (WN)" w:hAnsi="CG Times (WN)"/>
        <w:noProof/>
        <w:sz w:val="24"/>
      </w:rPr>
      <w:t>5</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04734"/>
    <w:multiLevelType w:val="hybridMultilevel"/>
    <w:tmpl w:val="8E84D844"/>
    <w:lvl w:ilvl="0" w:tplc="236C66C8">
      <w:start w:val="13"/>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106B5B"/>
    <w:rsid w:val="00165F7B"/>
    <w:rsid w:val="001A3ABD"/>
    <w:rsid w:val="001A4C94"/>
    <w:rsid w:val="001C769A"/>
    <w:rsid w:val="00273CFF"/>
    <w:rsid w:val="00282695"/>
    <w:rsid w:val="00284152"/>
    <w:rsid w:val="00293EE1"/>
    <w:rsid w:val="004142E2"/>
    <w:rsid w:val="004456C8"/>
    <w:rsid w:val="004C3D8D"/>
    <w:rsid w:val="005B0152"/>
    <w:rsid w:val="005B5A6D"/>
    <w:rsid w:val="00610350"/>
    <w:rsid w:val="00626D69"/>
    <w:rsid w:val="006C0A24"/>
    <w:rsid w:val="00734FD2"/>
    <w:rsid w:val="00783773"/>
    <w:rsid w:val="007C190B"/>
    <w:rsid w:val="007C5A15"/>
    <w:rsid w:val="007D5A83"/>
    <w:rsid w:val="007E65B0"/>
    <w:rsid w:val="00804B67"/>
    <w:rsid w:val="00884FFB"/>
    <w:rsid w:val="00892CE6"/>
    <w:rsid w:val="008A710F"/>
    <w:rsid w:val="008A7BBC"/>
    <w:rsid w:val="008C171C"/>
    <w:rsid w:val="008C25A6"/>
    <w:rsid w:val="008D2A28"/>
    <w:rsid w:val="008D4251"/>
    <w:rsid w:val="008F5C29"/>
    <w:rsid w:val="008F6CE0"/>
    <w:rsid w:val="008F6FE3"/>
    <w:rsid w:val="008F76BB"/>
    <w:rsid w:val="00947FAF"/>
    <w:rsid w:val="00992602"/>
    <w:rsid w:val="009B0D27"/>
    <w:rsid w:val="009B4E21"/>
    <w:rsid w:val="00A535ED"/>
    <w:rsid w:val="00A7188C"/>
    <w:rsid w:val="00AD02EB"/>
    <w:rsid w:val="00B0328B"/>
    <w:rsid w:val="00B04486"/>
    <w:rsid w:val="00B13DBB"/>
    <w:rsid w:val="00B27610"/>
    <w:rsid w:val="00B32F9C"/>
    <w:rsid w:val="00B36EF8"/>
    <w:rsid w:val="00BA64EB"/>
    <w:rsid w:val="00BE669C"/>
    <w:rsid w:val="00C14457"/>
    <w:rsid w:val="00C206E2"/>
    <w:rsid w:val="00CB67D1"/>
    <w:rsid w:val="00CC0F9F"/>
    <w:rsid w:val="00D12183"/>
    <w:rsid w:val="00D42752"/>
    <w:rsid w:val="00DA1BB7"/>
    <w:rsid w:val="00DB65AD"/>
    <w:rsid w:val="00DF5530"/>
    <w:rsid w:val="00E07118"/>
    <w:rsid w:val="00E823A2"/>
    <w:rsid w:val="00E85477"/>
    <w:rsid w:val="00EB508B"/>
    <w:rsid w:val="00ED294B"/>
    <w:rsid w:val="00EF6114"/>
    <w:rsid w:val="00F34712"/>
    <w:rsid w:val="00F845D5"/>
    <w:rsid w:val="00F87FC2"/>
    <w:rsid w:val="00F93B45"/>
    <w:rsid w:val="00F94E8E"/>
    <w:rsid w:val="00FB7AF1"/>
    <w:rsid w:val="00FE38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link w:val="CorpsdetexteCar"/>
    <w:unhideWhenUsed/>
    <w:rsid w:val="00F34712"/>
    <w:pPr>
      <w:spacing w:before="200" w:after="200"/>
      <w:ind w:left="567" w:firstLine="1134"/>
      <w:jc w:val="both"/>
    </w:pPr>
    <w:rPr>
      <w:sz w:val="24"/>
      <w:szCs w:val="24"/>
    </w:rPr>
  </w:style>
  <w:style w:type="character" w:customStyle="1" w:styleId="CorpsdetexteCar">
    <w:name w:val="Corps de texte Car"/>
    <w:link w:val="Corpsdetexte"/>
    <w:rsid w:val="00F34712"/>
    <w:rPr>
      <w:sz w:val="24"/>
      <w:szCs w:val="24"/>
    </w:rPr>
  </w:style>
  <w:style w:type="paragraph" w:customStyle="1" w:styleId="Corpstextegauche">
    <w:name w:val="Corps texte gauche"/>
    <w:basedOn w:val="Normal"/>
    <w:next w:val="Corpsdetexte"/>
    <w:rsid w:val="00F34712"/>
    <w:pPr>
      <w:spacing w:before="60" w:after="60"/>
      <w:jc w:val="both"/>
    </w:pPr>
    <w:rPr>
      <w:sz w:val="24"/>
      <w:szCs w:val="24"/>
    </w:rPr>
  </w:style>
  <w:style w:type="paragraph" w:customStyle="1" w:styleId="1pageCour">
    <w:name w:val="1°page Cour"/>
    <w:basedOn w:val="Normal"/>
    <w:rsid w:val="00F34712"/>
    <w:pPr>
      <w:jc w:val="center"/>
    </w:pPr>
    <w:rPr>
      <w:b/>
      <w:bCs/>
      <w:smallCaps/>
      <w:sz w:val="28"/>
      <w:szCs w:val="28"/>
    </w:rPr>
  </w:style>
  <w:style w:type="paragraph" w:customStyle="1" w:styleId="1pageChambre">
    <w:name w:val="1°page Chambre"/>
    <w:basedOn w:val="Corpstextegauche"/>
    <w:rsid w:val="00F34712"/>
    <w:pPr>
      <w:keepNext/>
      <w:spacing w:before="0" w:after="0"/>
      <w:jc w:val="center"/>
      <w:outlineLvl w:val="5"/>
    </w:pPr>
    <w:rPr>
      <w:b/>
      <w:bCs/>
      <w:smallCaps/>
      <w:spacing w:val="6"/>
    </w:rPr>
  </w:style>
  <w:style w:type="character" w:customStyle="1" w:styleId="P0Car">
    <w:name w:val="P0 Car"/>
    <w:link w:val="P0"/>
    <w:locked/>
    <w:rsid w:val="008A710F"/>
    <w:rPr>
      <w:sz w:val="24"/>
      <w:szCs w:val="24"/>
    </w:rPr>
  </w:style>
  <w:style w:type="paragraph" w:customStyle="1" w:styleId="ps0">
    <w:name w:val="ps"/>
    <w:basedOn w:val="Normal"/>
    <w:rsid w:val="008A710F"/>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1C769A"/>
    <w:rPr>
      <w:rFonts w:ascii="Tahoma" w:hAnsi="Tahoma" w:cs="Tahoma"/>
      <w:sz w:val="16"/>
      <w:szCs w:val="16"/>
    </w:rPr>
  </w:style>
  <w:style w:type="character" w:customStyle="1" w:styleId="TextedebullesCar">
    <w:name w:val="Texte de bulles Car"/>
    <w:link w:val="Textedebulles"/>
    <w:uiPriority w:val="99"/>
    <w:semiHidden/>
    <w:rsid w:val="001C76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50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3F7B7-6CE6-4FB5-819D-ED77584B9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162</TotalTime>
  <Pages>5</Pages>
  <Words>1350</Words>
  <Characters>7431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8764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jpbonin</cp:lastModifiedBy>
  <cp:revision>3</cp:revision>
  <cp:lastPrinted>2012-11-27T13:24:00Z</cp:lastPrinted>
  <dcterms:created xsi:type="dcterms:W3CDTF">2013-01-08T15:03:00Z</dcterms:created>
  <dcterms:modified xsi:type="dcterms:W3CDTF">2013-01-11T15:57:00Z</dcterms:modified>
</cp:coreProperties>
</file>