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310D49"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310D49">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4B27D9">
      <w:pPr>
        <w:pStyle w:val="ET"/>
        <w:spacing w:after="120"/>
        <w:rPr>
          <w:rFonts w:ascii="Times New Roman" w:hAnsi="Times New Roman"/>
        </w:rPr>
      </w:pPr>
      <w:r>
        <w:rPr>
          <w:rFonts w:ascii="Times New Roman" w:hAnsi="Times New Roman"/>
        </w:rPr>
        <w:tab/>
      </w:r>
      <w:r w:rsidR="00310D49">
        <w:rPr>
          <w:rFonts w:ascii="Times New Roman" w:hAnsi="Times New Roman"/>
        </w:rPr>
        <w:t> </w:t>
      </w:r>
      <w:r>
        <w:rPr>
          <w:rFonts w:ascii="Times New Roman" w:hAnsi="Times New Roman"/>
        </w:rPr>
        <w:t>------</w:t>
      </w:r>
    </w:p>
    <w:p w:rsidR="004E421B" w:rsidRDefault="004E421B" w:rsidP="007C544F">
      <w:pPr>
        <w:pStyle w:val="ET"/>
        <w:spacing w:after="120"/>
        <w:ind w:firstLine="567"/>
        <w:outlineLvl w:val="0"/>
        <w:rPr>
          <w:rFonts w:ascii="Times New Roman" w:hAnsi="Times New Roman"/>
          <w:i/>
        </w:rPr>
      </w:pPr>
      <w:bookmarkStart w:id="9" w:name="_Toc129594803"/>
      <w:bookmarkStart w:id="10" w:name="_Toc133398669"/>
      <w:bookmarkStart w:id="11" w:name="_Toc133398764"/>
      <w:bookmarkStart w:id="12" w:name="_Toc137030338"/>
      <w:r>
        <w:rPr>
          <w:rFonts w:ascii="Times New Roman" w:hAnsi="Times New Roman"/>
          <w:i/>
        </w:rPr>
        <w:t>Arrêt n°</w:t>
      </w:r>
      <w:bookmarkEnd w:id="9"/>
      <w:bookmarkEnd w:id="10"/>
      <w:bookmarkEnd w:id="11"/>
      <w:bookmarkEnd w:id="12"/>
      <w:r>
        <w:rPr>
          <w:rFonts w:ascii="Times New Roman" w:hAnsi="Times New Roman"/>
          <w:i/>
        </w:rPr>
        <w:t xml:space="preserve"> </w:t>
      </w:r>
      <w:r w:rsidR="00C54348">
        <w:rPr>
          <w:rFonts w:ascii="Times New Roman" w:hAnsi="Times New Roman"/>
          <w:i/>
        </w:rPr>
        <w:t>65424</w:t>
      </w:r>
    </w:p>
    <w:p w:rsidR="00310D49" w:rsidRPr="00972726" w:rsidRDefault="00B52D5B" w:rsidP="00EC1258">
      <w:pPr>
        <w:pStyle w:val="ET"/>
        <w:ind w:left="4678"/>
        <w:rPr>
          <w:rFonts w:ascii="Times New Roman" w:hAnsi="Times New Roman"/>
          <w:b w:val="0"/>
        </w:rPr>
      </w:pPr>
      <w:r w:rsidRPr="00972726">
        <w:rPr>
          <w:rFonts w:ascii="Times New Roman" w:hAnsi="Times New Roman"/>
          <w:b w:val="0"/>
        </w:rPr>
        <w:t xml:space="preserve">DIRECTION </w:t>
      </w:r>
      <w:r w:rsidR="00EC1258" w:rsidRPr="00972726">
        <w:rPr>
          <w:rFonts w:ascii="Times New Roman" w:hAnsi="Times New Roman"/>
          <w:b w:val="0"/>
        </w:rPr>
        <w:t>DEPARTEMENTALE</w:t>
      </w:r>
    </w:p>
    <w:p w:rsidR="00B52D5B" w:rsidRPr="00972726" w:rsidRDefault="00EC1258" w:rsidP="00EC1258">
      <w:pPr>
        <w:pStyle w:val="ET"/>
        <w:ind w:left="4678"/>
        <w:rPr>
          <w:rFonts w:ascii="Times New Roman" w:hAnsi="Times New Roman"/>
          <w:b w:val="0"/>
        </w:rPr>
      </w:pPr>
      <w:r w:rsidRPr="00972726">
        <w:rPr>
          <w:rFonts w:ascii="Times New Roman" w:hAnsi="Times New Roman"/>
          <w:b w:val="0"/>
        </w:rPr>
        <w:t>DES FINANCES</w:t>
      </w:r>
      <w:r w:rsidR="007F2EF7" w:rsidRPr="00972726">
        <w:rPr>
          <w:rFonts w:ascii="Times New Roman" w:hAnsi="Times New Roman"/>
          <w:b w:val="0"/>
        </w:rPr>
        <w:t xml:space="preserve"> PUBLIQUES DU </w:t>
      </w:r>
      <w:r w:rsidR="007B5D67" w:rsidRPr="00972726">
        <w:rPr>
          <w:rFonts w:ascii="Times New Roman" w:hAnsi="Times New Roman"/>
          <w:b w:val="0"/>
        </w:rPr>
        <w:t>VAR</w:t>
      </w:r>
    </w:p>
    <w:p w:rsidR="007F2EF7" w:rsidRPr="00972726" w:rsidRDefault="007F2EF7" w:rsidP="00B52D5B">
      <w:pPr>
        <w:pStyle w:val="Observation"/>
        <w:spacing w:line="240" w:lineRule="auto"/>
        <w:ind w:left="4678"/>
        <w:rPr>
          <w:rFonts w:ascii="Times New Roman" w:hAnsi="Times New Roman"/>
          <w:b w:val="0"/>
        </w:rPr>
      </w:pPr>
    </w:p>
    <w:p w:rsidR="008C576D" w:rsidRPr="00972726" w:rsidRDefault="00B52D5B" w:rsidP="003345D7">
      <w:pPr>
        <w:pStyle w:val="ET"/>
        <w:ind w:left="4678" w:right="-284"/>
        <w:rPr>
          <w:rFonts w:ascii="Times New Roman" w:hAnsi="Times New Roman"/>
          <w:b w:val="0"/>
          <w:szCs w:val="24"/>
        </w:rPr>
      </w:pPr>
      <w:r w:rsidRPr="00972726">
        <w:rPr>
          <w:rFonts w:ascii="Times New Roman" w:hAnsi="Times New Roman"/>
          <w:b w:val="0"/>
          <w:szCs w:val="24"/>
        </w:rPr>
        <w:t>SERVICE DES IMPO</w:t>
      </w:r>
      <w:r w:rsidR="008C576D" w:rsidRPr="00972726">
        <w:rPr>
          <w:rFonts w:ascii="Times New Roman" w:hAnsi="Times New Roman"/>
          <w:b w:val="0"/>
          <w:szCs w:val="24"/>
        </w:rPr>
        <w:t>TS DES ENTREPRISES</w:t>
      </w:r>
    </w:p>
    <w:p w:rsidR="00B52D5B" w:rsidRPr="00972726" w:rsidRDefault="00EC1258" w:rsidP="007F2EF7">
      <w:pPr>
        <w:pStyle w:val="ET"/>
        <w:ind w:left="4678"/>
        <w:rPr>
          <w:rFonts w:ascii="Times New Roman" w:hAnsi="Times New Roman"/>
          <w:b w:val="0"/>
        </w:rPr>
      </w:pPr>
      <w:r w:rsidRPr="00972726">
        <w:rPr>
          <w:rFonts w:ascii="Times New Roman" w:hAnsi="Times New Roman"/>
          <w:b w:val="0"/>
        </w:rPr>
        <w:t xml:space="preserve">DE </w:t>
      </w:r>
      <w:r w:rsidR="0063704B" w:rsidRPr="00972726">
        <w:rPr>
          <w:rFonts w:ascii="Times New Roman" w:hAnsi="Times New Roman"/>
          <w:b w:val="0"/>
        </w:rPr>
        <w:t>FREJUS</w:t>
      </w:r>
    </w:p>
    <w:p w:rsidR="007F2EF7" w:rsidRPr="007F2EF7" w:rsidRDefault="007F2EF7" w:rsidP="007F2EF7">
      <w:pPr>
        <w:pStyle w:val="ET"/>
        <w:ind w:left="4678"/>
        <w:rPr>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63704B">
        <w:rPr>
          <w:rFonts w:ascii="Times New Roman" w:hAnsi="Times New Roman"/>
          <w:b w:val="0"/>
        </w:rPr>
        <w:t>4</w:t>
      </w:r>
    </w:p>
    <w:p w:rsidR="00310D49" w:rsidRPr="001F30DB" w:rsidRDefault="00310D49"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EC1258">
        <w:rPr>
          <w:rFonts w:ascii="Times New Roman" w:hAnsi="Times New Roman"/>
          <w:b w:val="0"/>
        </w:rPr>
        <w:t>2</w:t>
      </w:r>
      <w:r w:rsidR="00B14F63">
        <w:rPr>
          <w:rFonts w:ascii="Times New Roman" w:hAnsi="Times New Roman"/>
          <w:b w:val="0"/>
        </w:rPr>
        <w:t>-</w:t>
      </w:r>
      <w:r w:rsidR="002E1C49">
        <w:rPr>
          <w:rFonts w:ascii="Times New Roman" w:hAnsi="Times New Roman"/>
          <w:b w:val="0"/>
        </w:rPr>
        <w:t>339-0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2E1C49">
        <w:rPr>
          <w:rFonts w:ascii="Times New Roman" w:hAnsi="Times New Roman"/>
          <w:b w:val="0"/>
        </w:rPr>
        <w:t>13 juin 2012</w:t>
      </w:r>
    </w:p>
    <w:p w:rsidR="00310D49" w:rsidRDefault="00310D49" w:rsidP="00B52D5B">
      <w:pPr>
        <w:pStyle w:val="Observation"/>
        <w:spacing w:line="240" w:lineRule="auto"/>
        <w:ind w:left="4678"/>
        <w:rPr>
          <w:rFonts w:ascii="Times New Roman" w:hAnsi="Times New Roman"/>
          <w:b w:val="0"/>
        </w:rPr>
      </w:pPr>
    </w:p>
    <w:p w:rsidR="00B52D5B" w:rsidRPr="00D971A1" w:rsidRDefault="00B52D5B" w:rsidP="004B27D9">
      <w:pPr>
        <w:pStyle w:val="Observation"/>
        <w:spacing w:after="720"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4813B0" w:rsidRPr="00D971A1">
        <w:rPr>
          <w:rFonts w:ascii="Times New Roman" w:hAnsi="Times New Roman"/>
          <w:b w:val="0"/>
        </w:rPr>
        <w:t>21 décembre 2012</w:t>
      </w:r>
    </w:p>
    <w:p w:rsidR="00281119" w:rsidRDefault="00281119" w:rsidP="00281119">
      <w:pPr>
        <w:pStyle w:val="ps"/>
        <w:spacing w:before="280" w:after="360" w:line="240" w:lineRule="auto"/>
        <w:ind w:firstLine="1134"/>
        <w:jc w:val="left"/>
      </w:pPr>
      <w:r>
        <w:t>LA COUR DES COMPTES a rendu l’arrêt suivant :</w:t>
      </w:r>
    </w:p>
    <w:p w:rsidR="004E421B" w:rsidRDefault="004E421B" w:rsidP="00233629">
      <w:pPr>
        <w:pStyle w:val="ps"/>
        <w:spacing w:before="280" w:after="280" w:line="240" w:lineRule="auto"/>
        <w:ind w:firstLine="1134"/>
        <w:jc w:val="left"/>
      </w:pPr>
      <w:r>
        <w:t>LA COUR,</w:t>
      </w:r>
    </w:p>
    <w:p w:rsidR="0066528D" w:rsidRDefault="0066528D" w:rsidP="00233629">
      <w:pPr>
        <w:pStyle w:val="corpsdetexte0"/>
        <w:spacing w:before="280" w:after="280"/>
        <w:ind w:left="567" w:firstLine="1134"/>
      </w:pPr>
      <w:r>
        <w:t>Vu l</w:t>
      </w:r>
      <w:r w:rsidR="00DD24CD">
        <w:t>e compte pr</w:t>
      </w:r>
      <w:r w:rsidR="00D53BC2">
        <w:t xml:space="preserve">oduit </w:t>
      </w:r>
      <w:r w:rsidR="00F26C02">
        <w:t xml:space="preserve">en </w:t>
      </w:r>
      <w:r w:rsidR="00D063FC">
        <w:t>200</w:t>
      </w:r>
      <w:r w:rsidR="0063704B">
        <w:t>5</w:t>
      </w:r>
      <w:r w:rsidR="009276E8">
        <w:t xml:space="preserve"> </w:t>
      </w:r>
      <w:r>
        <w:t>par le tréso</w:t>
      </w:r>
      <w:r w:rsidR="00461736">
        <w:t>rier</w:t>
      </w:r>
      <w:r w:rsidR="00274E9A">
        <w:t>-</w:t>
      </w:r>
      <w:r w:rsidR="00461736">
        <w:t>payeur général d</w:t>
      </w:r>
      <w:r w:rsidR="00EC1258">
        <w:t xml:space="preserve">u </w:t>
      </w:r>
      <w:r w:rsidR="007B5D67">
        <w:t>Var</w:t>
      </w:r>
      <w:r w:rsidR="00EC1258">
        <w:t xml:space="preserve"> </w:t>
      </w:r>
      <w:r w:rsidR="003C16FA">
        <w:t>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9276E8">
        <w:t>’</w:t>
      </w:r>
      <w:r w:rsidR="002D32D3">
        <w:t>exercice 200</w:t>
      </w:r>
      <w:r w:rsidR="0063704B">
        <w:t>4</w:t>
      </w:r>
      <w:r w:rsidR="002D32D3">
        <w:t>,</w:t>
      </w:r>
      <w:r>
        <w:t xml:space="preserve"> dans lequel sont reprises les opérations des comptables des impôts de la direction des servic</w:t>
      </w:r>
      <w:r w:rsidR="00DD24CD">
        <w:t>es fi</w:t>
      </w:r>
      <w:r w:rsidR="00461736">
        <w:t>scaux d</w:t>
      </w:r>
      <w:r w:rsidR="00EC1258">
        <w:t xml:space="preserve">u </w:t>
      </w:r>
      <w:r w:rsidR="001E7C69">
        <w:t xml:space="preserve">Var </w:t>
      </w:r>
      <w:r w:rsidR="00DF37B5">
        <w:t>p</w:t>
      </w:r>
      <w:r w:rsidR="00461736">
        <w:t xml:space="preserve">our le </w:t>
      </w:r>
      <w:r w:rsidR="002D32D3">
        <w:t xml:space="preserve">même </w:t>
      </w:r>
      <w:r w:rsidR="00DD24CD">
        <w:t>exercice</w:t>
      </w:r>
      <w:r>
        <w:t xml:space="preserve"> ;</w:t>
      </w:r>
    </w:p>
    <w:p w:rsidR="00971AAF" w:rsidRDefault="00971AAF" w:rsidP="00233629">
      <w:pPr>
        <w:pStyle w:val="corpsdetexte0"/>
        <w:spacing w:before="280" w:after="280"/>
        <w:ind w:left="567" w:firstLine="1134"/>
      </w:pPr>
      <w:r>
        <w:t>Vu les pièces justificatives des décharges de droits et des admissions en non</w:t>
      </w:r>
      <w:r w:rsidR="003345D7">
        <w:t>-</w:t>
      </w:r>
      <w:r>
        <w:t>valeur mentionnées auxdits états ;</w:t>
      </w:r>
    </w:p>
    <w:p w:rsidR="002D32D3" w:rsidRDefault="002D32D3" w:rsidP="00233629">
      <w:pPr>
        <w:pStyle w:val="corpsdetexte0"/>
        <w:spacing w:before="280" w:after="280"/>
        <w:ind w:left="567" w:firstLine="1134"/>
      </w:pPr>
      <w:r>
        <w:t>Vu les balances de comptes desdits états au 31 décembre 200</w:t>
      </w:r>
      <w:r w:rsidR="00DB56AE">
        <w:t>4</w:t>
      </w:r>
      <w:r w:rsidR="00310D49">
        <w:t xml:space="preserve"> </w:t>
      </w:r>
      <w:r>
        <w:t>;</w:t>
      </w:r>
    </w:p>
    <w:p w:rsidR="00971AAF" w:rsidRDefault="00971AAF" w:rsidP="00233629">
      <w:pPr>
        <w:pStyle w:val="corpsdetexte0"/>
        <w:spacing w:before="280" w:after="280"/>
        <w:ind w:left="567" w:firstLine="1134"/>
      </w:pPr>
      <w:r>
        <w:t>Vu les états nominatifs des droits pris en charge par ces comp</w:t>
      </w:r>
      <w:r w:rsidR="00461736">
        <w:t>tables jusqu'au 31</w:t>
      </w:r>
      <w:r w:rsidR="009D00D7">
        <w:t> </w:t>
      </w:r>
      <w:r w:rsidR="00461736">
        <w:t>décembre </w:t>
      </w:r>
      <w:r w:rsidR="0063704B">
        <w:t>2001</w:t>
      </w:r>
      <w:r w:rsidR="008364B7">
        <w:t xml:space="preserve"> </w:t>
      </w:r>
      <w:r>
        <w:t>et restant</w:t>
      </w:r>
      <w:r w:rsidR="00461736">
        <w:t xml:space="preserve"> à recouvrer au 31</w:t>
      </w:r>
      <w:r w:rsidR="00310D49">
        <w:t> </w:t>
      </w:r>
      <w:r w:rsidR="00461736">
        <w:t>décembre 200</w:t>
      </w:r>
      <w:r w:rsidR="0063704B">
        <w:t>4</w:t>
      </w:r>
      <w:r w:rsidR="00310D49">
        <w:t xml:space="preserve"> </w:t>
      </w:r>
      <w:r>
        <w:t>;</w:t>
      </w:r>
    </w:p>
    <w:p w:rsidR="004E421B" w:rsidRDefault="004E421B" w:rsidP="00233629">
      <w:pPr>
        <w:pStyle w:val="Corpsdetexte"/>
        <w:spacing w:before="280" w:after="280"/>
        <w:ind w:left="567" w:firstLine="1134"/>
      </w:pPr>
      <w:r>
        <w:t>Vu les pièces justificatives recueillies au cours de l'instruction ;</w:t>
      </w:r>
    </w:p>
    <w:p w:rsidR="004E421B" w:rsidRDefault="004E421B" w:rsidP="00233629">
      <w:pPr>
        <w:pStyle w:val="Corpsdetexte"/>
        <w:spacing w:before="280" w:after="280"/>
        <w:ind w:left="567" w:firstLine="1134"/>
      </w:pPr>
      <w:r>
        <w:t>Vu le code des juridictions financières ;</w:t>
      </w:r>
    </w:p>
    <w:p w:rsidR="007105A3" w:rsidRDefault="004E421B" w:rsidP="00245026">
      <w:pPr>
        <w:pStyle w:val="Corpsdetexte"/>
        <w:spacing w:before="280" w:after="280"/>
        <w:ind w:left="567" w:firstLine="1134"/>
      </w:pPr>
      <w:r>
        <w:t>Vu le code général des impôts et le livre des procédures fiscales ;</w:t>
      </w:r>
    </w:p>
    <w:p w:rsidR="008778BF" w:rsidRDefault="008778BF" w:rsidP="00B67ADD">
      <w:pPr>
        <w:pStyle w:val="Corpsdetexte"/>
        <w:spacing w:before="280" w:after="280"/>
        <w:ind w:left="567" w:firstLine="1134"/>
      </w:pPr>
      <w:r>
        <w:t>Vu le décret n°</w:t>
      </w:r>
      <w:r w:rsidR="004B27D9">
        <w:t> </w:t>
      </w:r>
      <w:r>
        <w:t>62-1587 du 29</w:t>
      </w:r>
      <w:r w:rsidR="004B27D9">
        <w:t> </w:t>
      </w:r>
      <w:r>
        <w:t>décembre</w:t>
      </w:r>
      <w:r w:rsidR="004B27D9">
        <w:t> </w:t>
      </w:r>
      <w:r>
        <w:t xml:space="preserve">1962 portant règlement général </w:t>
      </w:r>
      <w:r w:rsidR="003345D7">
        <w:t>sur</w:t>
      </w:r>
      <w:r>
        <w:t xml:space="preserve"> la comptabilité publique ;</w:t>
      </w:r>
    </w:p>
    <w:p w:rsidR="004E421B" w:rsidRDefault="004E421B" w:rsidP="0038054D">
      <w:pPr>
        <w:pStyle w:val="Corpsdetexte"/>
        <w:spacing w:before="280" w:after="280"/>
        <w:ind w:left="567" w:firstLine="1134"/>
      </w:pPr>
      <w:r>
        <w:lastRenderedPageBreak/>
        <w:t>Vu le décret n°</w:t>
      </w:r>
      <w:r w:rsidR="00FE21C1">
        <w:t> </w:t>
      </w:r>
      <w:r>
        <w:t>77-1017 du 1</w:t>
      </w:r>
      <w:r>
        <w:rPr>
          <w:vertAlign w:val="superscript"/>
        </w:rPr>
        <w:t>er</w:t>
      </w:r>
      <w:r w:rsidR="00FE21C1">
        <w:rPr>
          <w:vertAlign w:val="superscript"/>
        </w:rPr>
        <w:t> </w:t>
      </w:r>
      <w:r>
        <w:t>septembre</w:t>
      </w:r>
      <w:r w:rsidR="00FE21C1">
        <w:t> </w:t>
      </w:r>
      <w:r>
        <w:t>1977 relatif à la responsabilité des comptables des administrations financières ;</w:t>
      </w:r>
    </w:p>
    <w:p w:rsidR="004E421B" w:rsidRDefault="004E421B" w:rsidP="0038054D">
      <w:pPr>
        <w:pStyle w:val="Corpsdetexte"/>
        <w:spacing w:before="280" w:after="280"/>
        <w:ind w:left="567" w:firstLine="1134"/>
      </w:pPr>
      <w:r>
        <w:t>Vu l’article 60 modifié de la loi n°</w:t>
      </w:r>
      <w:r w:rsidR="00FE21C1">
        <w:t> </w:t>
      </w:r>
      <w:r>
        <w:t xml:space="preserve">63-156 du 23 février 1963 ; </w:t>
      </w:r>
    </w:p>
    <w:p w:rsidR="0091055D" w:rsidRDefault="0091055D" w:rsidP="0038054D">
      <w:pPr>
        <w:pStyle w:val="Corpsdetexte"/>
        <w:spacing w:before="280" w:after="280"/>
        <w:ind w:left="567" w:firstLine="1134"/>
      </w:pPr>
      <w:r>
        <w:t>Vu la loi n°</w:t>
      </w:r>
      <w:r w:rsidR="00FE21C1">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38054D">
      <w:pPr>
        <w:pStyle w:val="Corpsdetexte"/>
        <w:spacing w:before="280" w:after="280"/>
        <w:ind w:left="567" w:firstLine="1134"/>
      </w:pPr>
      <w:r w:rsidRPr="001F30DB">
        <w:t xml:space="preserve">Vu l'arrêté </w:t>
      </w:r>
      <w:r>
        <w:t>n°</w:t>
      </w:r>
      <w:r w:rsidR="00FE21C1">
        <w:t> </w:t>
      </w:r>
      <w:r>
        <w:t xml:space="preserve">11-095 du </w:t>
      </w:r>
      <w:r w:rsidRPr="001F30DB">
        <w:t>Premier président</w:t>
      </w:r>
      <w:r>
        <w:t xml:space="preserve">, </w:t>
      </w:r>
      <w:r w:rsidRPr="001F30DB">
        <w:t xml:space="preserve">du </w:t>
      </w:r>
      <w:r>
        <w:t>3</w:t>
      </w:r>
      <w:r w:rsidR="00FE21C1">
        <w:t> </w:t>
      </w:r>
      <w:r>
        <w:t>février</w:t>
      </w:r>
      <w:r w:rsidR="00FE21C1">
        <w:t> </w:t>
      </w:r>
      <w:r w:rsidRPr="001F30DB">
        <w:t>201</w:t>
      </w:r>
      <w:r>
        <w:t xml:space="preserve">1, </w:t>
      </w:r>
      <w:r w:rsidRPr="001F30DB">
        <w:t>portant répartition des attributions entre les chambres de la Cour des comptes</w:t>
      </w:r>
      <w:r>
        <w:t> ;</w:t>
      </w:r>
    </w:p>
    <w:p w:rsidR="00274E9A" w:rsidRPr="001F30DB" w:rsidRDefault="00165AC7" w:rsidP="0038054D">
      <w:pPr>
        <w:pStyle w:val="Corpsdetexte"/>
        <w:spacing w:before="280" w:after="280"/>
        <w:ind w:left="567" w:firstLine="1134"/>
      </w:pPr>
      <w:r>
        <w:t xml:space="preserve">Vu </w:t>
      </w:r>
      <w:r w:rsidR="00274E9A" w:rsidRPr="001F30DB">
        <w:t>l’arrêté modifié n°</w:t>
      </w:r>
      <w:r w:rsidR="00FE21C1">
        <w:t> </w:t>
      </w:r>
      <w:r w:rsidR="00274E9A" w:rsidRPr="001F30DB">
        <w:t xml:space="preserve">06-346 </w:t>
      </w:r>
      <w:r w:rsidR="0091055D">
        <w:t xml:space="preserve">du Premier président, </w:t>
      </w:r>
      <w:r w:rsidR="0091055D" w:rsidRPr="001F30DB">
        <w:t>du 10</w:t>
      </w:r>
      <w:r w:rsidR="00FE21C1">
        <w:t> </w:t>
      </w:r>
      <w:r w:rsidR="0091055D" w:rsidRPr="001F30DB">
        <w:t>octobre</w:t>
      </w:r>
      <w:r w:rsidR="00FE21C1">
        <w:t>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38054D">
      <w:pPr>
        <w:pStyle w:val="Corpsdetexte"/>
        <w:spacing w:before="280" w:after="280"/>
        <w:ind w:left="567" w:firstLine="1134"/>
      </w:pPr>
      <w:r w:rsidRPr="001F30DB">
        <w:t xml:space="preserve">Vu la lettre </w:t>
      </w:r>
      <w:r>
        <w:t>d</w:t>
      </w:r>
      <w:r w:rsidRPr="001F30DB">
        <w:t xml:space="preserve">u </w:t>
      </w:r>
      <w:r w:rsidR="007B5D67">
        <w:t>7</w:t>
      </w:r>
      <w:r w:rsidR="00FE21C1">
        <w:t> </w:t>
      </w:r>
      <w:r w:rsidR="007B5D67">
        <w:t>juin</w:t>
      </w:r>
      <w:r w:rsidR="00FE21C1">
        <w:t> </w:t>
      </w:r>
      <w:r w:rsidR="003C16FA">
        <w:t>2010</w:t>
      </w:r>
      <w:r w:rsidRPr="001F30DB">
        <w:t xml:space="preserve"> par laquelle, en application des articles</w:t>
      </w:r>
      <w:r w:rsidR="003345D7">
        <w:t xml:space="preserve"> </w:t>
      </w:r>
      <w:r w:rsidRPr="001F30DB">
        <w:t>R.</w:t>
      </w:r>
      <w:r w:rsidR="001409A9">
        <w:t> </w:t>
      </w:r>
      <w:r w:rsidRPr="001F30DB">
        <w:t>141</w:t>
      </w:r>
      <w:r w:rsidR="001409A9">
        <w:t>-</w:t>
      </w:r>
      <w:r w:rsidRPr="001F30DB">
        <w:t>10 et D.</w:t>
      </w:r>
      <w:r w:rsidR="00C230BD">
        <w:t> </w:t>
      </w:r>
      <w:r w:rsidRPr="001F30DB">
        <w:t>141-10-1</w:t>
      </w:r>
      <w:r>
        <w:t xml:space="preserve"> </w:t>
      </w:r>
      <w:r w:rsidRPr="001F30DB">
        <w:t xml:space="preserve">du code des juridictions financières, le président de la </w:t>
      </w:r>
      <w:r w:rsidR="00F26C02">
        <w:t>p</w:t>
      </w:r>
      <w:r w:rsidRPr="001F30DB">
        <w:t xml:space="preserve">remière chambre de la Cour des </w:t>
      </w:r>
      <w:r w:rsidR="003401ED">
        <w:t>c</w:t>
      </w:r>
      <w:r w:rsidRPr="001F30DB">
        <w:t xml:space="preserve">omptes a notifié </w:t>
      </w:r>
      <w:r w:rsidR="005D4C6C">
        <w:t xml:space="preserve">au </w:t>
      </w:r>
      <w:r w:rsidR="00241F17">
        <w:t>direct</w:t>
      </w:r>
      <w:r w:rsidR="005D4C6C">
        <w:t>eur</w:t>
      </w:r>
      <w:r w:rsidR="00241F17">
        <w:t xml:space="preserve"> </w:t>
      </w:r>
      <w:r w:rsidR="005D4C6C">
        <w:t>des services fisca</w:t>
      </w:r>
      <w:r w:rsidR="001C5AB2">
        <w:t xml:space="preserve">ux du </w:t>
      </w:r>
      <w:r w:rsidR="005D4C6C">
        <w:t>Var</w:t>
      </w:r>
      <w:r w:rsidR="001C5AB2">
        <w:t>, le</w:t>
      </w:r>
      <w:r w:rsidR="00FE21C1">
        <w:t> </w:t>
      </w:r>
      <w:r w:rsidR="001C5AB2">
        <w:t>contrôle des comptes pour les exercices 2</w:t>
      </w:r>
      <w:r w:rsidRPr="001F30DB">
        <w:t>00</w:t>
      </w:r>
      <w:r w:rsidR="005D4C6C">
        <w:t>2</w:t>
      </w:r>
      <w:r w:rsidRPr="001F30DB">
        <w:t xml:space="preserve"> à 200</w:t>
      </w:r>
      <w:r w:rsidR="005D4C6C">
        <w:t>8</w:t>
      </w:r>
      <w:r w:rsidR="00165AC7">
        <w:t> ;</w:t>
      </w:r>
    </w:p>
    <w:p w:rsidR="00D06882" w:rsidRDefault="00D06882" w:rsidP="0038054D">
      <w:pPr>
        <w:pStyle w:val="Corpsdetexte"/>
        <w:spacing w:before="280" w:after="280"/>
        <w:ind w:left="567" w:firstLine="1134"/>
      </w:pPr>
      <w:r>
        <w:t xml:space="preserve">Vu le réquisitoire à fin d’instruction de charge du </w:t>
      </w:r>
      <w:r w:rsidR="00F26C02">
        <w:t>P</w:t>
      </w:r>
      <w:r>
        <w:t>rocureur général prè</w:t>
      </w:r>
      <w:r w:rsidR="00461736">
        <w:t>s la</w:t>
      </w:r>
      <w:r w:rsidR="00FE21C1">
        <w:t> </w:t>
      </w:r>
      <w:r w:rsidR="00461736">
        <w:t>Cour des comptes n°</w:t>
      </w:r>
      <w:r w:rsidR="00FE21C1">
        <w:t> </w:t>
      </w:r>
      <w:r w:rsidR="00461736">
        <w:t>20</w:t>
      </w:r>
      <w:r w:rsidR="003C16FA">
        <w:t>11</w:t>
      </w:r>
      <w:r w:rsidR="00461736">
        <w:t>-</w:t>
      </w:r>
      <w:r w:rsidR="0055130C">
        <w:t>1</w:t>
      </w:r>
      <w:r w:rsidR="000D3FD9">
        <w:t>07</w:t>
      </w:r>
      <w:r w:rsidR="0055130C">
        <w:t>-R</w:t>
      </w:r>
      <w:r w:rsidR="00461736">
        <w:t xml:space="preserve">Q-DB du </w:t>
      </w:r>
      <w:r w:rsidR="000D3FD9">
        <w:t>29</w:t>
      </w:r>
      <w:r w:rsidR="00681A90">
        <w:t> </w:t>
      </w:r>
      <w:r w:rsidR="000D3FD9">
        <w:t>novem</w:t>
      </w:r>
      <w:r w:rsidR="006708E6">
        <w:t>bre</w:t>
      </w:r>
      <w:r w:rsidR="00681A90">
        <w:t> </w:t>
      </w:r>
      <w:r w:rsidR="00F06E29">
        <w:t>20</w:t>
      </w:r>
      <w:r w:rsidR="003C16FA">
        <w:t>11</w:t>
      </w:r>
      <w:r w:rsidR="00F06E29">
        <w:t>,</w:t>
      </w:r>
      <w:r w:rsidR="001456BE">
        <w:t xml:space="preserve"> dont</w:t>
      </w:r>
      <w:r w:rsidR="00213272">
        <w:t xml:space="preserve"> Mme X</w:t>
      </w:r>
      <w:r w:rsidR="001456BE">
        <w:t>, comptable</w:t>
      </w:r>
      <w:r w:rsidR="0091055D">
        <w:t>,</w:t>
      </w:r>
      <w:r w:rsidR="001456BE">
        <w:t xml:space="preserve"> a accusé réception le </w:t>
      </w:r>
      <w:r w:rsidR="0063704B">
        <w:t>16</w:t>
      </w:r>
      <w:r w:rsidR="0055130C">
        <w:t xml:space="preserve"> </w:t>
      </w:r>
      <w:r w:rsidR="0063704B">
        <w:t xml:space="preserve">décembre </w:t>
      </w:r>
      <w:r w:rsidR="0055130C">
        <w:t>201</w:t>
      </w:r>
      <w:r w:rsidR="0063704B">
        <w:t>1</w:t>
      </w:r>
      <w:r w:rsidR="001456BE">
        <w:t> ;</w:t>
      </w:r>
    </w:p>
    <w:p w:rsidR="00D06882" w:rsidRDefault="00D53BC2" w:rsidP="0038054D">
      <w:pPr>
        <w:pStyle w:val="Corpsdetexte"/>
        <w:spacing w:before="280" w:after="280"/>
        <w:ind w:left="567" w:firstLine="1134"/>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2A4844">
        <w:t>1er</w:t>
      </w:r>
      <w:r w:rsidR="00096B76">
        <w:t> </w:t>
      </w:r>
      <w:r w:rsidR="001F4EC3">
        <w:t>décembre</w:t>
      </w:r>
      <w:r w:rsidR="00FE21C1">
        <w:t> </w:t>
      </w:r>
      <w:r w:rsidR="00D06882">
        <w:t>20</w:t>
      </w:r>
      <w:r w:rsidR="003C16FA">
        <w:t>11</w:t>
      </w:r>
      <w:r w:rsidR="00D06882">
        <w:t xml:space="preserve"> désignant M</w:t>
      </w:r>
      <w:r w:rsidR="002A4844">
        <w:t>.</w:t>
      </w:r>
      <w:r w:rsidR="00FE21C1">
        <w:t> </w:t>
      </w:r>
      <w:r w:rsidR="00C96C70">
        <w:t xml:space="preserve">Jean-Pierre </w:t>
      </w:r>
      <w:r w:rsidR="002A4844">
        <w:t>Jourdain</w:t>
      </w:r>
      <w:r w:rsidR="00D06882">
        <w:t>, conseill</w:t>
      </w:r>
      <w:r w:rsidR="002A4844">
        <w:t>er</w:t>
      </w:r>
      <w:r w:rsidR="00D06882">
        <w:t xml:space="preserve"> </w:t>
      </w:r>
      <w:r w:rsidR="002A4844">
        <w:t>référendaire</w:t>
      </w:r>
      <w:r w:rsidR="00D06882">
        <w:t xml:space="preserve">, pour </w:t>
      </w:r>
      <w:r w:rsidR="00274E9A">
        <w:t>instruire les suites à</w:t>
      </w:r>
      <w:r w:rsidR="0009009E">
        <w:t xml:space="preserve"> </w:t>
      </w:r>
      <w:r w:rsidR="00274E9A">
        <w:t>donner au réquisitoire susvisé</w:t>
      </w:r>
      <w:r w:rsidR="00D06882">
        <w:t> ;</w:t>
      </w:r>
    </w:p>
    <w:p w:rsidR="00274E9A" w:rsidRPr="0063704B" w:rsidRDefault="00274E9A" w:rsidP="0038054D">
      <w:pPr>
        <w:pStyle w:val="Corpsdetexte"/>
        <w:spacing w:before="280" w:after="280"/>
        <w:ind w:left="567" w:firstLine="1134"/>
      </w:pPr>
      <w:r w:rsidRPr="0063704B">
        <w:t>Vu</w:t>
      </w:r>
      <w:r w:rsidR="000C17C4" w:rsidRPr="0063704B">
        <w:t xml:space="preserve"> les réponse</w:t>
      </w:r>
      <w:r w:rsidR="00F6311D">
        <w:t>s</w:t>
      </w:r>
      <w:r w:rsidR="000C17C4" w:rsidRPr="0063704B">
        <w:t xml:space="preserve"> produits par l</w:t>
      </w:r>
      <w:r w:rsidR="00CF7B7A">
        <w:t>a</w:t>
      </w:r>
      <w:r w:rsidR="000C17C4" w:rsidRPr="0063704B">
        <w:t xml:space="preserve"> comptable le </w:t>
      </w:r>
      <w:r w:rsidR="0063704B" w:rsidRPr="0063704B">
        <w:t xml:space="preserve">24 février </w:t>
      </w:r>
      <w:r w:rsidR="00CF7B7A">
        <w:t>et 30 mars 2012</w:t>
      </w:r>
      <w:r w:rsidR="00E16933" w:rsidRPr="0063704B">
        <w:t xml:space="preserve"> </w:t>
      </w:r>
      <w:r w:rsidRPr="0063704B">
        <w:t>;</w:t>
      </w:r>
    </w:p>
    <w:p w:rsidR="00D06882" w:rsidRDefault="00D06882" w:rsidP="0038054D">
      <w:pPr>
        <w:pStyle w:val="Corpsdetexte"/>
        <w:spacing w:before="280" w:after="280"/>
        <w:ind w:left="567" w:firstLine="1134"/>
      </w:pPr>
      <w:r>
        <w:t xml:space="preserve">Sur le rapport de </w:t>
      </w:r>
      <w:r w:rsidR="00F06E29">
        <w:t>M</w:t>
      </w:r>
      <w:r w:rsidR="002A4844">
        <w:t>.</w:t>
      </w:r>
      <w:r w:rsidR="00FE21C1">
        <w:t> </w:t>
      </w:r>
      <w:r w:rsidR="00555737">
        <w:t xml:space="preserve">Jean-Pierre </w:t>
      </w:r>
      <w:r w:rsidR="002A4844">
        <w:t>Jourdain</w:t>
      </w:r>
      <w:r w:rsidR="00F06E29">
        <w:t>, conseill</w:t>
      </w:r>
      <w:r w:rsidR="002A4844">
        <w:t>er référendaire</w:t>
      </w:r>
      <w:r w:rsidR="00E16933">
        <w:t xml:space="preserve"> </w:t>
      </w:r>
      <w:r>
        <w:t>;</w:t>
      </w:r>
    </w:p>
    <w:p w:rsidR="00D06882" w:rsidRDefault="00D06882" w:rsidP="0038054D">
      <w:pPr>
        <w:pStyle w:val="Corpsdetexte"/>
        <w:spacing w:before="280" w:after="280"/>
        <w:ind w:left="567" w:firstLine="1134"/>
      </w:pPr>
      <w:r>
        <w:t xml:space="preserve">Vu les </w:t>
      </w:r>
      <w:r w:rsidR="00D53BC2">
        <w:t>conclusions</w:t>
      </w:r>
      <w:r w:rsidR="00BA6FAA">
        <w:t xml:space="preserve"> n°</w:t>
      </w:r>
      <w:r w:rsidR="00C230BD">
        <w:t> </w:t>
      </w:r>
      <w:r w:rsidR="002E1C49">
        <w:t>352</w:t>
      </w:r>
      <w:r w:rsidR="008D77C8">
        <w:t xml:space="preserve"> </w:t>
      </w:r>
      <w:r>
        <w:t>du procureur général</w:t>
      </w:r>
      <w:r w:rsidR="00D71D86">
        <w:t xml:space="preserve"> </w:t>
      </w:r>
      <w:r w:rsidR="00E417FA">
        <w:t xml:space="preserve">près la </w:t>
      </w:r>
      <w:r w:rsidR="006B3C91">
        <w:t>C</w:t>
      </w:r>
      <w:r w:rsidR="00E417FA">
        <w:t>our des comptes</w:t>
      </w:r>
      <w:r>
        <w:t xml:space="preserve"> </w:t>
      </w:r>
      <w:r w:rsidR="00BA6FAA">
        <w:t>du</w:t>
      </w:r>
      <w:r w:rsidR="003345D7">
        <w:t xml:space="preserve"> </w:t>
      </w:r>
      <w:r w:rsidR="002E1C49">
        <w:t>9 mai</w:t>
      </w:r>
      <w:r w:rsidR="00FE21C1">
        <w:t> </w:t>
      </w:r>
      <w:r w:rsidR="002E1C49">
        <w:t>2012</w:t>
      </w:r>
      <w:r w:rsidR="00E16933">
        <w:t xml:space="preserve"> </w:t>
      </w:r>
      <w:r>
        <w:t>;</w:t>
      </w:r>
    </w:p>
    <w:p w:rsidR="00D06882" w:rsidRDefault="00D06882" w:rsidP="0038054D">
      <w:pPr>
        <w:pStyle w:val="Corpsdetexte"/>
        <w:spacing w:before="280" w:after="280"/>
        <w:ind w:left="567" w:firstLine="1134"/>
      </w:pPr>
      <w:r>
        <w:t xml:space="preserve">Vu la </w:t>
      </w:r>
      <w:r w:rsidR="000C17C4">
        <w:t>lettre</w:t>
      </w:r>
      <w:r>
        <w:t xml:space="preserve"> </w:t>
      </w:r>
      <w:r w:rsidR="001867CF">
        <w:t xml:space="preserve">du </w:t>
      </w:r>
      <w:r w:rsidR="002E1C49">
        <w:t>10 avril 2012</w:t>
      </w:r>
      <w:r w:rsidR="008D77C8">
        <w:t xml:space="preserve"> </w:t>
      </w:r>
      <w:r>
        <w:t xml:space="preserve">du président de la </w:t>
      </w:r>
      <w:r w:rsidR="00B369E7">
        <w:t>p</w:t>
      </w:r>
      <w:r>
        <w:t>remière chambre désignant M</w:t>
      </w:r>
      <w:r w:rsidR="008D77C8">
        <w:t>. </w:t>
      </w:r>
      <w:r w:rsidR="006B3C91">
        <w:t xml:space="preserve">Francis </w:t>
      </w:r>
      <w:r w:rsidR="002E1C49">
        <w:t>Brun-</w:t>
      </w:r>
      <w:r w:rsidR="00954E30">
        <w:t>B</w:t>
      </w:r>
      <w:r w:rsidR="002E1C49">
        <w:t>uisson</w:t>
      </w:r>
      <w:r w:rsidR="00B369E7">
        <w:t>,</w:t>
      </w:r>
      <w:r>
        <w:t xml:space="preserve"> </w:t>
      </w:r>
      <w:r w:rsidR="00B369E7">
        <w:t>conseill</w:t>
      </w:r>
      <w:r w:rsidR="008D77C8">
        <w:t>er</w:t>
      </w:r>
      <w:r w:rsidR="00B369E7">
        <w:t xml:space="preserve"> maître, </w:t>
      </w:r>
      <w:r>
        <w:t>comme réviseur ;</w:t>
      </w:r>
    </w:p>
    <w:p w:rsidR="000C17C4" w:rsidRDefault="000C17C4" w:rsidP="0038054D">
      <w:pPr>
        <w:pStyle w:val="Corpsdetexte"/>
        <w:spacing w:before="280" w:after="280"/>
        <w:ind w:left="567" w:firstLine="1134"/>
      </w:pPr>
      <w:r>
        <w:t xml:space="preserve">Vu la lettre du </w:t>
      </w:r>
      <w:r w:rsidR="002E1C49">
        <w:t xml:space="preserve">14 mai </w:t>
      </w:r>
      <w:r w:rsidR="008D77C8">
        <w:t>201</w:t>
      </w:r>
      <w:r w:rsidR="00E16933">
        <w:t>2</w:t>
      </w:r>
      <w:r>
        <w:t xml:space="preserve"> informant </w:t>
      </w:r>
      <w:r w:rsidR="003345D7" w:rsidRPr="00D6562E">
        <w:t>M</w:t>
      </w:r>
      <w:r w:rsidR="003345D7" w:rsidRPr="00D6562E">
        <w:rPr>
          <w:vertAlign w:val="superscript"/>
        </w:rPr>
        <w:t>me</w:t>
      </w:r>
      <w:r w:rsidR="003345D7">
        <w:t xml:space="preserve"> </w:t>
      </w:r>
      <w:r w:rsidR="00213272">
        <w:t>X</w:t>
      </w:r>
      <w:r w:rsidR="002A4844">
        <w:t xml:space="preserve"> </w:t>
      </w:r>
      <w:r w:rsidR="006708E6">
        <w:t xml:space="preserve">de </w:t>
      </w:r>
      <w:r>
        <w:t xml:space="preserve">la date de l’audience publique du </w:t>
      </w:r>
      <w:r w:rsidR="002E1C49">
        <w:t>13 juin 2012</w:t>
      </w:r>
      <w:r>
        <w:t xml:space="preserve">, et l’accusé de réception de cette lettre </w:t>
      </w:r>
      <w:r w:rsidR="0091055D">
        <w:t xml:space="preserve">signé le </w:t>
      </w:r>
      <w:r w:rsidR="002E1C49">
        <w:t xml:space="preserve">15 mai </w:t>
      </w:r>
      <w:r w:rsidR="008D77C8">
        <w:t>201</w:t>
      </w:r>
      <w:r w:rsidR="00E16933">
        <w:t xml:space="preserve">2 </w:t>
      </w:r>
      <w:r>
        <w:t>par le comptable ;</w:t>
      </w:r>
    </w:p>
    <w:p w:rsidR="005C5011" w:rsidRPr="00E16933" w:rsidRDefault="002E1C49" w:rsidP="0038054D">
      <w:pPr>
        <w:pStyle w:val="Corpsdetexte"/>
        <w:spacing w:before="280" w:after="280"/>
        <w:ind w:left="567" w:firstLine="1134"/>
        <w:rPr>
          <w:i/>
        </w:rPr>
      </w:pPr>
      <w:r>
        <w:t xml:space="preserve">Vu la lettre du 30 mars 2012 dans laquelle </w:t>
      </w:r>
      <w:r w:rsidR="003345D7" w:rsidRPr="00D6562E">
        <w:t>M</w:t>
      </w:r>
      <w:r w:rsidR="003345D7" w:rsidRPr="00D6562E">
        <w:rPr>
          <w:vertAlign w:val="superscript"/>
        </w:rPr>
        <w:t>me</w:t>
      </w:r>
      <w:r w:rsidR="003345D7">
        <w:t xml:space="preserve"> </w:t>
      </w:r>
      <w:r w:rsidR="00213272">
        <w:t>X</w:t>
      </w:r>
      <w:r>
        <w:t xml:space="preserve"> </w:t>
      </w:r>
      <w:r w:rsidR="00C62316">
        <w:t>invoque la prescription extinctive en application de l’article 60 modifié de la loi n°</w:t>
      </w:r>
      <w:r w:rsidR="00FE21C1">
        <w:t> </w:t>
      </w:r>
      <w:r w:rsidR="00C62316">
        <w:t>63-156 du</w:t>
      </w:r>
      <w:r w:rsidR="00C230BD">
        <w:t> </w:t>
      </w:r>
      <w:r w:rsidR="00C62316">
        <w:t>23</w:t>
      </w:r>
      <w:r w:rsidR="00FE21C1">
        <w:t> </w:t>
      </w:r>
      <w:r w:rsidR="00C62316">
        <w:t>février</w:t>
      </w:r>
      <w:r w:rsidR="00FE21C1">
        <w:t> </w:t>
      </w:r>
      <w:r w:rsidR="00C62316">
        <w:t>1963 </w:t>
      </w:r>
      <w:r>
        <w:t>;</w:t>
      </w:r>
    </w:p>
    <w:p w:rsidR="00D06882" w:rsidRDefault="00D06882" w:rsidP="0038054D">
      <w:pPr>
        <w:pStyle w:val="Corpsdetexte"/>
        <w:spacing w:before="280" w:after="280"/>
        <w:ind w:left="567" w:firstLine="1134"/>
      </w:pPr>
      <w:r>
        <w:t>Entendu</w:t>
      </w:r>
      <w:r w:rsidR="000C17C4">
        <w:t>s</w:t>
      </w:r>
      <w:r>
        <w:t xml:space="preserve"> </w:t>
      </w:r>
      <w:r w:rsidR="0018438A">
        <w:t>en</w:t>
      </w:r>
      <w:r>
        <w:t xml:space="preserve"> audience publique, </w:t>
      </w:r>
      <w:r w:rsidR="00F06E29">
        <w:t>M</w:t>
      </w:r>
      <w:r w:rsidR="002A4844">
        <w:t>.</w:t>
      </w:r>
      <w:r w:rsidR="00FE21C1">
        <w:t> </w:t>
      </w:r>
      <w:r w:rsidR="002A4844">
        <w:t>Jourdain</w:t>
      </w:r>
      <w:r w:rsidR="00F06E29">
        <w:t>,</w:t>
      </w:r>
      <w:r>
        <w:t xml:space="preserve"> </w:t>
      </w:r>
      <w:r w:rsidR="00165AC7">
        <w:t>conseill</w:t>
      </w:r>
      <w:r w:rsidR="00DF790A">
        <w:t>er</w:t>
      </w:r>
      <w:r w:rsidR="00165AC7">
        <w:t xml:space="preserve"> </w:t>
      </w:r>
      <w:r w:rsidR="006B3C91">
        <w:t>référendaire,</w:t>
      </w:r>
      <w:r w:rsidR="00165AC7">
        <w:t xml:space="preserve"> </w:t>
      </w:r>
      <w:r>
        <w:t>e</w:t>
      </w:r>
      <w:r w:rsidR="00D53BC2">
        <w:t>n son rapport oral, et M.</w:t>
      </w:r>
      <w:r w:rsidR="00FE21C1">
        <w:t> </w:t>
      </w:r>
      <w:r w:rsidR="006B3C91">
        <w:t xml:space="preserve">Yves </w:t>
      </w:r>
      <w:r w:rsidR="000C4F7B">
        <w:t>Perrin</w:t>
      </w:r>
      <w:r>
        <w:t>, avocat géné</w:t>
      </w:r>
      <w:r w:rsidR="004D4916">
        <w:t>ral, en ses conclusions orales</w:t>
      </w:r>
      <w:r w:rsidR="003345D7">
        <w:t>,</w:t>
      </w:r>
      <w:r w:rsidR="006B3C91">
        <w:t xml:space="preserve"> les parties </w:t>
      </w:r>
      <w:r w:rsidR="003345D7">
        <w:t>n’</w:t>
      </w:r>
      <w:r w:rsidR="006B3C91">
        <w:t>étant ni présentes, ni représentées ;</w:t>
      </w:r>
    </w:p>
    <w:p w:rsidR="00D06882" w:rsidRPr="00F06E29" w:rsidRDefault="00165AC7" w:rsidP="008A55EC">
      <w:pPr>
        <w:pStyle w:val="Corpsdetexte"/>
        <w:spacing w:before="280" w:after="480"/>
        <w:ind w:left="567" w:firstLine="1134"/>
      </w:pPr>
      <w:r>
        <w:lastRenderedPageBreak/>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w:t>
      </w:r>
      <w:r w:rsidR="00FE21C1">
        <w:t> </w:t>
      </w:r>
      <w:r w:rsidR="006B3C91">
        <w:t xml:space="preserve">Francis </w:t>
      </w:r>
      <w:r w:rsidR="002E1C49">
        <w:t>Brun-Buisson</w:t>
      </w:r>
      <w:r w:rsidR="00D06882" w:rsidRPr="00F06E29">
        <w:t>, conseill</w:t>
      </w:r>
      <w:r w:rsidR="009276E8">
        <w:t>er</w:t>
      </w:r>
      <w:r w:rsidR="00D06882" w:rsidRPr="00F06E29">
        <w:t xml:space="preserve"> maître, en ses observations ;</w:t>
      </w:r>
    </w:p>
    <w:p w:rsidR="004E421B" w:rsidRPr="001F3148" w:rsidRDefault="004E421B" w:rsidP="0038054D">
      <w:pPr>
        <w:pStyle w:val="ps"/>
        <w:spacing w:after="240"/>
        <w:ind w:firstLine="0"/>
        <w:jc w:val="center"/>
        <w:rPr>
          <w:b/>
        </w:rPr>
      </w:pPr>
      <w:r w:rsidRPr="001F3148">
        <w:rPr>
          <w:b/>
        </w:rPr>
        <w:t>ORDONNE</w:t>
      </w:r>
      <w:r w:rsidR="0038054D">
        <w:rPr>
          <w:b/>
        </w:rPr>
        <w:t> :</w:t>
      </w:r>
    </w:p>
    <w:p w:rsidR="00697051" w:rsidRDefault="00697051" w:rsidP="0088122E">
      <w:pPr>
        <w:pStyle w:val="helene"/>
      </w:pPr>
    </w:p>
    <w:p w:rsidR="00551829" w:rsidRDefault="00551829" w:rsidP="00551829">
      <w:pPr>
        <w:pStyle w:val="Corpsdetexte"/>
        <w:spacing w:before="0" w:after="0"/>
        <w:ind w:left="567" w:firstLine="0"/>
        <w:jc w:val="left"/>
        <w:rPr>
          <w:b/>
          <w:u w:val="single"/>
        </w:rPr>
      </w:pPr>
      <w:r>
        <w:rPr>
          <w:b/>
          <w:u w:val="single"/>
        </w:rPr>
        <w:t xml:space="preserve">A l’égard de </w:t>
      </w:r>
      <w:r w:rsidR="00213272">
        <w:rPr>
          <w:b/>
          <w:u w:val="single"/>
        </w:rPr>
        <w:t>Mme X</w:t>
      </w:r>
    </w:p>
    <w:p w:rsidR="00551829" w:rsidRDefault="00551829" w:rsidP="00551829">
      <w:pPr>
        <w:pStyle w:val="Corpsdetexte"/>
        <w:spacing w:before="0" w:after="0"/>
        <w:ind w:left="567" w:firstLine="0"/>
        <w:jc w:val="left"/>
        <w:rPr>
          <w:b/>
          <w:u w:val="single"/>
        </w:rPr>
      </w:pPr>
    </w:p>
    <w:p w:rsidR="00551829" w:rsidRDefault="00145661" w:rsidP="00551829">
      <w:pPr>
        <w:pStyle w:val="Corpsdetexte"/>
        <w:spacing w:before="0" w:after="0"/>
        <w:ind w:left="567" w:firstLine="0"/>
        <w:jc w:val="left"/>
        <w:rPr>
          <w:b/>
          <w:u w:val="single"/>
        </w:rPr>
      </w:pPr>
      <w:r>
        <w:rPr>
          <w:b/>
          <w:u w:val="single"/>
        </w:rPr>
        <w:t>Affaire</w:t>
      </w:r>
      <w:r w:rsidR="003345D7">
        <w:rPr>
          <w:b/>
          <w:u w:val="single"/>
        </w:rPr>
        <w:t> :</w:t>
      </w:r>
      <w:r w:rsidR="00E16933">
        <w:rPr>
          <w:b/>
          <w:u w:val="single"/>
        </w:rPr>
        <w:t> </w:t>
      </w:r>
      <w:r w:rsidR="00AA7AE1">
        <w:rPr>
          <w:b/>
          <w:u w:val="single"/>
        </w:rPr>
        <w:t xml:space="preserve">Société </w:t>
      </w:r>
      <w:r w:rsidR="00FA5305">
        <w:rPr>
          <w:b/>
          <w:u w:val="single"/>
        </w:rPr>
        <w:t xml:space="preserve">civile immobilière Résidence du </w:t>
      </w:r>
      <w:r w:rsidR="003345D7">
        <w:rPr>
          <w:b/>
          <w:u w:val="single"/>
        </w:rPr>
        <w:t>v</w:t>
      </w:r>
      <w:r w:rsidR="00FA5305">
        <w:rPr>
          <w:b/>
          <w:u w:val="single"/>
        </w:rPr>
        <w:t xml:space="preserve">ieux </w:t>
      </w:r>
      <w:r w:rsidR="003345D7">
        <w:rPr>
          <w:b/>
          <w:u w:val="single"/>
        </w:rPr>
        <w:t>p</w:t>
      </w:r>
      <w:r w:rsidR="00FA5305">
        <w:rPr>
          <w:b/>
          <w:u w:val="single"/>
        </w:rPr>
        <w:t>ort</w:t>
      </w:r>
    </w:p>
    <w:p w:rsidR="009F6499" w:rsidRDefault="009F6499" w:rsidP="00551829">
      <w:pPr>
        <w:pStyle w:val="Corpsdetexte"/>
        <w:spacing w:before="0" w:after="0"/>
        <w:ind w:left="567" w:firstLine="0"/>
        <w:jc w:val="left"/>
        <w:rPr>
          <w:b/>
          <w:u w:val="single"/>
        </w:rPr>
      </w:pPr>
    </w:p>
    <w:p w:rsidR="00551829" w:rsidRDefault="00551829" w:rsidP="0038054D">
      <w:pPr>
        <w:pStyle w:val="Corpsdetexte"/>
        <w:spacing w:before="0" w:after="360"/>
        <w:ind w:left="567" w:firstLine="0"/>
        <w:jc w:val="left"/>
        <w:rPr>
          <w:b/>
          <w:u w:val="single"/>
        </w:rPr>
      </w:pPr>
      <w:r>
        <w:rPr>
          <w:b/>
          <w:u w:val="single"/>
        </w:rPr>
        <w:t>Exercice 200</w:t>
      </w:r>
      <w:r w:rsidR="00FA5305">
        <w:rPr>
          <w:b/>
          <w:u w:val="single"/>
        </w:rPr>
        <w:t>4</w:t>
      </w:r>
    </w:p>
    <w:p w:rsidR="00881F07" w:rsidRDefault="0098479D" w:rsidP="008A55EC">
      <w:pPr>
        <w:pStyle w:val="Corpsdetexte"/>
        <w:spacing w:before="280" w:after="280"/>
        <w:ind w:left="567" w:firstLine="1134"/>
      </w:pPr>
      <w:r>
        <w:t>Attendu que le ministère public, par réquisitoire du 29</w:t>
      </w:r>
      <w:r w:rsidR="00961772">
        <w:t> </w:t>
      </w:r>
      <w:r>
        <w:t>novembre</w:t>
      </w:r>
      <w:r w:rsidR="00961772">
        <w:t> </w:t>
      </w:r>
      <w:r>
        <w:t>2011, a</w:t>
      </w:r>
      <w:r w:rsidR="003345D7">
        <w:t xml:space="preserve"> </w:t>
      </w:r>
      <w:r>
        <w:t xml:space="preserve">constaté que </w:t>
      </w:r>
      <w:r w:rsidR="00881F07">
        <w:t xml:space="preserve">la société civile immobilière </w:t>
      </w:r>
      <w:r w:rsidR="003345D7">
        <w:t>« </w:t>
      </w:r>
      <w:r w:rsidR="00881F07">
        <w:t>Résidence du Vieux Port</w:t>
      </w:r>
      <w:r w:rsidR="003345D7">
        <w:t xml:space="preserve"> » </w:t>
      </w:r>
      <w:r w:rsidR="00881F07">
        <w:t>restait redevable au 31</w:t>
      </w:r>
      <w:r w:rsidR="0038054D">
        <w:t> </w:t>
      </w:r>
      <w:r w:rsidR="00881F07">
        <w:t>décembre</w:t>
      </w:r>
      <w:r w:rsidR="0038054D">
        <w:t> </w:t>
      </w:r>
      <w:r w:rsidR="00881F07">
        <w:t>2008, d’un montant de 240 242,60</w:t>
      </w:r>
      <w:r w:rsidR="0038054D">
        <w:t> </w:t>
      </w:r>
      <w:r w:rsidR="00881F07">
        <w:t xml:space="preserve">euros, </w:t>
      </w:r>
      <w:r w:rsidR="00994D0C">
        <w:t xml:space="preserve">concernant </w:t>
      </w:r>
      <w:r w:rsidR="005C1066">
        <w:t>l</w:t>
      </w:r>
      <w:r w:rsidR="00881F07">
        <w:t>es échéances des</w:t>
      </w:r>
      <w:r w:rsidR="003345D7">
        <w:t xml:space="preserve"> </w:t>
      </w:r>
      <w:r w:rsidR="00881F07">
        <w:t>11</w:t>
      </w:r>
      <w:r w:rsidR="0038054D">
        <w:t> </w:t>
      </w:r>
      <w:r w:rsidR="00881F07">
        <w:t>février</w:t>
      </w:r>
      <w:r w:rsidR="0038054D">
        <w:t> </w:t>
      </w:r>
      <w:r w:rsidR="00881F07">
        <w:t>1991 et 11</w:t>
      </w:r>
      <w:r w:rsidR="0038054D">
        <w:t> </w:t>
      </w:r>
      <w:r w:rsidR="00881F07">
        <w:t>août</w:t>
      </w:r>
      <w:r w:rsidR="0038054D">
        <w:t> </w:t>
      </w:r>
      <w:r w:rsidR="00881F07">
        <w:t>1992 de taxe pour dépassement du plafond légal de densité</w:t>
      </w:r>
      <w:r w:rsidR="003345D7">
        <w:t> </w:t>
      </w:r>
      <w:r w:rsidR="00881F07">
        <w:t xml:space="preserve">; que la société à responsabilité limitée </w:t>
      </w:r>
      <w:proofErr w:type="spellStart"/>
      <w:r w:rsidR="00881F07">
        <w:t>Steel</w:t>
      </w:r>
      <w:proofErr w:type="spellEnd"/>
      <w:r w:rsidR="00881F07">
        <w:t xml:space="preserve"> </w:t>
      </w:r>
      <w:r w:rsidR="003345D7">
        <w:t>c</w:t>
      </w:r>
      <w:r w:rsidR="00881F07">
        <w:t xml:space="preserve">onstructions </w:t>
      </w:r>
      <w:r w:rsidR="003345D7">
        <w:t>i</w:t>
      </w:r>
      <w:r w:rsidR="00881F07">
        <w:t>nvestissements a</w:t>
      </w:r>
      <w:r w:rsidR="005C1066">
        <w:t>vait</w:t>
      </w:r>
      <w:r w:rsidR="00881F07">
        <w:t xml:space="preserve"> obtenu le 23</w:t>
      </w:r>
      <w:r w:rsidR="0038054D">
        <w:t> </w:t>
      </w:r>
      <w:r w:rsidR="00881F07">
        <w:t>mars</w:t>
      </w:r>
      <w:r w:rsidR="0038054D">
        <w:t> </w:t>
      </w:r>
      <w:r w:rsidR="00881F07">
        <w:t xml:space="preserve">1990 le transfert du permis de construire </w:t>
      </w:r>
      <w:r w:rsidR="009A16B8">
        <w:t>délivré le</w:t>
      </w:r>
      <w:r w:rsidR="00881F07">
        <w:t xml:space="preserve"> 11</w:t>
      </w:r>
      <w:r w:rsidR="0038054D">
        <w:t> </w:t>
      </w:r>
      <w:r w:rsidR="00881F07">
        <w:t>août</w:t>
      </w:r>
      <w:r w:rsidR="0038054D">
        <w:t> </w:t>
      </w:r>
      <w:r w:rsidR="00881F07">
        <w:t>1989</w:t>
      </w:r>
      <w:r w:rsidR="003345D7">
        <w:t> </w:t>
      </w:r>
      <w:r w:rsidR="00881F07">
        <w:t>; que</w:t>
      </w:r>
      <w:r w:rsidR="003345D7">
        <w:t xml:space="preserve"> </w:t>
      </w:r>
      <w:r w:rsidR="00881F07">
        <w:t xml:space="preserve">le recouvrement </w:t>
      </w:r>
      <w:r w:rsidR="005479F7">
        <w:t xml:space="preserve">de </w:t>
      </w:r>
      <w:r w:rsidR="00881F07">
        <w:t>la créance</w:t>
      </w:r>
      <w:r w:rsidR="005C1066">
        <w:t>,</w:t>
      </w:r>
      <w:r w:rsidR="00881F07" w:rsidRPr="00CE62CB">
        <w:t xml:space="preserve"> </w:t>
      </w:r>
      <w:r w:rsidR="00881F07">
        <w:t xml:space="preserve">prise en charge au nom de la </w:t>
      </w:r>
      <w:r w:rsidR="001E7C69">
        <w:t>société</w:t>
      </w:r>
      <w:r w:rsidR="00881F07">
        <w:t xml:space="preserve"> Résidence du</w:t>
      </w:r>
      <w:r w:rsidR="003345D7">
        <w:t xml:space="preserve"> v</w:t>
      </w:r>
      <w:r w:rsidR="00881F07">
        <w:t>ieux</w:t>
      </w:r>
      <w:r w:rsidR="003345D7">
        <w:t xml:space="preserve"> p</w:t>
      </w:r>
      <w:r w:rsidR="00881F07">
        <w:t>ort</w:t>
      </w:r>
      <w:r w:rsidR="005C1066">
        <w:t>,</w:t>
      </w:r>
      <w:r w:rsidR="003345D7">
        <w:t xml:space="preserve"> </w:t>
      </w:r>
      <w:r w:rsidR="00881F07">
        <w:t xml:space="preserve">a été poursuivi contre la société </w:t>
      </w:r>
      <w:proofErr w:type="spellStart"/>
      <w:r w:rsidR="00881F07">
        <w:t>Steel</w:t>
      </w:r>
      <w:proofErr w:type="spellEnd"/>
      <w:r w:rsidR="00881F07">
        <w:t xml:space="preserve"> </w:t>
      </w:r>
      <w:r w:rsidR="003345D7">
        <w:t>c</w:t>
      </w:r>
      <w:r w:rsidR="00881F07">
        <w:t>onstructions</w:t>
      </w:r>
      <w:r w:rsidR="00881F07" w:rsidRPr="002F73D3">
        <w:t xml:space="preserve"> </w:t>
      </w:r>
      <w:r w:rsidR="003345D7">
        <w:t>i</w:t>
      </w:r>
      <w:r w:rsidR="00881F07">
        <w:t>nvestissements, conformément aux dispositions de l’article</w:t>
      </w:r>
      <w:r w:rsidR="003345D7">
        <w:t xml:space="preserve"> </w:t>
      </w:r>
      <w:r w:rsidR="00881F07">
        <w:t xml:space="preserve">1723 </w:t>
      </w:r>
      <w:proofErr w:type="spellStart"/>
      <w:r w:rsidR="00881F07" w:rsidRPr="003345D7">
        <w:rPr>
          <w:i/>
        </w:rPr>
        <w:t>decies</w:t>
      </w:r>
      <w:proofErr w:type="spellEnd"/>
      <w:r w:rsidR="00881F07">
        <w:t xml:space="preserve"> du code général des impôts, prévoyant la solidarité des titulaires successifs du permis de construire ;</w:t>
      </w:r>
    </w:p>
    <w:p w:rsidR="00881F07" w:rsidRDefault="00881F07" w:rsidP="008A55EC">
      <w:pPr>
        <w:pStyle w:val="Corpsdetexte"/>
        <w:spacing w:before="280" w:after="280"/>
        <w:ind w:left="567" w:firstLine="1134"/>
      </w:pPr>
      <w:r>
        <w:t xml:space="preserve">Attendu </w:t>
      </w:r>
      <w:r w:rsidRPr="00DB56E6">
        <w:t>qu</w:t>
      </w:r>
      <w:r>
        <w:t>e la société</w:t>
      </w:r>
      <w:r w:rsidRPr="00AE6028">
        <w:t xml:space="preserve"> </w:t>
      </w:r>
      <w:proofErr w:type="spellStart"/>
      <w:r>
        <w:t>Steel</w:t>
      </w:r>
      <w:proofErr w:type="spellEnd"/>
      <w:r>
        <w:t xml:space="preserve"> </w:t>
      </w:r>
      <w:r w:rsidR="003345D7">
        <w:t>c</w:t>
      </w:r>
      <w:r>
        <w:t>onstructions</w:t>
      </w:r>
      <w:r w:rsidRPr="002F73D3">
        <w:t xml:space="preserve"> </w:t>
      </w:r>
      <w:r w:rsidR="003345D7">
        <w:t>i</w:t>
      </w:r>
      <w:r>
        <w:t>nvestissements</w:t>
      </w:r>
      <w:r w:rsidRPr="009B1BB7">
        <w:t xml:space="preserve"> a été déclaré</w:t>
      </w:r>
      <w:r>
        <w:t>e</w:t>
      </w:r>
      <w:r w:rsidRPr="009B1BB7">
        <w:t xml:space="preserve"> en </w:t>
      </w:r>
      <w:r>
        <w:t>liquidation ju</w:t>
      </w:r>
      <w:r w:rsidRPr="009B1BB7">
        <w:t xml:space="preserve">diciaire par jugement publié </w:t>
      </w:r>
      <w:r>
        <w:t>le 12</w:t>
      </w:r>
      <w:r w:rsidR="005479F7">
        <w:t> </w:t>
      </w:r>
      <w:r>
        <w:t>mai</w:t>
      </w:r>
      <w:r w:rsidR="005479F7">
        <w:t> </w:t>
      </w:r>
      <w:r>
        <w:t xml:space="preserve">2000 ; que la déclaration au passif de cette procédure a été </w:t>
      </w:r>
      <w:r w:rsidR="00D90F90">
        <w:t>faite</w:t>
      </w:r>
      <w:r>
        <w:t xml:space="preserve"> le 25</w:t>
      </w:r>
      <w:r w:rsidR="0038054D">
        <w:t> </w:t>
      </w:r>
      <w:r>
        <w:t>mai</w:t>
      </w:r>
      <w:r w:rsidR="0038054D">
        <w:t> </w:t>
      </w:r>
      <w:r>
        <w:t>2000, à titre hypothécaire, à hauteur</w:t>
      </w:r>
      <w:r w:rsidR="00213272">
        <w:t xml:space="preserve"> </w:t>
      </w:r>
      <w:r>
        <w:t xml:space="preserve">de </w:t>
      </w:r>
      <w:r w:rsidRPr="00E8636A">
        <w:t>621</w:t>
      </w:r>
      <w:r w:rsidR="0038054D">
        <w:t> </w:t>
      </w:r>
      <w:r w:rsidRPr="00E8636A">
        <w:t>194,06</w:t>
      </w:r>
      <w:r w:rsidR="00A5487E">
        <w:t> </w:t>
      </w:r>
      <w:r>
        <w:t>euros, dont 361 891,70</w:t>
      </w:r>
      <w:r w:rsidR="0038054D">
        <w:t> </w:t>
      </w:r>
      <w:r>
        <w:t xml:space="preserve">euros en droits, </w:t>
      </w:r>
      <w:r w:rsidR="00D90F90">
        <w:t xml:space="preserve">correspondant aux </w:t>
      </w:r>
      <w:r>
        <w:t xml:space="preserve">créances propres à la société </w:t>
      </w:r>
      <w:proofErr w:type="spellStart"/>
      <w:r>
        <w:t>Steel</w:t>
      </w:r>
      <w:proofErr w:type="spellEnd"/>
      <w:r>
        <w:t xml:space="preserve"> </w:t>
      </w:r>
      <w:r w:rsidR="003345D7">
        <w:t>c</w:t>
      </w:r>
      <w:r>
        <w:t xml:space="preserve">onstructions </w:t>
      </w:r>
      <w:r w:rsidR="003345D7">
        <w:t>i</w:t>
      </w:r>
      <w:r>
        <w:t>nvestissements et 259 302,36</w:t>
      </w:r>
      <w:r w:rsidR="0038054D">
        <w:t> </w:t>
      </w:r>
      <w:r>
        <w:t>euros</w:t>
      </w:r>
      <w:r w:rsidRPr="00DF5DDB">
        <w:t xml:space="preserve"> </w:t>
      </w:r>
      <w:r>
        <w:t>dont</w:t>
      </w:r>
      <w:r w:rsidR="003345D7">
        <w:t xml:space="preserve"> </w:t>
      </w:r>
      <w:r>
        <w:t>240 242,60</w:t>
      </w:r>
      <w:r w:rsidR="0038054D">
        <w:t> </w:t>
      </w:r>
      <w:r>
        <w:t>euros en droits au titre des créances sur la société Résidence</w:t>
      </w:r>
      <w:r w:rsidR="003345D7">
        <w:t xml:space="preserve"> </w:t>
      </w:r>
      <w:r>
        <w:t>du</w:t>
      </w:r>
      <w:r w:rsidR="003345D7">
        <w:t xml:space="preserve"> v</w:t>
      </w:r>
      <w:r>
        <w:t>ieux</w:t>
      </w:r>
      <w:r w:rsidR="003345D7">
        <w:t xml:space="preserve"> p</w:t>
      </w:r>
      <w:r>
        <w:t>ort ;</w:t>
      </w:r>
    </w:p>
    <w:p w:rsidR="00881F07" w:rsidRDefault="00881F07" w:rsidP="008A55EC">
      <w:pPr>
        <w:pStyle w:val="Corpsdetexte"/>
        <w:spacing w:before="280" w:after="280"/>
        <w:ind w:left="567" w:firstLine="1134"/>
      </w:pPr>
      <w:r>
        <w:t xml:space="preserve">Attendu </w:t>
      </w:r>
      <w:r w:rsidRPr="00DB56E6">
        <w:t>qu</w:t>
      </w:r>
      <w:r>
        <w:t>e, par jugement du 13 septembre 2001, le tribunal de grande instance de Draguignan n’a pas colloqué la recette de Fréjus</w:t>
      </w:r>
      <w:r w:rsidR="001E7C69">
        <w:t>, créancière hypothécaire de premier rang</w:t>
      </w:r>
      <w:r>
        <w:t xml:space="preserve"> dans la procédure d’ordre</w:t>
      </w:r>
      <w:r w:rsidR="00820FF7">
        <w:t>,</w:t>
      </w:r>
      <w:r w:rsidRPr="00CF5546">
        <w:t xml:space="preserve"> </w:t>
      </w:r>
      <w:r>
        <w:t>au motif d’un défaut de justification de déclaration des créances fiscales ; que le receveur de Fréjus a interjeté appel de cette décision le 10 octobre</w:t>
      </w:r>
      <w:r w:rsidR="0038054D">
        <w:t> </w:t>
      </w:r>
      <w:r>
        <w:t>2001</w:t>
      </w:r>
      <w:r w:rsidR="003345D7">
        <w:t> </w:t>
      </w:r>
      <w:r>
        <w:t xml:space="preserve">; que par arrêt du 17 octobre 2002, la </w:t>
      </w:r>
      <w:r w:rsidR="001E7C69">
        <w:t>c</w:t>
      </w:r>
      <w:r>
        <w:t>our d’appel</w:t>
      </w:r>
      <w:r w:rsidR="00213272">
        <w:t xml:space="preserve"> </w:t>
      </w:r>
      <w:r>
        <w:t>d’Aix-en-Provence a colloqué, en premier rang, à titre hypothécaire, la recette de Fréjus, à hauteur de 621 194,06</w:t>
      </w:r>
      <w:r w:rsidR="0038054D">
        <w:t> </w:t>
      </w:r>
      <w:r>
        <w:t>euros, somme déclarée à la liquidation judiciaire de la société</w:t>
      </w:r>
      <w:r w:rsidR="003345D7">
        <w:t xml:space="preserve"> </w:t>
      </w:r>
      <w:proofErr w:type="spellStart"/>
      <w:r>
        <w:t>Steel</w:t>
      </w:r>
      <w:proofErr w:type="spellEnd"/>
      <w:r>
        <w:t xml:space="preserve"> </w:t>
      </w:r>
      <w:r w:rsidR="003345D7">
        <w:t>c</w:t>
      </w:r>
      <w:r>
        <w:t>onstructions</w:t>
      </w:r>
      <w:r w:rsidRPr="002F73D3">
        <w:t xml:space="preserve"> </w:t>
      </w:r>
      <w:r w:rsidR="003345D7">
        <w:t>i</w:t>
      </w:r>
      <w:r>
        <w:t xml:space="preserve">nvestissements ; </w:t>
      </w:r>
    </w:p>
    <w:p w:rsidR="00881F07" w:rsidRDefault="002A5964" w:rsidP="008A55EC">
      <w:pPr>
        <w:pStyle w:val="Corpsdetexte"/>
        <w:spacing w:before="280" w:after="280"/>
        <w:ind w:left="567" w:firstLine="1134"/>
      </w:pPr>
      <w:r>
        <w:br w:type="page"/>
      </w:r>
      <w:r w:rsidR="00881F07">
        <w:lastRenderedPageBreak/>
        <w:t>Attendu que le service des ordres du tribunal de grande instance a invité le</w:t>
      </w:r>
      <w:r w:rsidR="003345D7">
        <w:t xml:space="preserve"> </w:t>
      </w:r>
      <w:r w:rsidR="00881F07">
        <w:t>l4 août</w:t>
      </w:r>
      <w:r w:rsidR="0038054D">
        <w:t> </w:t>
      </w:r>
      <w:r w:rsidR="00881F07">
        <w:t>2004 le comptable à déposer au greffe de ce tribunal un décompte actualisé de ses créances avant le 31</w:t>
      </w:r>
      <w:r w:rsidR="0038054D">
        <w:t> </w:t>
      </w:r>
      <w:r w:rsidR="00881F07">
        <w:t xml:space="preserve">octobre ; que la </w:t>
      </w:r>
      <w:r w:rsidR="00881F07" w:rsidRPr="00E511B3">
        <w:t xml:space="preserve">production à l’ordre a été effectuée </w:t>
      </w:r>
      <w:r w:rsidR="00881F07">
        <w:t>le</w:t>
      </w:r>
      <w:r w:rsidR="003345D7">
        <w:t xml:space="preserve"> </w:t>
      </w:r>
      <w:r w:rsidR="00881F07">
        <w:t>16 septembre </w:t>
      </w:r>
      <w:r w:rsidR="00881F07" w:rsidRPr="00E511B3">
        <w:t>2004</w:t>
      </w:r>
      <w:r w:rsidR="00881F07">
        <w:t xml:space="preserve"> pour 361 891,70</w:t>
      </w:r>
      <w:r w:rsidR="0038054D">
        <w:t> </w:t>
      </w:r>
      <w:r w:rsidR="001E7C69">
        <w:t>euros</w:t>
      </w:r>
      <w:r w:rsidR="00881F07">
        <w:t xml:space="preserve"> seulement ; qu’ainsi</w:t>
      </w:r>
      <w:r w:rsidR="00206A11">
        <w:t>,</w:t>
      </w:r>
      <w:r w:rsidR="00881F07">
        <w:t xml:space="preserve"> selon le procès-verbal du 14 février</w:t>
      </w:r>
      <w:r w:rsidR="0038054D">
        <w:t> </w:t>
      </w:r>
      <w:r w:rsidR="00881F07">
        <w:t>2011 de règlement définitif du tribunal, la recette de Fréjus n’a été colloquée qu’à hauteur de 361 891,70</w:t>
      </w:r>
      <w:r w:rsidR="0038054D">
        <w:t> </w:t>
      </w:r>
      <w:r w:rsidR="00881F07">
        <w:t>euros, au lieu de 621 194,06</w:t>
      </w:r>
      <w:r w:rsidR="0038054D">
        <w:t> </w:t>
      </w:r>
      <w:r w:rsidR="00881F07">
        <w:t>euros</w:t>
      </w:r>
      <w:r w:rsidR="005479F7">
        <w:t> </w:t>
      </w:r>
      <w:r w:rsidR="00881F07">
        <w:t>; qu’en</w:t>
      </w:r>
      <w:r w:rsidR="003345D7">
        <w:t xml:space="preserve"> </w:t>
      </w:r>
      <w:r w:rsidR="00881F07">
        <w:t xml:space="preserve">conséquence, </w:t>
      </w:r>
      <w:r w:rsidR="003345D7" w:rsidRPr="00D6562E">
        <w:t>M</w:t>
      </w:r>
      <w:r w:rsidR="003345D7" w:rsidRPr="00D6562E">
        <w:rPr>
          <w:vertAlign w:val="superscript"/>
        </w:rPr>
        <w:t>me</w:t>
      </w:r>
      <w:r w:rsidR="003345D7">
        <w:t xml:space="preserve"> </w:t>
      </w:r>
      <w:r w:rsidR="00213272">
        <w:t>X</w:t>
      </w:r>
      <w:r w:rsidR="00881F07">
        <w:t xml:space="preserve"> n’aurait pas exercé dans les délais appropriés des diligences adéquates et complètes permettant le recouvrement de la partie de la créance correspondant à </w:t>
      </w:r>
      <w:r w:rsidR="00206A11">
        <w:t xml:space="preserve">la différence de </w:t>
      </w:r>
      <w:r w:rsidR="00881F07">
        <w:t>240 242,60</w:t>
      </w:r>
      <w:r w:rsidR="00F50C72">
        <w:t> </w:t>
      </w:r>
      <w:r w:rsidR="00881F07">
        <w:t xml:space="preserve">euros en droits ; </w:t>
      </w:r>
    </w:p>
    <w:p w:rsidR="001E7C69" w:rsidRPr="001E7C69" w:rsidRDefault="001E7C69" w:rsidP="008A55EC">
      <w:pPr>
        <w:pStyle w:val="Notedebasdepage"/>
        <w:spacing w:before="280" w:after="280"/>
        <w:ind w:left="567" w:firstLine="1134"/>
        <w:jc w:val="both"/>
        <w:rPr>
          <w:sz w:val="24"/>
          <w:szCs w:val="24"/>
        </w:rPr>
      </w:pPr>
      <w:r w:rsidRPr="001E7C69">
        <w:rPr>
          <w:sz w:val="24"/>
          <w:szCs w:val="24"/>
        </w:rPr>
        <w:t>Attendu</w:t>
      </w:r>
      <w:r>
        <w:rPr>
          <w:sz w:val="24"/>
          <w:szCs w:val="24"/>
        </w:rPr>
        <w:t xml:space="preserve"> que comme l’a jugé le </w:t>
      </w:r>
      <w:r w:rsidR="003345D7">
        <w:rPr>
          <w:sz w:val="24"/>
          <w:szCs w:val="24"/>
        </w:rPr>
        <w:t>C</w:t>
      </w:r>
      <w:r>
        <w:rPr>
          <w:sz w:val="24"/>
          <w:szCs w:val="24"/>
        </w:rPr>
        <w:t>onseil d’Etat dans sa décision du 27</w:t>
      </w:r>
      <w:r w:rsidR="0038054D">
        <w:rPr>
          <w:sz w:val="24"/>
          <w:szCs w:val="24"/>
        </w:rPr>
        <w:t> </w:t>
      </w:r>
      <w:r>
        <w:rPr>
          <w:sz w:val="24"/>
          <w:szCs w:val="24"/>
        </w:rPr>
        <w:t>octobre</w:t>
      </w:r>
      <w:r w:rsidR="0038054D">
        <w:rPr>
          <w:sz w:val="24"/>
          <w:szCs w:val="24"/>
        </w:rPr>
        <w:t> </w:t>
      </w:r>
      <w:r>
        <w:rPr>
          <w:sz w:val="24"/>
          <w:szCs w:val="24"/>
        </w:rPr>
        <w:t>2000</w:t>
      </w:r>
      <w:r w:rsidR="003B2501">
        <w:rPr>
          <w:sz w:val="24"/>
          <w:szCs w:val="24"/>
        </w:rPr>
        <w:t xml:space="preserve"> (</w:t>
      </w:r>
      <w:r w:rsidRPr="001E7C69">
        <w:rPr>
          <w:sz w:val="24"/>
          <w:szCs w:val="24"/>
        </w:rPr>
        <w:t xml:space="preserve">Mme </w:t>
      </w:r>
      <w:r w:rsidR="009627B8">
        <w:rPr>
          <w:sz w:val="24"/>
          <w:szCs w:val="24"/>
        </w:rPr>
        <w:t>Y</w:t>
      </w:r>
      <w:r w:rsidR="003B2501">
        <w:rPr>
          <w:sz w:val="24"/>
          <w:szCs w:val="24"/>
        </w:rPr>
        <w:t>)</w:t>
      </w:r>
      <w:r w:rsidRPr="001E7C69">
        <w:rPr>
          <w:sz w:val="24"/>
          <w:szCs w:val="24"/>
        </w:rPr>
        <w:t> : « </w:t>
      </w:r>
      <w:r w:rsidRPr="001E7C69">
        <w:rPr>
          <w:i/>
          <w:sz w:val="24"/>
          <w:szCs w:val="24"/>
        </w:rPr>
        <w:t xml:space="preserve">Considérant, s'agissant du débet […] prononcé à l'encontre de Mme </w:t>
      </w:r>
      <w:r w:rsidR="009627B8">
        <w:rPr>
          <w:i/>
          <w:sz w:val="24"/>
          <w:szCs w:val="24"/>
        </w:rPr>
        <w:t>Y</w:t>
      </w:r>
      <w:r w:rsidRPr="001E7C69">
        <w:rPr>
          <w:i/>
          <w:sz w:val="24"/>
          <w:szCs w:val="24"/>
        </w:rPr>
        <w:t xml:space="preserve"> à raison du défaut de recouvrement d'une créance, qu'en recherchant, au vu de son compte et des pièces qui y sont relatives, si Mme </w:t>
      </w:r>
      <w:r w:rsidR="009627B8">
        <w:rPr>
          <w:i/>
          <w:sz w:val="24"/>
          <w:szCs w:val="24"/>
        </w:rPr>
        <w:t>Y</w:t>
      </w:r>
      <w:r w:rsidRPr="001E7C69">
        <w:rPr>
          <w:i/>
          <w:sz w:val="24"/>
          <w:szCs w:val="24"/>
        </w:rPr>
        <w:t xml:space="preserve"> avait exercé des "diligences adéquates, complètes et rapides" pour le recouvrement des sommes dues […], </w:t>
      </w:r>
      <w:smartTag w:uri="urn:schemas-microsoft-com:office:smarttags" w:element="PersonName">
        <w:smartTagPr>
          <w:attr w:name="ProductID" w:val="la Cour"/>
        </w:smartTagPr>
        <w:r w:rsidRPr="001E7C69">
          <w:rPr>
            <w:i/>
            <w:sz w:val="24"/>
            <w:szCs w:val="24"/>
          </w:rPr>
          <w:t>la Cour</w:t>
        </w:r>
      </w:smartTag>
      <w:r w:rsidRPr="001E7C69">
        <w:rPr>
          <w:i/>
          <w:sz w:val="24"/>
          <w:szCs w:val="24"/>
        </w:rPr>
        <w:t xml:space="preserve"> des comptes a fait une exacte application des pouvoirs qui lui sont conférés par la loi et n'a pas, contrairement à ce qui est soutenu, empiété sur ceux dévolus au ministre de l'économie et des finances par le paragraphe IX de l'article</w:t>
      </w:r>
      <w:r w:rsidR="0038054D">
        <w:rPr>
          <w:i/>
          <w:sz w:val="24"/>
          <w:szCs w:val="24"/>
        </w:rPr>
        <w:t> </w:t>
      </w:r>
      <w:r w:rsidRPr="001E7C69">
        <w:rPr>
          <w:i/>
          <w:sz w:val="24"/>
          <w:szCs w:val="24"/>
        </w:rPr>
        <w:t>60 de la loi du 23 février 1963 </w:t>
      </w:r>
      <w:r w:rsidRPr="001E7C69">
        <w:rPr>
          <w:sz w:val="24"/>
          <w:szCs w:val="24"/>
        </w:rPr>
        <w:t>»</w:t>
      </w:r>
      <w:r w:rsidR="00566729">
        <w:rPr>
          <w:sz w:val="24"/>
          <w:szCs w:val="24"/>
        </w:rPr>
        <w:t> ;</w:t>
      </w:r>
    </w:p>
    <w:p w:rsidR="00EB1283" w:rsidRDefault="00EB1283" w:rsidP="008A55EC">
      <w:pPr>
        <w:pStyle w:val="Corpsdetexte"/>
        <w:spacing w:before="280" w:after="280"/>
        <w:ind w:left="567" w:firstLine="1134"/>
      </w:pPr>
      <w:r>
        <w:t xml:space="preserve">Attendu que par le réquisitoire susvisé, le Procureur </w:t>
      </w:r>
      <w:r w:rsidR="003345D7">
        <w:t>g</w:t>
      </w:r>
      <w:r>
        <w:t xml:space="preserve">énéral </w:t>
      </w:r>
      <w:r w:rsidR="004F51EF">
        <w:t>estime</w:t>
      </w:r>
      <w:r>
        <w:t xml:space="preserve"> que la responsabilité personnelle et pécuniaire</w:t>
      </w:r>
      <w:r w:rsidRPr="00663B33">
        <w:t xml:space="preserve"> </w:t>
      </w:r>
      <w:r>
        <w:t xml:space="preserve">de </w:t>
      </w:r>
      <w:r w:rsidR="003345D7" w:rsidRPr="00D6562E">
        <w:t>M</w:t>
      </w:r>
      <w:r w:rsidR="003345D7" w:rsidRPr="00D6562E">
        <w:rPr>
          <w:vertAlign w:val="superscript"/>
        </w:rPr>
        <w:t>me</w:t>
      </w:r>
      <w:r w:rsidR="003345D7">
        <w:t xml:space="preserve"> </w:t>
      </w:r>
      <w:r w:rsidR="00213272">
        <w:t>X</w:t>
      </w:r>
      <w:r>
        <w:t>, comptable en fonctions du</w:t>
      </w:r>
      <w:r w:rsidR="003345D7">
        <w:t xml:space="preserve"> </w:t>
      </w:r>
      <w:r w:rsidRPr="00FD0DBF">
        <w:t>1</w:t>
      </w:r>
      <w:r>
        <w:t>2</w:t>
      </w:r>
      <w:r w:rsidR="0038054D">
        <w:t> </w:t>
      </w:r>
      <w:r>
        <w:t>février</w:t>
      </w:r>
      <w:r w:rsidR="0038054D">
        <w:t> </w:t>
      </w:r>
      <w:r>
        <w:t xml:space="preserve">2004 </w:t>
      </w:r>
      <w:r w:rsidRPr="00FD0DBF">
        <w:t xml:space="preserve">au </w:t>
      </w:r>
      <w:r>
        <w:t>7</w:t>
      </w:r>
      <w:r w:rsidR="000204A5">
        <w:t> </w:t>
      </w:r>
      <w:r w:rsidRPr="00FD0DBF">
        <w:t>septembre</w:t>
      </w:r>
      <w:r w:rsidR="000204A5">
        <w:t> </w:t>
      </w:r>
      <w:r w:rsidRPr="00FD0DBF">
        <w:t>200</w:t>
      </w:r>
      <w:r>
        <w:t xml:space="preserve">5, </w:t>
      </w:r>
      <w:r w:rsidR="004F51EF">
        <w:t xml:space="preserve">était </w:t>
      </w:r>
      <w:r>
        <w:t>engagée à hauteur de 240</w:t>
      </w:r>
      <w:r w:rsidR="005479F7">
        <w:t> </w:t>
      </w:r>
      <w:r>
        <w:t>242,60</w:t>
      </w:r>
      <w:r w:rsidR="005479F7">
        <w:t> </w:t>
      </w:r>
      <w:r>
        <w:t>euros, au</w:t>
      </w:r>
      <w:r w:rsidR="003345D7">
        <w:t xml:space="preserve"> </w:t>
      </w:r>
      <w:r>
        <w:t>titre de l’exercice</w:t>
      </w:r>
      <w:r w:rsidR="005479F7">
        <w:t> </w:t>
      </w:r>
      <w:r>
        <w:t>2004 ;</w:t>
      </w:r>
    </w:p>
    <w:p w:rsidR="00A3617E" w:rsidRDefault="00D53D08" w:rsidP="008A55EC">
      <w:pPr>
        <w:pStyle w:val="Corpsdetexte"/>
        <w:spacing w:before="280" w:after="280"/>
        <w:ind w:left="567" w:firstLine="1134"/>
      </w:pPr>
      <w:r>
        <w:t>Attendu qu</w:t>
      </w:r>
      <w:r w:rsidR="0010786E">
        <w:t xml:space="preserve">e dans sa réponse </w:t>
      </w:r>
      <w:r>
        <w:t>à la Cour le 24 février 2012, la comptable rappelle que la recette de Fréjus bénéficiait en 2004 et 2005 de l’aide et de l’assistance de la recette divisionnaire</w:t>
      </w:r>
      <w:r w:rsidR="004F51EF">
        <w:t>,</w:t>
      </w:r>
      <w:r>
        <w:t xml:space="preserve"> laquelle avait en charge le suivi des dossiers</w:t>
      </w:r>
      <w:r w:rsidR="004F51EF">
        <w:t>,</w:t>
      </w:r>
      <w:r>
        <w:t xml:space="preserve"> notamment </w:t>
      </w:r>
      <w:r w:rsidR="004F51EF">
        <w:t xml:space="preserve">celui de </w:t>
      </w:r>
      <w:r>
        <w:t>la société</w:t>
      </w:r>
      <w:r w:rsidR="003345D7">
        <w:t xml:space="preserve"> </w:t>
      </w:r>
      <w:proofErr w:type="spellStart"/>
      <w:r>
        <w:t>Steel</w:t>
      </w:r>
      <w:proofErr w:type="spellEnd"/>
      <w:r>
        <w:t xml:space="preserve"> </w:t>
      </w:r>
      <w:r w:rsidR="003345D7">
        <w:t>c</w:t>
      </w:r>
      <w:r>
        <w:t xml:space="preserve">onstructions </w:t>
      </w:r>
      <w:r w:rsidR="003345D7">
        <w:t>i</w:t>
      </w:r>
      <w:r>
        <w:t xml:space="preserve">nvestissements et </w:t>
      </w:r>
      <w:r w:rsidR="00A3617E">
        <w:t xml:space="preserve">de </w:t>
      </w:r>
      <w:r>
        <w:t xml:space="preserve">la </w:t>
      </w:r>
      <w:r w:rsidR="0060795A">
        <w:t xml:space="preserve">société </w:t>
      </w:r>
      <w:r>
        <w:t>Résidence du</w:t>
      </w:r>
      <w:r w:rsidR="003345D7">
        <w:t xml:space="preserve"> v</w:t>
      </w:r>
      <w:r>
        <w:t xml:space="preserve">ieux </w:t>
      </w:r>
      <w:r w:rsidR="003345D7">
        <w:t>p</w:t>
      </w:r>
      <w:r>
        <w:t>ort ; que c’est ainsi qu’elle a produit à l’ordre du tribunal de grande instance de</w:t>
      </w:r>
      <w:r w:rsidR="003345D7">
        <w:t xml:space="preserve"> </w:t>
      </w:r>
      <w:r>
        <w:t>Draguignan, le 16</w:t>
      </w:r>
      <w:r w:rsidR="0038054D">
        <w:t> </w:t>
      </w:r>
      <w:r>
        <w:t>septembre</w:t>
      </w:r>
      <w:r w:rsidR="0038054D">
        <w:t> </w:t>
      </w:r>
      <w:r>
        <w:t xml:space="preserve">2004, la créance de la société </w:t>
      </w:r>
      <w:proofErr w:type="spellStart"/>
      <w:r>
        <w:t>Steel</w:t>
      </w:r>
      <w:proofErr w:type="spellEnd"/>
      <w:r>
        <w:t xml:space="preserve"> </w:t>
      </w:r>
      <w:r w:rsidR="003345D7">
        <w:t>c</w:t>
      </w:r>
      <w:r>
        <w:t xml:space="preserve">onstructions </w:t>
      </w:r>
      <w:r w:rsidR="003345D7">
        <w:t>i</w:t>
      </w:r>
      <w:r>
        <w:t>nvestissements à hauteur de 361 891,70</w:t>
      </w:r>
      <w:r w:rsidR="0038054D">
        <w:t> </w:t>
      </w:r>
      <w:r>
        <w:t>euros, omettant</w:t>
      </w:r>
      <w:r w:rsidR="00213272">
        <w:t xml:space="preserve"> </w:t>
      </w:r>
      <w:r>
        <w:t xml:space="preserve">la créance de la </w:t>
      </w:r>
      <w:r w:rsidR="003B2501">
        <w:t xml:space="preserve">société </w:t>
      </w:r>
      <w:r>
        <w:t xml:space="preserve">Résidence du </w:t>
      </w:r>
      <w:r w:rsidR="003345D7">
        <w:t>v</w:t>
      </w:r>
      <w:r>
        <w:t xml:space="preserve">ieux </w:t>
      </w:r>
      <w:r w:rsidR="003345D7">
        <w:t>p</w:t>
      </w:r>
      <w:r>
        <w:t>ort de 240 242,66</w:t>
      </w:r>
      <w:r w:rsidR="0038054D">
        <w:t> </w:t>
      </w:r>
      <w:r>
        <w:t xml:space="preserve">euros ; </w:t>
      </w:r>
    </w:p>
    <w:p w:rsidR="00457084" w:rsidRDefault="00A3617E" w:rsidP="008A55EC">
      <w:pPr>
        <w:pStyle w:val="Corpsdetexte"/>
        <w:spacing w:before="280" w:after="280"/>
        <w:ind w:left="567" w:firstLine="1134"/>
      </w:pPr>
      <w:r>
        <w:t xml:space="preserve">Attendu </w:t>
      </w:r>
      <w:r w:rsidR="00D53D08">
        <w:t xml:space="preserve">que la comptable n’a été informée </w:t>
      </w:r>
      <w:r w:rsidR="00D74A2D">
        <w:t xml:space="preserve">de cette omission </w:t>
      </w:r>
      <w:r w:rsidR="00D53D08">
        <w:t>que le</w:t>
      </w:r>
      <w:r w:rsidR="003345D7">
        <w:t xml:space="preserve"> </w:t>
      </w:r>
      <w:r w:rsidR="00D53D08">
        <w:t>25</w:t>
      </w:r>
      <w:r w:rsidR="0038054D">
        <w:t> </w:t>
      </w:r>
      <w:r w:rsidR="00D53D08">
        <w:t>novembre</w:t>
      </w:r>
      <w:r w:rsidR="0038054D">
        <w:t> </w:t>
      </w:r>
      <w:r w:rsidR="00D53D08">
        <w:t>2004, le délai de réponse éta</w:t>
      </w:r>
      <w:r w:rsidR="00D74A2D">
        <w:t>i</w:t>
      </w:r>
      <w:r w:rsidR="00D53D08">
        <w:t>t depuis le 31</w:t>
      </w:r>
      <w:r w:rsidR="0038054D">
        <w:t> </w:t>
      </w:r>
      <w:r w:rsidR="00D53D08">
        <w:t>octobre</w:t>
      </w:r>
      <w:r w:rsidR="0038054D">
        <w:t> </w:t>
      </w:r>
      <w:r w:rsidR="00D53D08">
        <w:t xml:space="preserve">2004, </w:t>
      </w:r>
      <w:r w:rsidR="00D74A2D">
        <w:t>expiré ; que</w:t>
      </w:r>
      <w:r w:rsidR="003345D7">
        <w:t xml:space="preserve"> </w:t>
      </w:r>
      <w:r w:rsidR="00D74A2D">
        <w:t xml:space="preserve">dès lors, </w:t>
      </w:r>
      <w:r w:rsidR="00D53D08">
        <w:t>aucune demande en rectification ne pouvait être présentée ;</w:t>
      </w:r>
      <w:r w:rsidR="001B0AEC">
        <w:t xml:space="preserve"> </w:t>
      </w:r>
    </w:p>
    <w:p w:rsidR="00D53D08" w:rsidRDefault="00D53D08" w:rsidP="008A55EC">
      <w:pPr>
        <w:pStyle w:val="ordinaire"/>
        <w:spacing w:before="280" w:after="280"/>
        <w:ind w:left="567" w:firstLine="1134"/>
      </w:pPr>
      <w:r>
        <w:t>Attendu que par arrêt du 17</w:t>
      </w:r>
      <w:r w:rsidR="005479F7">
        <w:t> </w:t>
      </w:r>
      <w:r>
        <w:t>octobre</w:t>
      </w:r>
      <w:r w:rsidR="005479F7">
        <w:t> </w:t>
      </w:r>
      <w:r>
        <w:t>2002, la cour d’appel d’Aix en Provence a colloqué en premier rang à titre hypothécaire la recette de Fréjus à hauteur de 621 194,06</w:t>
      </w:r>
      <w:r w:rsidR="0038054D">
        <w:t> </w:t>
      </w:r>
      <w:r>
        <w:t>euros</w:t>
      </w:r>
      <w:r w:rsidR="005C7A04">
        <w:t>,</w:t>
      </w:r>
      <w:r>
        <w:t xml:space="preserve"> répartis entre la </w:t>
      </w:r>
      <w:r w:rsidR="00DB56AE">
        <w:t xml:space="preserve">société civile immobilière </w:t>
      </w:r>
      <w:r>
        <w:t xml:space="preserve">Résidence du </w:t>
      </w:r>
      <w:r w:rsidR="003345D7">
        <w:t>v</w:t>
      </w:r>
      <w:r>
        <w:t xml:space="preserve">ieux </w:t>
      </w:r>
      <w:r w:rsidR="003345D7">
        <w:t>p</w:t>
      </w:r>
      <w:r>
        <w:t>ort pour 259 302,36</w:t>
      </w:r>
      <w:r w:rsidR="0038054D">
        <w:t> </w:t>
      </w:r>
      <w:r>
        <w:t>euros dont 240 242,60</w:t>
      </w:r>
      <w:r w:rsidR="0038054D">
        <w:t> </w:t>
      </w:r>
      <w:r>
        <w:t xml:space="preserve">euros en droits et la Sarl </w:t>
      </w:r>
      <w:proofErr w:type="spellStart"/>
      <w:r>
        <w:t>Steel</w:t>
      </w:r>
      <w:proofErr w:type="spellEnd"/>
      <w:r>
        <w:t xml:space="preserve"> </w:t>
      </w:r>
      <w:r w:rsidR="003345D7">
        <w:t>c</w:t>
      </w:r>
      <w:r>
        <w:t xml:space="preserve">onstructions </w:t>
      </w:r>
      <w:r w:rsidR="003345D7">
        <w:t>i</w:t>
      </w:r>
      <w:r>
        <w:t>nvestissements pour</w:t>
      </w:r>
      <w:r w:rsidR="003345D7">
        <w:t xml:space="preserve"> </w:t>
      </w:r>
      <w:r>
        <w:t>361 891,70</w:t>
      </w:r>
      <w:r w:rsidR="00AA60DC">
        <w:t> </w:t>
      </w:r>
      <w:r>
        <w:t>euros ;</w:t>
      </w:r>
    </w:p>
    <w:p w:rsidR="00D53D08" w:rsidRDefault="002A5964" w:rsidP="00B22931">
      <w:pPr>
        <w:pStyle w:val="ordinaire"/>
        <w:spacing w:before="280" w:after="360"/>
        <w:ind w:left="567" w:firstLine="1134"/>
      </w:pPr>
      <w:r>
        <w:br w:type="page"/>
      </w:r>
      <w:r w:rsidR="00D53D08">
        <w:lastRenderedPageBreak/>
        <w:t>Attendu que le service a commis une erreur dans sa réponse</w:t>
      </w:r>
      <w:r w:rsidR="005C7A04">
        <w:t xml:space="preserve"> du</w:t>
      </w:r>
      <w:r w:rsidR="00D53D08">
        <w:t xml:space="preserve"> 16</w:t>
      </w:r>
      <w:r w:rsidR="00DB56AE">
        <w:t> s</w:t>
      </w:r>
      <w:r w:rsidR="00D53D08">
        <w:t>eptembre</w:t>
      </w:r>
      <w:r w:rsidR="00F50C72">
        <w:t> </w:t>
      </w:r>
      <w:r w:rsidR="00D53D08">
        <w:t>2004 au service des ordres du tribunal de</w:t>
      </w:r>
      <w:r w:rsidR="003345D7">
        <w:t xml:space="preserve"> </w:t>
      </w:r>
      <w:r w:rsidR="00D53D08">
        <w:t>grande instance de Draguignan</w:t>
      </w:r>
      <w:r w:rsidR="007C003F">
        <w:t>,</w:t>
      </w:r>
      <w:r w:rsidR="00D53D08">
        <w:t xml:space="preserve"> en </w:t>
      </w:r>
      <w:r w:rsidR="007C003F">
        <w:t xml:space="preserve">ne </w:t>
      </w:r>
      <w:r w:rsidR="00D53D08">
        <w:t>produisant sa créance que pour un montant de 361 891,70</w:t>
      </w:r>
      <w:r w:rsidR="0038054D">
        <w:t> </w:t>
      </w:r>
      <w:r w:rsidR="00D53D08">
        <w:t>euros au lieu de</w:t>
      </w:r>
      <w:r w:rsidR="003345D7">
        <w:t xml:space="preserve"> </w:t>
      </w:r>
      <w:r w:rsidR="00D53D08">
        <w:t>621 194,06</w:t>
      </w:r>
      <w:r w:rsidR="00F50C72">
        <w:t> </w:t>
      </w:r>
      <w:r w:rsidR="00D53D08">
        <w:t>euros</w:t>
      </w:r>
      <w:r w:rsidR="007C003F">
        <w:t xml:space="preserve">, </w:t>
      </w:r>
      <w:r w:rsidR="007C7E9E">
        <w:t xml:space="preserve">qu’il en est résulté une </w:t>
      </w:r>
      <w:r w:rsidR="00D53D08">
        <w:t>différence de 259 302,36</w:t>
      </w:r>
      <w:r w:rsidR="0038054D">
        <w:t> </w:t>
      </w:r>
      <w:r w:rsidR="00D53D08">
        <w:t>euros (</w:t>
      </w:r>
      <w:r w:rsidR="007C7E9E">
        <w:t>dont</w:t>
      </w:r>
      <w:r w:rsidR="00F50C72">
        <w:t> </w:t>
      </w:r>
      <w:r w:rsidR="00D53D08">
        <w:t>240 242,60</w:t>
      </w:r>
      <w:r w:rsidR="00F50C72">
        <w:t> </w:t>
      </w:r>
      <w:r w:rsidR="00D53D08">
        <w:t>euros</w:t>
      </w:r>
      <w:r w:rsidR="007C7E9E">
        <w:t xml:space="preserve"> en droits</w:t>
      </w:r>
      <w:r w:rsidR="00D53D08">
        <w:t>)</w:t>
      </w:r>
      <w:r w:rsidR="007C7E9E">
        <w:t>,</w:t>
      </w:r>
      <w:r w:rsidR="00D53D08">
        <w:t xml:space="preserve"> représentant la créance hypothécaire sur la </w:t>
      </w:r>
      <w:r w:rsidR="0060795A">
        <w:t xml:space="preserve">société </w:t>
      </w:r>
      <w:r w:rsidR="00D53D08">
        <w:t>du</w:t>
      </w:r>
      <w:r w:rsidR="003345D7">
        <w:t xml:space="preserve"> v</w:t>
      </w:r>
      <w:r w:rsidR="00D53D08">
        <w:t xml:space="preserve">ieux </w:t>
      </w:r>
      <w:r w:rsidR="003345D7">
        <w:t>p</w:t>
      </w:r>
      <w:r w:rsidR="00D53D08">
        <w:t>ort ; que la somme de 361 891,70</w:t>
      </w:r>
      <w:r w:rsidR="0038054D">
        <w:t> </w:t>
      </w:r>
      <w:r w:rsidR="00D53D08">
        <w:t>euros a été encaissée le 24 mai</w:t>
      </w:r>
      <w:r w:rsidR="0038054D">
        <w:t> </w:t>
      </w:r>
      <w:r w:rsidR="00D53D08">
        <w:t>2011</w:t>
      </w:r>
      <w:r w:rsidR="00F7645B">
        <w:t xml:space="preserve"> </w:t>
      </w:r>
      <w:r w:rsidR="00D53D08">
        <w:t>et que les intérêts du Trésor ont été lésés à hauteur de</w:t>
      </w:r>
      <w:r w:rsidR="003345D7">
        <w:t xml:space="preserve"> </w:t>
      </w:r>
      <w:r w:rsidR="00D53D08">
        <w:t>240 302,60</w:t>
      </w:r>
      <w:r w:rsidR="0038054D">
        <w:t> </w:t>
      </w:r>
      <w:r w:rsidR="00D53D08">
        <w:t>euros ;</w:t>
      </w:r>
    </w:p>
    <w:p w:rsidR="00D53D08" w:rsidRPr="0060795A" w:rsidRDefault="00D53D08" w:rsidP="00B22931">
      <w:pPr>
        <w:pStyle w:val="ordinaire"/>
        <w:spacing w:before="280" w:after="360"/>
        <w:ind w:left="567" w:firstLine="1134"/>
        <w:rPr>
          <w:i/>
        </w:rPr>
      </w:pPr>
      <w:r>
        <w:t>Attendu qu’aux termes de l'article 60 modifié de la loi n°</w:t>
      </w:r>
      <w:r w:rsidR="0038054D">
        <w:t> </w:t>
      </w:r>
      <w:r>
        <w:t>63-156 du 23 février</w:t>
      </w:r>
      <w:r w:rsidR="0038054D">
        <w:t> </w:t>
      </w:r>
      <w:r>
        <w:t xml:space="preserve">1963, </w:t>
      </w:r>
      <w:r w:rsidRPr="0060795A">
        <w:rPr>
          <w:i/>
        </w:rPr>
        <w:t>« le premier acte de mise en jeu de la responsabilité</w:t>
      </w:r>
      <w:r w:rsidR="00213272">
        <w:rPr>
          <w:i/>
        </w:rPr>
        <w:t xml:space="preserve"> </w:t>
      </w:r>
      <w:r w:rsidRPr="0060795A">
        <w:rPr>
          <w:i/>
        </w:rPr>
        <w:t>ne peut plus intervenir au-delà du 31</w:t>
      </w:r>
      <w:r w:rsidR="0060795A">
        <w:rPr>
          <w:i/>
        </w:rPr>
        <w:t> </w:t>
      </w:r>
      <w:r w:rsidRPr="0060795A">
        <w:rPr>
          <w:i/>
        </w:rPr>
        <w:t xml:space="preserve">décembre de la cinquième année suivant celle au cours de laquelle le comptable a produit </w:t>
      </w:r>
      <w:r w:rsidR="0060795A" w:rsidRPr="0060795A">
        <w:rPr>
          <w:i/>
        </w:rPr>
        <w:t>l</w:t>
      </w:r>
      <w:r w:rsidRPr="0060795A">
        <w:rPr>
          <w:i/>
        </w:rPr>
        <w:t xml:space="preserve">es </w:t>
      </w:r>
      <w:r w:rsidR="0060795A" w:rsidRPr="0060795A">
        <w:rPr>
          <w:i/>
        </w:rPr>
        <w:t>justifications de ses opérations »</w:t>
      </w:r>
      <w:r w:rsidRPr="0060795A">
        <w:rPr>
          <w:i/>
        </w:rPr>
        <w:t> ;</w:t>
      </w:r>
    </w:p>
    <w:p w:rsidR="00D53D08" w:rsidRDefault="00D53D08" w:rsidP="00B22931">
      <w:pPr>
        <w:pStyle w:val="ordinaire"/>
        <w:spacing w:before="280" w:after="360"/>
        <w:ind w:left="567" w:firstLine="1134"/>
        <w:rPr>
          <w:i/>
        </w:rPr>
      </w:pPr>
      <w:r>
        <w:t>Attendu qu’aux termes de l’article 1</w:t>
      </w:r>
      <w:r w:rsidRPr="00CF7287">
        <w:rPr>
          <w:vertAlign w:val="superscript"/>
        </w:rPr>
        <w:t>er</w:t>
      </w:r>
      <w:r>
        <w:t xml:space="preserve"> du décret 77-1017 du 1</w:t>
      </w:r>
      <w:r w:rsidRPr="00CF7287">
        <w:rPr>
          <w:vertAlign w:val="superscript"/>
        </w:rPr>
        <w:t>er</w:t>
      </w:r>
      <w:r w:rsidR="0038054D">
        <w:rPr>
          <w:vertAlign w:val="superscript"/>
        </w:rPr>
        <w:t> </w:t>
      </w:r>
      <w:r>
        <w:t>septembre</w:t>
      </w:r>
      <w:r w:rsidR="0038054D">
        <w:t> </w:t>
      </w:r>
      <w:r>
        <w:t>1977, les receveurs des administrations financières doivent justifier de l’entière réalisation des droits dont la perception leur est confiée au 31</w:t>
      </w:r>
      <w:r w:rsidR="0038054D">
        <w:t> </w:t>
      </w:r>
      <w:r>
        <w:t>décembre de la troisième année suivant celle au cours de laquelle ils ont eu connaissance de leur exigibilité ;</w:t>
      </w:r>
      <w:r w:rsidR="0060795A">
        <w:t xml:space="preserve"> </w:t>
      </w:r>
      <w:r>
        <w:t>que l’article 4 du décret précité dispose</w:t>
      </w:r>
      <w:r w:rsidR="00F7645B">
        <w:t xml:space="preserve"> </w:t>
      </w:r>
      <w:r>
        <w:t>qu’</w:t>
      </w:r>
      <w:r w:rsidRPr="0060795A">
        <w:rPr>
          <w:i/>
        </w:rPr>
        <w:t>« après l’expiration du délai fixé à l’article 1</w:t>
      </w:r>
      <w:r w:rsidRPr="0060795A">
        <w:rPr>
          <w:i/>
          <w:vertAlign w:val="superscript"/>
        </w:rPr>
        <w:t>er</w:t>
      </w:r>
      <w:r w:rsidRPr="0060795A">
        <w:rPr>
          <w:i/>
        </w:rPr>
        <w:t xml:space="preserve">, la réalisation des droits restant à recouvrer est poursuivie par les receveurs en fonctions, qui en justifient, sous leur responsabilité, au 31 décembre de chacune des années suivantes, jusqu’à leur parfait apurement par recouvrement, admission en non-valeur ou versement des deniers personnels des comptables » ; </w:t>
      </w:r>
    </w:p>
    <w:p w:rsidR="004D23C3" w:rsidRDefault="004D23C3" w:rsidP="00B22931">
      <w:pPr>
        <w:pStyle w:val="Corpsdetexte"/>
        <w:spacing w:before="280" w:after="360"/>
        <w:ind w:left="567" w:firstLine="1134"/>
      </w:pPr>
      <w:r>
        <w:t>Attendu que, par lettre du 30</w:t>
      </w:r>
      <w:r w:rsidR="002A5964">
        <w:t> </w:t>
      </w:r>
      <w:r>
        <w:t>mars</w:t>
      </w:r>
      <w:r w:rsidR="002A5964">
        <w:t> </w:t>
      </w:r>
      <w:r>
        <w:t xml:space="preserve">2012, </w:t>
      </w:r>
      <w:r w:rsidR="00213272">
        <w:t>Mme X</w:t>
      </w:r>
      <w:r>
        <w:t xml:space="preserve"> invoque la prescription extinctive prévue par l’article</w:t>
      </w:r>
      <w:r w:rsidR="003345D7">
        <w:t xml:space="preserve"> </w:t>
      </w:r>
      <w:r>
        <w:t>60 modifié de la loi n°</w:t>
      </w:r>
      <w:r w:rsidR="0038054D">
        <w:t> </w:t>
      </w:r>
      <w:r>
        <w:t>63-156 du</w:t>
      </w:r>
      <w:r w:rsidR="001D03A5">
        <w:t> </w:t>
      </w:r>
      <w:r>
        <w:t>23</w:t>
      </w:r>
      <w:r w:rsidR="002A5964">
        <w:t> </w:t>
      </w:r>
      <w:r>
        <w:t>février</w:t>
      </w:r>
      <w:r w:rsidR="002A5964">
        <w:t> </w:t>
      </w:r>
      <w:r>
        <w:t xml:space="preserve">1963 ; </w:t>
      </w:r>
    </w:p>
    <w:p w:rsidR="00D53D08" w:rsidRDefault="00D53D08" w:rsidP="00B22931">
      <w:pPr>
        <w:pStyle w:val="ordinaire"/>
        <w:spacing w:before="280" w:after="360"/>
        <w:ind w:left="567" w:firstLine="1134"/>
      </w:pPr>
      <w:r>
        <w:t>Attendu que la prescription en faveur des comptables court à compter de la production de l’état où il rend compte pour la première fois de la prescription de la créance ;</w:t>
      </w:r>
      <w:r w:rsidR="0060795A">
        <w:t xml:space="preserve"> </w:t>
      </w:r>
      <w:r>
        <w:t xml:space="preserve">que les faits engageant la responsabilité de </w:t>
      </w:r>
      <w:r w:rsidR="00213272">
        <w:t>Mme X</w:t>
      </w:r>
      <w:r>
        <w:t xml:space="preserve"> datent de 2004</w:t>
      </w:r>
      <w:r w:rsidR="0060795A">
        <w:t> ; que</w:t>
      </w:r>
      <w:r w:rsidR="003345D7">
        <w:t xml:space="preserve"> </w:t>
      </w:r>
      <w:r>
        <w:t xml:space="preserve">les justifications ont été produites à la Cour en 2005 ; que </w:t>
      </w:r>
      <w:r w:rsidR="0060795A">
        <w:t xml:space="preserve">dès lors, </w:t>
      </w:r>
      <w:r>
        <w:t xml:space="preserve">la notification </w:t>
      </w:r>
      <w:r w:rsidR="0060795A">
        <w:t xml:space="preserve">du réquisitoire </w:t>
      </w:r>
      <w:r>
        <w:t>intervenue le 16</w:t>
      </w:r>
      <w:r w:rsidR="00DE28D9">
        <w:t> </w:t>
      </w:r>
      <w:r>
        <w:t>décembre</w:t>
      </w:r>
      <w:r w:rsidR="0038054D">
        <w:t> </w:t>
      </w:r>
      <w:r>
        <w:t>2011 est atteint</w:t>
      </w:r>
      <w:r w:rsidR="0060795A">
        <w:t>e</w:t>
      </w:r>
      <w:r>
        <w:t xml:space="preserve"> par la prescription quinquennale ; </w:t>
      </w:r>
    </w:p>
    <w:p w:rsidR="00551829" w:rsidRDefault="00551829" w:rsidP="00B22931">
      <w:pPr>
        <w:pStyle w:val="helene"/>
        <w:spacing w:before="280" w:after="360" w:line="240" w:lineRule="auto"/>
        <w:ind w:left="567" w:firstLine="1134"/>
      </w:pPr>
      <w:r>
        <w:t>Par ce motif,</w:t>
      </w:r>
    </w:p>
    <w:p w:rsidR="00551829" w:rsidRDefault="003A2204" w:rsidP="00B22931">
      <w:pPr>
        <w:pStyle w:val="Corpsdetexte"/>
        <w:spacing w:before="280" w:after="360"/>
        <w:ind w:left="567" w:firstLine="1134"/>
      </w:pPr>
      <w:r>
        <w:t>Il n’</w:t>
      </w:r>
      <w:r w:rsidR="00566729">
        <w:t>est plus possible de prononcer de charge à ce titre à l’encontre de</w:t>
      </w:r>
      <w:r w:rsidR="003345D7">
        <w:t xml:space="preserve"> </w:t>
      </w:r>
      <w:r w:rsidR="003345D7" w:rsidRPr="00D6562E">
        <w:t>M</w:t>
      </w:r>
      <w:r w:rsidR="003345D7" w:rsidRPr="00D6562E">
        <w:rPr>
          <w:vertAlign w:val="superscript"/>
        </w:rPr>
        <w:t>me</w:t>
      </w:r>
      <w:r w:rsidR="00D7265B">
        <w:t> </w:t>
      </w:r>
      <w:r w:rsidR="00213272">
        <w:t>X</w:t>
      </w:r>
      <w:r w:rsidR="00173EA7">
        <w:t>.</w:t>
      </w:r>
    </w:p>
    <w:p w:rsidR="00566729" w:rsidRDefault="00D7265B" w:rsidP="00B22931">
      <w:pPr>
        <w:pStyle w:val="Corpsdetexte"/>
        <w:spacing w:before="280" w:after="360"/>
        <w:ind w:left="284" w:firstLine="1418"/>
      </w:pPr>
      <w:r w:rsidRPr="00D6562E">
        <w:t>M</w:t>
      </w:r>
      <w:r w:rsidRPr="00D6562E">
        <w:rPr>
          <w:vertAlign w:val="superscript"/>
        </w:rPr>
        <w:t>me</w:t>
      </w:r>
      <w:r>
        <w:t> </w:t>
      </w:r>
      <w:r w:rsidR="00213272">
        <w:t>X</w:t>
      </w:r>
      <w:r w:rsidR="00566729">
        <w:t xml:space="preserve"> est déchargée de sa gestion 2004.</w:t>
      </w:r>
    </w:p>
    <w:p w:rsidR="00101C87" w:rsidRDefault="002A5964" w:rsidP="005E11D2">
      <w:pPr>
        <w:pStyle w:val="Corpsdetexte"/>
        <w:ind w:left="567"/>
        <w:jc w:val="center"/>
      </w:pPr>
      <w:r>
        <w:t>---</w:t>
      </w:r>
      <w:r w:rsidR="001D03A5">
        <w:t>-</w:t>
      </w:r>
      <w:r>
        <w:t>-</w:t>
      </w:r>
      <w:r w:rsidR="005E11D2">
        <w:t>--</w:t>
      </w:r>
      <w:r>
        <w:t>--</w:t>
      </w:r>
    </w:p>
    <w:p w:rsidR="00551829" w:rsidRDefault="00551829" w:rsidP="00FD0CE5">
      <w:pPr>
        <w:pStyle w:val="Corpsdetexte"/>
        <w:ind w:left="567" w:firstLine="1134"/>
      </w:pPr>
    </w:p>
    <w:p w:rsidR="00551829" w:rsidRDefault="000204A5" w:rsidP="00281119">
      <w:pPr>
        <w:pStyle w:val="ps"/>
        <w:spacing w:after="480" w:line="240" w:lineRule="auto"/>
        <w:ind w:firstLine="1134"/>
        <w:rPr>
          <w:rFonts w:ascii="Times New Roman" w:hAnsi="Times New Roman"/>
        </w:rPr>
      </w:pPr>
      <w:r>
        <w:rPr>
          <w:rFonts w:ascii="Times New Roman" w:hAnsi="Times New Roman"/>
        </w:rPr>
        <w:br w:type="page"/>
      </w:r>
      <w:r w:rsidR="00551829">
        <w:rPr>
          <w:rFonts w:ascii="Times New Roman" w:hAnsi="Times New Roman"/>
        </w:rPr>
        <w:lastRenderedPageBreak/>
        <w:t>Fait et jugé en la Cour des comptes, première chambre, première section, le</w:t>
      </w:r>
      <w:r w:rsidR="005A5216">
        <w:rPr>
          <w:rFonts w:ascii="Times New Roman" w:hAnsi="Times New Roman"/>
        </w:rPr>
        <w:t> </w:t>
      </w:r>
      <w:r w:rsidR="0056346B">
        <w:rPr>
          <w:rFonts w:ascii="Times New Roman" w:hAnsi="Times New Roman"/>
        </w:rPr>
        <w:t xml:space="preserve">treize juin </w:t>
      </w:r>
      <w:r w:rsidR="007105A3">
        <w:rPr>
          <w:rFonts w:ascii="Times New Roman" w:hAnsi="Times New Roman"/>
        </w:rPr>
        <w:t>deux mil douze</w:t>
      </w:r>
      <w:r w:rsidR="005A5216">
        <w:rPr>
          <w:rFonts w:ascii="Times New Roman" w:hAnsi="Times New Roman"/>
        </w:rPr>
        <w:t>. P</w:t>
      </w:r>
      <w:r w:rsidR="00551829">
        <w:rPr>
          <w:rFonts w:ascii="Times New Roman" w:hAnsi="Times New Roman"/>
        </w:rPr>
        <w:t>résents :</w:t>
      </w:r>
      <w:r w:rsidR="005A5216">
        <w:rPr>
          <w:rFonts w:ascii="Times New Roman" w:hAnsi="Times New Roman"/>
        </w:rPr>
        <w:t> </w:t>
      </w:r>
      <w:r w:rsidR="00551829">
        <w:rPr>
          <w:rFonts w:ascii="Times New Roman" w:hAnsi="Times New Roman"/>
        </w:rPr>
        <w:t>Mme Fradin, président de section,</w:t>
      </w:r>
      <w:r w:rsidR="00213272">
        <w:rPr>
          <w:rFonts w:ascii="Times New Roman" w:hAnsi="Times New Roman"/>
        </w:rPr>
        <w:t xml:space="preserve"> </w:t>
      </w:r>
      <w:r w:rsidR="00976E2B">
        <w:rPr>
          <w:rFonts w:ascii="Times New Roman" w:hAnsi="Times New Roman"/>
        </w:rPr>
        <w:t>M</w:t>
      </w:r>
      <w:r w:rsidR="00551829">
        <w:rPr>
          <w:rFonts w:ascii="Times New Roman" w:hAnsi="Times New Roman"/>
        </w:rPr>
        <w:t>M.</w:t>
      </w:r>
      <w:r w:rsidR="005A5216">
        <w:rPr>
          <w:rFonts w:ascii="Times New Roman" w:hAnsi="Times New Roman"/>
        </w:rPr>
        <w:t> </w:t>
      </w:r>
      <w:r w:rsidR="0056346B">
        <w:rPr>
          <w:rFonts w:ascii="Times New Roman" w:hAnsi="Times New Roman"/>
        </w:rPr>
        <w:t xml:space="preserve">Brun-Buisson, </w:t>
      </w:r>
      <w:r w:rsidR="007105A3">
        <w:rPr>
          <w:rFonts w:ascii="Times New Roman" w:hAnsi="Times New Roman"/>
        </w:rPr>
        <w:t xml:space="preserve">Lair </w:t>
      </w:r>
      <w:r w:rsidR="0056346B">
        <w:rPr>
          <w:rFonts w:ascii="Times New Roman" w:hAnsi="Times New Roman"/>
        </w:rPr>
        <w:t>et Chouvet</w:t>
      </w:r>
      <w:r w:rsidR="00551829">
        <w:rPr>
          <w:rFonts w:ascii="Times New Roman" w:hAnsi="Times New Roman"/>
        </w:rPr>
        <w:t>, conseillers maîtres.</w:t>
      </w:r>
    </w:p>
    <w:p w:rsidR="00551829" w:rsidRDefault="00551829" w:rsidP="000204A5">
      <w:pPr>
        <w:pStyle w:val="ps"/>
        <w:spacing w:after="360" w:line="240" w:lineRule="auto"/>
        <w:ind w:firstLine="1134"/>
        <w:rPr>
          <w:rFonts w:ascii="Times New Roman" w:hAnsi="Times New Roman"/>
        </w:rPr>
      </w:pPr>
      <w:r>
        <w:rPr>
          <w:rFonts w:ascii="Times New Roman" w:hAnsi="Times New Roman"/>
        </w:rPr>
        <w:t xml:space="preserve">Signé : Fradin, président de section, </w:t>
      </w:r>
      <w:r w:rsidR="002A5964">
        <w:rPr>
          <w:rFonts w:ascii="Times New Roman" w:hAnsi="Times New Roman"/>
        </w:rPr>
        <w:t>Le Baron</w:t>
      </w:r>
      <w:r>
        <w:rPr>
          <w:rFonts w:ascii="Times New Roman" w:hAnsi="Times New Roman"/>
        </w:rPr>
        <w:t>, greffi</w:t>
      </w:r>
      <w:r w:rsidR="00976E2B">
        <w:rPr>
          <w:rFonts w:ascii="Times New Roman" w:hAnsi="Times New Roman"/>
        </w:rPr>
        <w:t>er</w:t>
      </w:r>
      <w:r>
        <w:rPr>
          <w:rFonts w:ascii="Times New Roman" w:hAnsi="Times New Roman"/>
        </w:rPr>
        <w:t>.</w:t>
      </w:r>
    </w:p>
    <w:p w:rsidR="000B111D" w:rsidRDefault="00551829" w:rsidP="00E6384D">
      <w:pPr>
        <w:pStyle w:val="ps"/>
        <w:spacing w:after="480" w:line="240" w:lineRule="auto"/>
        <w:ind w:firstLine="1134"/>
      </w:pPr>
      <w:r>
        <w:rPr>
          <w:rFonts w:ascii="Times New Roman" w:hAnsi="Times New Roman"/>
        </w:rPr>
        <w:t>Collationné, certifié conforme à la minute étant au greffe de la Cour des comptes</w:t>
      </w:r>
      <w:r w:rsidR="00E6384D">
        <w:rPr>
          <w:rFonts w:ascii="Times New Roman" w:hAnsi="Times New Roman"/>
        </w:rPr>
        <w:t xml:space="preserve"> </w:t>
      </w:r>
      <w:r w:rsidR="00E6384D">
        <w:t>et d</w:t>
      </w:r>
      <w:r>
        <w:t>élivré par moi, secrétaire général.</w:t>
      </w:r>
    </w:p>
    <w:p w:rsidR="006C5833" w:rsidRPr="00842FE3" w:rsidRDefault="006C5833" w:rsidP="006F2B4F">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6C5833" w:rsidRPr="00842FE3" w:rsidRDefault="006C5833" w:rsidP="006F2B4F">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6C5833" w:rsidRDefault="006C5833" w:rsidP="006F2B4F">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6C5833" w:rsidRDefault="006C5833" w:rsidP="006F2B4F">
      <w:pPr>
        <w:pStyle w:val="Sansinterligne"/>
        <w:ind w:left="5670"/>
        <w:jc w:val="center"/>
        <w:rPr>
          <w:rFonts w:ascii="Times New Roman" w:hAnsi="Times New Roman" w:cs="Times New Roman"/>
          <w:b/>
          <w:bCs/>
          <w:sz w:val="24"/>
          <w:szCs w:val="24"/>
        </w:rPr>
      </w:pPr>
    </w:p>
    <w:p w:rsidR="00E6384D" w:rsidRDefault="00E6384D" w:rsidP="006F2B4F">
      <w:pPr>
        <w:pStyle w:val="Sansinterligne"/>
        <w:ind w:left="5670"/>
        <w:jc w:val="center"/>
        <w:rPr>
          <w:rFonts w:ascii="Times New Roman" w:hAnsi="Times New Roman" w:cs="Times New Roman"/>
          <w:b/>
          <w:bCs/>
          <w:sz w:val="24"/>
          <w:szCs w:val="24"/>
        </w:rPr>
      </w:pPr>
    </w:p>
    <w:p w:rsidR="006C5833" w:rsidRDefault="006C5833" w:rsidP="006F2B4F">
      <w:pPr>
        <w:pStyle w:val="Sansinterligne"/>
        <w:ind w:left="5670"/>
        <w:jc w:val="center"/>
        <w:rPr>
          <w:rFonts w:ascii="Times New Roman" w:hAnsi="Times New Roman" w:cs="Times New Roman"/>
          <w:b/>
          <w:bCs/>
          <w:sz w:val="24"/>
          <w:szCs w:val="24"/>
        </w:rPr>
      </w:pPr>
    </w:p>
    <w:p w:rsidR="006C5833" w:rsidRDefault="006C5833" w:rsidP="006F2B4F">
      <w:pPr>
        <w:pStyle w:val="Sansinterligne"/>
        <w:ind w:left="5670"/>
        <w:jc w:val="center"/>
        <w:rPr>
          <w:rFonts w:ascii="Times New Roman" w:hAnsi="Times New Roman" w:cs="Times New Roman"/>
          <w:b/>
          <w:bCs/>
          <w:sz w:val="24"/>
          <w:szCs w:val="24"/>
        </w:rPr>
      </w:pPr>
    </w:p>
    <w:p w:rsidR="006C5833" w:rsidRDefault="006C5833" w:rsidP="006F2B4F">
      <w:pPr>
        <w:pStyle w:val="Sansinterligne"/>
        <w:ind w:left="5670"/>
        <w:jc w:val="center"/>
        <w:rPr>
          <w:rFonts w:ascii="Times New Roman" w:hAnsi="Times New Roman" w:cs="Times New Roman"/>
          <w:b/>
          <w:bCs/>
          <w:sz w:val="24"/>
          <w:szCs w:val="24"/>
        </w:rPr>
      </w:pPr>
    </w:p>
    <w:p w:rsidR="006C5833" w:rsidRDefault="006C5833" w:rsidP="006F2B4F">
      <w:pPr>
        <w:pStyle w:val="Sansinterligne"/>
        <w:ind w:left="5670"/>
        <w:jc w:val="center"/>
        <w:rPr>
          <w:rFonts w:ascii="Times New Roman" w:hAnsi="Times New Roman" w:cs="Times New Roman"/>
          <w:b/>
          <w:bCs/>
          <w:sz w:val="24"/>
          <w:szCs w:val="24"/>
        </w:rPr>
      </w:pPr>
    </w:p>
    <w:p w:rsidR="006C5833" w:rsidRDefault="006C5833" w:rsidP="006F2B4F">
      <w:pPr>
        <w:pStyle w:val="Sansinterligne"/>
        <w:ind w:left="5670"/>
        <w:jc w:val="center"/>
        <w:rPr>
          <w:rFonts w:ascii="Times New Roman" w:hAnsi="Times New Roman" w:cs="Times New Roman"/>
          <w:b/>
          <w:bCs/>
          <w:sz w:val="24"/>
          <w:szCs w:val="24"/>
        </w:rPr>
      </w:pPr>
    </w:p>
    <w:p w:rsidR="006C5833" w:rsidRPr="00842FE3" w:rsidRDefault="006C5833" w:rsidP="006F2B4F">
      <w:pPr>
        <w:ind w:left="5670" w:firstLine="425"/>
        <w:jc w:val="center"/>
        <w:rPr>
          <w:szCs w:val="24"/>
        </w:rPr>
      </w:pPr>
      <w:r w:rsidRPr="00842FE3">
        <w:rPr>
          <w:b/>
          <w:bCs/>
          <w:szCs w:val="24"/>
        </w:rPr>
        <w:t>Daniel FEREZ</w:t>
      </w:r>
    </w:p>
    <w:bookmarkEnd w:id="4"/>
    <w:p w:rsidR="006C5833" w:rsidRDefault="006C5833" w:rsidP="00A5487E">
      <w:pPr>
        <w:pStyle w:val="Corpsdetexte"/>
        <w:ind w:left="567" w:firstLine="1134"/>
      </w:pPr>
    </w:p>
    <w:sectPr w:rsidR="006C5833"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272" w:rsidRDefault="00213272">
      <w:pPr>
        <w:spacing w:before="0" w:after="0"/>
      </w:pPr>
      <w:r>
        <w:separator/>
      </w:r>
    </w:p>
  </w:endnote>
  <w:endnote w:type="continuationSeparator" w:id="0">
    <w:p w:rsidR="00213272" w:rsidRDefault="002132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272" w:rsidRDefault="00213272">
      <w:pPr>
        <w:spacing w:before="0" w:after="0"/>
      </w:pPr>
      <w:r>
        <w:separator/>
      </w:r>
    </w:p>
  </w:footnote>
  <w:footnote w:type="continuationSeparator" w:id="0">
    <w:p w:rsidR="00213272" w:rsidRDefault="0021327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72" w:rsidRDefault="00213272"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13272" w:rsidRDefault="00213272"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272" w:rsidRDefault="00213272"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50B71">
      <w:rPr>
        <w:rStyle w:val="Numrodepage"/>
        <w:noProof/>
      </w:rPr>
      <w:t>6</w:t>
    </w:r>
    <w:r>
      <w:rPr>
        <w:rStyle w:val="Numrodepage"/>
      </w:rPr>
      <w:fldChar w:fldCharType="end"/>
    </w:r>
  </w:p>
  <w:p w:rsidR="00213272" w:rsidRDefault="00213272"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4A5"/>
    <w:rsid w:val="000205A5"/>
    <w:rsid w:val="00033632"/>
    <w:rsid w:val="0003391D"/>
    <w:rsid w:val="000417B7"/>
    <w:rsid w:val="00042087"/>
    <w:rsid w:val="000501FD"/>
    <w:rsid w:val="000536C3"/>
    <w:rsid w:val="00053817"/>
    <w:rsid w:val="00053859"/>
    <w:rsid w:val="00056564"/>
    <w:rsid w:val="00062EE5"/>
    <w:rsid w:val="0007126D"/>
    <w:rsid w:val="0007350A"/>
    <w:rsid w:val="0007416B"/>
    <w:rsid w:val="0009009E"/>
    <w:rsid w:val="00091A47"/>
    <w:rsid w:val="000952E6"/>
    <w:rsid w:val="00096B76"/>
    <w:rsid w:val="000A2C9D"/>
    <w:rsid w:val="000A45CA"/>
    <w:rsid w:val="000A54E3"/>
    <w:rsid w:val="000A5765"/>
    <w:rsid w:val="000A6EFC"/>
    <w:rsid w:val="000B111D"/>
    <w:rsid w:val="000B16B9"/>
    <w:rsid w:val="000C17C4"/>
    <w:rsid w:val="000C4EBB"/>
    <w:rsid w:val="000C4F7B"/>
    <w:rsid w:val="000D3FD9"/>
    <w:rsid w:val="000D707C"/>
    <w:rsid w:val="000F60A8"/>
    <w:rsid w:val="00101C87"/>
    <w:rsid w:val="00106CD3"/>
    <w:rsid w:val="0010786E"/>
    <w:rsid w:val="00113A37"/>
    <w:rsid w:val="00114E26"/>
    <w:rsid w:val="001226C1"/>
    <w:rsid w:val="001275AB"/>
    <w:rsid w:val="00133406"/>
    <w:rsid w:val="00140460"/>
    <w:rsid w:val="001409A9"/>
    <w:rsid w:val="00145661"/>
    <w:rsid w:val="001456BE"/>
    <w:rsid w:val="001466E9"/>
    <w:rsid w:val="001472DE"/>
    <w:rsid w:val="001547FF"/>
    <w:rsid w:val="00164544"/>
    <w:rsid w:val="00165AC7"/>
    <w:rsid w:val="00166E8D"/>
    <w:rsid w:val="00172848"/>
    <w:rsid w:val="00173EA7"/>
    <w:rsid w:val="00176A47"/>
    <w:rsid w:val="00180D49"/>
    <w:rsid w:val="0018438A"/>
    <w:rsid w:val="001867CF"/>
    <w:rsid w:val="0019032C"/>
    <w:rsid w:val="00191C3C"/>
    <w:rsid w:val="001951E2"/>
    <w:rsid w:val="001A1014"/>
    <w:rsid w:val="001A4AB7"/>
    <w:rsid w:val="001B0AEC"/>
    <w:rsid w:val="001B2EB8"/>
    <w:rsid w:val="001B56B9"/>
    <w:rsid w:val="001C5AB2"/>
    <w:rsid w:val="001C70F1"/>
    <w:rsid w:val="001D03A5"/>
    <w:rsid w:val="001E7C69"/>
    <w:rsid w:val="001F3148"/>
    <w:rsid w:val="001F4EC3"/>
    <w:rsid w:val="00203FD3"/>
    <w:rsid w:val="00205993"/>
    <w:rsid w:val="00205C21"/>
    <w:rsid w:val="00206A11"/>
    <w:rsid w:val="00213272"/>
    <w:rsid w:val="00215710"/>
    <w:rsid w:val="00226224"/>
    <w:rsid w:val="0023318E"/>
    <w:rsid w:val="00233629"/>
    <w:rsid w:val="00236A04"/>
    <w:rsid w:val="00241F17"/>
    <w:rsid w:val="00245026"/>
    <w:rsid w:val="00246CDB"/>
    <w:rsid w:val="00253D7A"/>
    <w:rsid w:val="00256EDF"/>
    <w:rsid w:val="00274E9A"/>
    <w:rsid w:val="00281119"/>
    <w:rsid w:val="002908C5"/>
    <w:rsid w:val="002A4844"/>
    <w:rsid w:val="002A5964"/>
    <w:rsid w:val="002C1DCA"/>
    <w:rsid w:val="002C68E8"/>
    <w:rsid w:val="002D1BF2"/>
    <w:rsid w:val="002D2D5C"/>
    <w:rsid w:val="002D31D5"/>
    <w:rsid w:val="002D32D3"/>
    <w:rsid w:val="002E1C49"/>
    <w:rsid w:val="002E2F57"/>
    <w:rsid w:val="002E6ED6"/>
    <w:rsid w:val="00300FA2"/>
    <w:rsid w:val="00310D49"/>
    <w:rsid w:val="00315E52"/>
    <w:rsid w:val="00326BAE"/>
    <w:rsid w:val="0032726F"/>
    <w:rsid w:val="003320C8"/>
    <w:rsid w:val="003345D7"/>
    <w:rsid w:val="003401ED"/>
    <w:rsid w:val="00351A4B"/>
    <w:rsid w:val="00352646"/>
    <w:rsid w:val="00354A6C"/>
    <w:rsid w:val="003602B0"/>
    <w:rsid w:val="0036171D"/>
    <w:rsid w:val="00365ACC"/>
    <w:rsid w:val="00371675"/>
    <w:rsid w:val="00374CF4"/>
    <w:rsid w:val="0038054D"/>
    <w:rsid w:val="00382576"/>
    <w:rsid w:val="00391251"/>
    <w:rsid w:val="0039334C"/>
    <w:rsid w:val="003A2204"/>
    <w:rsid w:val="003A2C60"/>
    <w:rsid w:val="003A4B8F"/>
    <w:rsid w:val="003B2501"/>
    <w:rsid w:val="003C16FA"/>
    <w:rsid w:val="003D10DE"/>
    <w:rsid w:val="003E7727"/>
    <w:rsid w:val="003F673B"/>
    <w:rsid w:val="00423C01"/>
    <w:rsid w:val="004253B4"/>
    <w:rsid w:val="00432832"/>
    <w:rsid w:val="00436201"/>
    <w:rsid w:val="00437D5D"/>
    <w:rsid w:val="00444EC3"/>
    <w:rsid w:val="00454889"/>
    <w:rsid w:val="00457084"/>
    <w:rsid w:val="00461736"/>
    <w:rsid w:val="00466607"/>
    <w:rsid w:val="004813B0"/>
    <w:rsid w:val="004919DB"/>
    <w:rsid w:val="004A3680"/>
    <w:rsid w:val="004B27D9"/>
    <w:rsid w:val="004B52DE"/>
    <w:rsid w:val="004C0461"/>
    <w:rsid w:val="004C6DF4"/>
    <w:rsid w:val="004D031F"/>
    <w:rsid w:val="004D04DE"/>
    <w:rsid w:val="004D23C3"/>
    <w:rsid w:val="004D3A9D"/>
    <w:rsid w:val="004D4916"/>
    <w:rsid w:val="004E2390"/>
    <w:rsid w:val="004E421B"/>
    <w:rsid w:val="004E5425"/>
    <w:rsid w:val="004F2D9C"/>
    <w:rsid w:val="004F51EF"/>
    <w:rsid w:val="00500880"/>
    <w:rsid w:val="00506595"/>
    <w:rsid w:val="0052325E"/>
    <w:rsid w:val="00525444"/>
    <w:rsid w:val="005347C5"/>
    <w:rsid w:val="00542D31"/>
    <w:rsid w:val="005479F7"/>
    <w:rsid w:val="0055130C"/>
    <w:rsid w:val="00551829"/>
    <w:rsid w:val="00555737"/>
    <w:rsid w:val="00555C29"/>
    <w:rsid w:val="00556978"/>
    <w:rsid w:val="0056346B"/>
    <w:rsid w:val="00563AB0"/>
    <w:rsid w:val="00565C83"/>
    <w:rsid w:val="00566729"/>
    <w:rsid w:val="0056753E"/>
    <w:rsid w:val="0057280A"/>
    <w:rsid w:val="005824D9"/>
    <w:rsid w:val="005952BA"/>
    <w:rsid w:val="00597A3F"/>
    <w:rsid w:val="005A5216"/>
    <w:rsid w:val="005A628E"/>
    <w:rsid w:val="005A6782"/>
    <w:rsid w:val="005B2AC0"/>
    <w:rsid w:val="005B54A7"/>
    <w:rsid w:val="005C1066"/>
    <w:rsid w:val="005C5011"/>
    <w:rsid w:val="005C7A04"/>
    <w:rsid w:val="005D0729"/>
    <w:rsid w:val="005D4C6C"/>
    <w:rsid w:val="005D4D6E"/>
    <w:rsid w:val="005D5563"/>
    <w:rsid w:val="005D655B"/>
    <w:rsid w:val="005E11D2"/>
    <w:rsid w:val="005E3D17"/>
    <w:rsid w:val="005E51F2"/>
    <w:rsid w:val="005F401B"/>
    <w:rsid w:val="005F7F54"/>
    <w:rsid w:val="0060481A"/>
    <w:rsid w:val="00604DF2"/>
    <w:rsid w:val="006061E2"/>
    <w:rsid w:val="00606AD4"/>
    <w:rsid w:val="0060795A"/>
    <w:rsid w:val="00611281"/>
    <w:rsid w:val="0061408E"/>
    <w:rsid w:val="006165A8"/>
    <w:rsid w:val="0062262F"/>
    <w:rsid w:val="006245EC"/>
    <w:rsid w:val="00627C87"/>
    <w:rsid w:val="006319CF"/>
    <w:rsid w:val="0063704B"/>
    <w:rsid w:val="00640161"/>
    <w:rsid w:val="00643810"/>
    <w:rsid w:val="00650C0E"/>
    <w:rsid w:val="0065478C"/>
    <w:rsid w:val="00655736"/>
    <w:rsid w:val="0065596B"/>
    <w:rsid w:val="0066528D"/>
    <w:rsid w:val="00666DF5"/>
    <w:rsid w:val="006708E6"/>
    <w:rsid w:val="00670DA3"/>
    <w:rsid w:val="00681A90"/>
    <w:rsid w:val="00682A53"/>
    <w:rsid w:val="006831DE"/>
    <w:rsid w:val="00697051"/>
    <w:rsid w:val="006A13C0"/>
    <w:rsid w:val="006A62A5"/>
    <w:rsid w:val="006A75D2"/>
    <w:rsid w:val="006B2357"/>
    <w:rsid w:val="006B3C91"/>
    <w:rsid w:val="006B7243"/>
    <w:rsid w:val="006C5833"/>
    <w:rsid w:val="006D1103"/>
    <w:rsid w:val="006D4511"/>
    <w:rsid w:val="006D680F"/>
    <w:rsid w:val="006E0721"/>
    <w:rsid w:val="006F2B4F"/>
    <w:rsid w:val="006F385C"/>
    <w:rsid w:val="007105A3"/>
    <w:rsid w:val="007120A7"/>
    <w:rsid w:val="00712102"/>
    <w:rsid w:val="00713643"/>
    <w:rsid w:val="0073339F"/>
    <w:rsid w:val="00734B69"/>
    <w:rsid w:val="007406BE"/>
    <w:rsid w:val="00740B58"/>
    <w:rsid w:val="00741773"/>
    <w:rsid w:val="0074194C"/>
    <w:rsid w:val="00744C24"/>
    <w:rsid w:val="0076651D"/>
    <w:rsid w:val="0077029F"/>
    <w:rsid w:val="00773634"/>
    <w:rsid w:val="00787D5A"/>
    <w:rsid w:val="00792A1B"/>
    <w:rsid w:val="0079458D"/>
    <w:rsid w:val="00797EC4"/>
    <w:rsid w:val="007A24EF"/>
    <w:rsid w:val="007A2FE8"/>
    <w:rsid w:val="007A416C"/>
    <w:rsid w:val="007A47BE"/>
    <w:rsid w:val="007B3CDB"/>
    <w:rsid w:val="007B5D67"/>
    <w:rsid w:val="007B7CA1"/>
    <w:rsid w:val="007C003F"/>
    <w:rsid w:val="007C544F"/>
    <w:rsid w:val="007C7E9E"/>
    <w:rsid w:val="007D7137"/>
    <w:rsid w:val="007E11A1"/>
    <w:rsid w:val="007E2FD4"/>
    <w:rsid w:val="007F2EF7"/>
    <w:rsid w:val="007F5230"/>
    <w:rsid w:val="007F7A8D"/>
    <w:rsid w:val="00800FAE"/>
    <w:rsid w:val="008021D5"/>
    <w:rsid w:val="008109E8"/>
    <w:rsid w:val="008157C3"/>
    <w:rsid w:val="00820FF7"/>
    <w:rsid w:val="00835EE2"/>
    <w:rsid w:val="008364B7"/>
    <w:rsid w:val="00844FD2"/>
    <w:rsid w:val="00850B71"/>
    <w:rsid w:val="00854374"/>
    <w:rsid w:val="008546A0"/>
    <w:rsid w:val="00856A36"/>
    <w:rsid w:val="0086183C"/>
    <w:rsid w:val="008716EA"/>
    <w:rsid w:val="008739F4"/>
    <w:rsid w:val="00874BBD"/>
    <w:rsid w:val="008778BF"/>
    <w:rsid w:val="0088122E"/>
    <w:rsid w:val="00881F07"/>
    <w:rsid w:val="00890185"/>
    <w:rsid w:val="00892F24"/>
    <w:rsid w:val="00893703"/>
    <w:rsid w:val="008A2818"/>
    <w:rsid w:val="008A2E31"/>
    <w:rsid w:val="008A55EC"/>
    <w:rsid w:val="008C576D"/>
    <w:rsid w:val="008C7068"/>
    <w:rsid w:val="008D111E"/>
    <w:rsid w:val="008D3392"/>
    <w:rsid w:val="008D4B18"/>
    <w:rsid w:val="008D77C8"/>
    <w:rsid w:val="008E1ADC"/>
    <w:rsid w:val="008E2B4D"/>
    <w:rsid w:val="008E6FD2"/>
    <w:rsid w:val="008F45FB"/>
    <w:rsid w:val="009074EB"/>
    <w:rsid w:val="0091055D"/>
    <w:rsid w:val="0091463D"/>
    <w:rsid w:val="00917F6B"/>
    <w:rsid w:val="009276E8"/>
    <w:rsid w:val="009332D6"/>
    <w:rsid w:val="00933888"/>
    <w:rsid w:val="009351F2"/>
    <w:rsid w:val="00936E34"/>
    <w:rsid w:val="009425BE"/>
    <w:rsid w:val="0094308D"/>
    <w:rsid w:val="0094665F"/>
    <w:rsid w:val="009467B5"/>
    <w:rsid w:val="009547BE"/>
    <w:rsid w:val="00954E30"/>
    <w:rsid w:val="00961772"/>
    <w:rsid w:val="009627B8"/>
    <w:rsid w:val="00965A62"/>
    <w:rsid w:val="00971AAF"/>
    <w:rsid w:val="00972726"/>
    <w:rsid w:val="0097652F"/>
    <w:rsid w:val="00976E2B"/>
    <w:rsid w:val="0097765E"/>
    <w:rsid w:val="00980671"/>
    <w:rsid w:val="009844BF"/>
    <w:rsid w:val="0098479D"/>
    <w:rsid w:val="009949E6"/>
    <w:rsid w:val="00994D0C"/>
    <w:rsid w:val="009A168E"/>
    <w:rsid w:val="009A16B8"/>
    <w:rsid w:val="009A693D"/>
    <w:rsid w:val="009C6A2A"/>
    <w:rsid w:val="009D00D7"/>
    <w:rsid w:val="009D3160"/>
    <w:rsid w:val="009D564E"/>
    <w:rsid w:val="009D7482"/>
    <w:rsid w:val="009E35DE"/>
    <w:rsid w:val="009E5F31"/>
    <w:rsid w:val="009E771E"/>
    <w:rsid w:val="009F6499"/>
    <w:rsid w:val="00A154E3"/>
    <w:rsid w:val="00A15E09"/>
    <w:rsid w:val="00A1693D"/>
    <w:rsid w:val="00A1738E"/>
    <w:rsid w:val="00A21C7F"/>
    <w:rsid w:val="00A278D1"/>
    <w:rsid w:val="00A3617E"/>
    <w:rsid w:val="00A41788"/>
    <w:rsid w:val="00A5191E"/>
    <w:rsid w:val="00A5487E"/>
    <w:rsid w:val="00A5648B"/>
    <w:rsid w:val="00A83B2D"/>
    <w:rsid w:val="00A8570A"/>
    <w:rsid w:val="00A85DBC"/>
    <w:rsid w:val="00A86578"/>
    <w:rsid w:val="00A9690F"/>
    <w:rsid w:val="00A97508"/>
    <w:rsid w:val="00AA60DC"/>
    <w:rsid w:val="00AA7AE1"/>
    <w:rsid w:val="00AC5FD7"/>
    <w:rsid w:val="00AD42E5"/>
    <w:rsid w:val="00AE46F7"/>
    <w:rsid w:val="00B1272A"/>
    <w:rsid w:val="00B132A0"/>
    <w:rsid w:val="00B14F63"/>
    <w:rsid w:val="00B207EE"/>
    <w:rsid w:val="00B20C20"/>
    <w:rsid w:val="00B22931"/>
    <w:rsid w:val="00B24D69"/>
    <w:rsid w:val="00B3237C"/>
    <w:rsid w:val="00B369A4"/>
    <w:rsid w:val="00B369E7"/>
    <w:rsid w:val="00B52D5B"/>
    <w:rsid w:val="00B679D1"/>
    <w:rsid w:val="00B67ADD"/>
    <w:rsid w:val="00B7146D"/>
    <w:rsid w:val="00B71F89"/>
    <w:rsid w:val="00B74377"/>
    <w:rsid w:val="00B74E79"/>
    <w:rsid w:val="00B75B8D"/>
    <w:rsid w:val="00BA663C"/>
    <w:rsid w:val="00BA6FAA"/>
    <w:rsid w:val="00BB18C3"/>
    <w:rsid w:val="00BB1DE1"/>
    <w:rsid w:val="00BB2E3F"/>
    <w:rsid w:val="00BB52F2"/>
    <w:rsid w:val="00BC5565"/>
    <w:rsid w:val="00BD5881"/>
    <w:rsid w:val="00BE3429"/>
    <w:rsid w:val="00BE6449"/>
    <w:rsid w:val="00BF1CB6"/>
    <w:rsid w:val="00BF2B56"/>
    <w:rsid w:val="00C02157"/>
    <w:rsid w:val="00C0229D"/>
    <w:rsid w:val="00C04A2B"/>
    <w:rsid w:val="00C06C21"/>
    <w:rsid w:val="00C1245F"/>
    <w:rsid w:val="00C1267A"/>
    <w:rsid w:val="00C13A8B"/>
    <w:rsid w:val="00C17551"/>
    <w:rsid w:val="00C230BD"/>
    <w:rsid w:val="00C45600"/>
    <w:rsid w:val="00C54348"/>
    <w:rsid w:val="00C566A1"/>
    <w:rsid w:val="00C62316"/>
    <w:rsid w:val="00C65484"/>
    <w:rsid w:val="00C805FC"/>
    <w:rsid w:val="00C86ACA"/>
    <w:rsid w:val="00C90AAB"/>
    <w:rsid w:val="00C90E50"/>
    <w:rsid w:val="00C96C70"/>
    <w:rsid w:val="00CA21CB"/>
    <w:rsid w:val="00CB5E8D"/>
    <w:rsid w:val="00CC4B0A"/>
    <w:rsid w:val="00CC7CF9"/>
    <w:rsid w:val="00CD5987"/>
    <w:rsid w:val="00CF22A2"/>
    <w:rsid w:val="00CF7B7A"/>
    <w:rsid w:val="00CF7DD3"/>
    <w:rsid w:val="00D063FC"/>
    <w:rsid w:val="00D06882"/>
    <w:rsid w:val="00D1074D"/>
    <w:rsid w:val="00D2683D"/>
    <w:rsid w:val="00D30053"/>
    <w:rsid w:val="00D316E3"/>
    <w:rsid w:val="00D53BC2"/>
    <w:rsid w:val="00D53D08"/>
    <w:rsid w:val="00D54A7E"/>
    <w:rsid w:val="00D60674"/>
    <w:rsid w:val="00D62AD5"/>
    <w:rsid w:val="00D632B1"/>
    <w:rsid w:val="00D71C82"/>
    <w:rsid w:val="00D71D86"/>
    <w:rsid w:val="00D7265B"/>
    <w:rsid w:val="00D74A2D"/>
    <w:rsid w:val="00D75AB9"/>
    <w:rsid w:val="00D75EA8"/>
    <w:rsid w:val="00D82A8C"/>
    <w:rsid w:val="00D83501"/>
    <w:rsid w:val="00D87A96"/>
    <w:rsid w:val="00D90F90"/>
    <w:rsid w:val="00D9162A"/>
    <w:rsid w:val="00D971A1"/>
    <w:rsid w:val="00DA24B4"/>
    <w:rsid w:val="00DA7B29"/>
    <w:rsid w:val="00DB1809"/>
    <w:rsid w:val="00DB18C3"/>
    <w:rsid w:val="00DB56AE"/>
    <w:rsid w:val="00DC0898"/>
    <w:rsid w:val="00DD24CD"/>
    <w:rsid w:val="00DD65D6"/>
    <w:rsid w:val="00DE28D9"/>
    <w:rsid w:val="00DE70C2"/>
    <w:rsid w:val="00DF37B5"/>
    <w:rsid w:val="00DF790A"/>
    <w:rsid w:val="00E12703"/>
    <w:rsid w:val="00E16933"/>
    <w:rsid w:val="00E312F6"/>
    <w:rsid w:val="00E34D1D"/>
    <w:rsid w:val="00E35BD8"/>
    <w:rsid w:val="00E417FA"/>
    <w:rsid w:val="00E45B1A"/>
    <w:rsid w:val="00E5687D"/>
    <w:rsid w:val="00E618E2"/>
    <w:rsid w:val="00E6384D"/>
    <w:rsid w:val="00E755ED"/>
    <w:rsid w:val="00E75A1C"/>
    <w:rsid w:val="00E856D6"/>
    <w:rsid w:val="00E8695D"/>
    <w:rsid w:val="00E9228B"/>
    <w:rsid w:val="00EB1283"/>
    <w:rsid w:val="00EC1258"/>
    <w:rsid w:val="00F0178D"/>
    <w:rsid w:val="00F020A1"/>
    <w:rsid w:val="00F06E29"/>
    <w:rsid w:val="00F1335B"/>
    <w:rsid w:val="00F2492F"/>
    <w:rsid w:val="00F25676"/>
    <w:rsid w:val="00F26C02"/>
    <w:rsid w:val="00F275F6"/>
    <w:rsid w:val="00F30C77"/>
    <w:rsid w:val="00F32E56"/>
    <w:rsid w:val="00F34C71"/>
    <w:rsid w:val="00F50C72"/>
    <w:rsid w:val="00F57C83"/>
    <w:rsid w:val="00F6311D"/>
    <w:rsid w:val="00F7645B"/>
    <w:rsid w:val="00F84135"/>
    <w:rsid w:val="00F9000E"/>
    <w:rsid w:val="00FA1F44"/>
    <w:rsid w:val="00FA5305"/>
    <w:rsid w:val="00FA5A7A"/>
    <w:rsid w:val="00FA6669"/>
    <w:rsid w:val="00FA7667"/>
    <w:rsid w:val="00FA77FF"/>
    <w:rsid w:val="00FB32C6"/>
    <w:rsid w:val="00FB698B"/>
    <w:rsid w:val="00FD0CE5"/>
    <w:rsid w:val="00FD20F2"/>
    <w:rsid w:val="00FD2748"/>
    <w:rsid w:val="00FE21C1"/>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6C5833"/>
    <w:pPr>
      <w:ind w:left="1701"/>
      <w:jc w:val="both"/>
    </w:pPr>
    <w:rPr>
      <w:rFonts w:ascii="Times New Roman" w:hAnsi="Times New Roman"/>
      <w:b w:val="0"/>
      <w:szCs w:val="24"/>
    </w:rPr>
  </w:style>
  <w:style w:type="character" w:customStyle="1" w:styleId="P0Car">
    <w:name w:val="P0 Car"/>
    <w:link w:val="P0"/>
    <w:rsid w:val="006C5833"/>
    <w:rPr>
      <w:sz w:val="24"/>
      <w:szCs w:val="24"/>
    </w:rPr>
  </w:style>
  <w:style w:type="paragraph" w:styleId="Sansinterligne">
    <w:name w:val="No Spacing"/>
    <w:qFormat/>
    <w:rsid w:val="006C5833"/>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2C63D-DF19-479A-AD58-8CD451A81C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0731FB-6779-421E-9443-BBF444F919D0}">
  <ds:schemaRefs>
    <ds:schemaRef ds:uri="http://schemas.microsoft.com/sharepoint/v3/contenttype/forms"/>
  </ds:schemaRefs>
</ds:datastoreItem>
</file>

<file path=customXml/itemProps3.xml><?xml version="1.0" encoding="utf-8"?>
<ds:datastoreItem xmlns:ds="http://schemas.openxmlformats.org/officeDocument/2006/customXml" ds:itemID="{B3563EEB-0434-4AB7-BA07-973AB9398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1756</Words>
  <Characters>9663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5</cp:revision>
  <cp:lastPrinted>2012-07-19T09:38:00Z</cp:lastPrinted>
  <dcterms:created xsi:type="dcterms:W3CDTF">2013-01-09T14:19:00Z</dcterms:created>
  <dcterms:modified xsi:type="dcterms:W3CDTF">2013-08-23T08:39:00Z</dcterms:modified>
</cp:coreProperties>
</file>