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EB4" w:rsidRDefault="00E7082C" w:rsidP="00736EB4">
      <w:pPr>
        <w:spacing w:before="0" w:after="0"/>
        <w:rPr>
          <w:b/>
          <w:caps/>
        </w:rPr>
      </w:pPr>
      <w:r>
        <w:rPr>
          <w:b/>
          <w:caps/>
        </w:rPr>
        <w:t xml:space="preserve"> </w:t>
      </w:r>
      <w:r w:rsidR="00B55328">
        <w:rPr>
          <w:b/>
          <w:caps/>
        </w:rPr>
        <w:t xml:space="preserve"> </w:t>
      </w:r>
      <w:r w:rsidR="00A7515D">
        <w:rPr>
          <w:b/>
          <w:caps/>
        </w:rPr>
        <w:t xml:space="preserve"> </w:t>
      </w:r>
      <w:r w:rsidR="00736EB4">
        <w:rPr>
          <w:b/>
          <w:caps/>
        </w:rPr>
        <w:t>COUR DES COMPTES</w:t>
      </w:r>
    </w:p>
    <w:p w:rsidR="00736EB4" w:rsidRDefault="00736EB4" w:rsidP="00A7515D">
      <w:pPr>
        <w:spacing w:before="0" w:after="0"/>
        <w:rPr>
          <w:b/>
          <w:caps/>
        </w:rPr>
      </w:pPr>
      <w:r>
        <w:rPr>
          <w:b/>
          <w:caps/>
        </w:rPr>
        <w:t xml:space="preserve">       </w:t>
      </w:r>
      <w:r w:rsidR="008D49D1">
        <w:rPr>
          <w:b/>
          <w:caps/>
        </w:rPr>
        <w:t xml:space="preserve"> </w:t>
      </w:r>
      <w:r>
        <w:rPr>
          <w:b/>
          <w:caps/>
        </w:rPr>
        <w:t xml:space="preserve">        ------</w:t>
      </w:r>
    </w:p>
    <w:p w:rsidR="00736EB4" w:rsidRDefault="00736EB4" w:rsidP="00736EB4">
      <w:pPr>
        <w:spacing w:before="0" w:after="0"/>
        <w:rPr>
          <w:b/>
          <w:caps/>
        </w:rPr>
      </w:pPr>
      <w:r>
        <w:rPr>
          <w:b/>
          <w:caps/>
        </w:rPr>
        <w:t>QUATRIEME CHAMBRE</w:t>
      </w:r>
    </w:p>
    <w:p w:rsidR="00736EB4" w:rsidRDefault="00736EB4" w:rsidP="00A7515D">
      <w:pPr>
        <w:spacing w:before="0" w:after="0"/>
        <w:rPr>
          <w:b/>
          <w:caps/>
        </w:rPr>
      </w:pPr>
      <w:r>
        <w:rPr>
          <w:b/>
          <w:caps/>
        </w:rPr>
        <w:t xml:space="preserve">       </w:t>
      </w:r>
      <w:r w:rsidR="008D49D1">
        <w:rPr>
          <w:b/>
          <w:caps/>
        </w:rPr>
        <w:t xml:space="preserve"> </w:t>
      </w:r>
      <w:r>
        <w:rPr>
          <w:b/>
          <w:caps/>
        </w:rPr>
        <w:t xml:space="preserve">        ------</w:t>
      </w:r>
    </w:p>
    <w:p w:rsidR="00736EB4" w:rsidRDefault="00E7082C" w:rsidP="00736EB4">
      <w:pPr>
        <w:spacing w:before="0" w:after="0"/>
        <w:rPr>
          <w:b/>
          <w:caps/>
        </w:rPr>
      </w:pPr>
      <w:r>
        <w:rPr>
          <w:b/>
          <w:caps/>
        </w:rPr>
        <w:t xml:space="preserve"> </w:t>
      </w:r>
      <w:r w:rsidR="00B55328">
        <w:rPr>
          <w:b/>
          <w:caps/>
        </w:rPr>
        <w:t xml:space="preserve">  </w:t>
      </w:r>
      <w:r w:rsidR="00736EB4">
        <w:rPr>
          <w:b/>
          <w:caps/>
        </w:rPr>
        <w:t>PREMIERE SECTION</w:t>
      </w:r>
    </w:p>
    <w:p w:rsidR="00896139" w:rsidRPr="00122C4B" w:rsidRDefault="00896139" w:rsidP="004531CD">
      <w:pPr>
        <w:pStyle w:val="Corpsdetexte"/>
        <w:spacing w:before="0"/>
        <w:rPr>
          <w:b/>
          <w:bCs/>
        </w:rPr>
      </w:pPr>
      <w:r w:rsidRPr="00A7515D">
        <w:rPr>
          <w:b/>
          <w:bCs/>
        </w:rPr>
        <w:t xml:space="preserve">    </w:t>
      </w:r>
      <w:r w:rsidR="00B55328">
        <w:rPr>
          <w:b/>
          <w:bCs/>
        </w:rPr>
        <w:t xml:space="preserve"> </w:t>
      </w:r>
      <w:r w:rsidRPr="00A7515D">
        <w:rPr>
          <w:b/>
          <w:bCs/>
        </w:rPr>
        <w:t xml:space="preserve">  </w:t>
      </w:r>
      <w:r w:rsidR="008D49D1">
        <w:rPr>
          <w:b/>
          <w:bCs/>
        </w:rPr>
        <w:t xml:space="preserve"> </w:t>
      </w:r>
      <w:r w:rsidRPr="00A7515D">
        <w:rPr>
          <w:b/>
          <w:bCs/>
        </w:rPr>
        <w:t xml:space="preserve">        </w:t>
      </w:r>
      <w:r w:rsidRPr="00122C4B">
        <w:rPr>
          <w:b/>
          <w:bCs/>
        </w:rPr>
        <w:t>---</w:t>
      </w:r>
      <w:r w:rsidR="00122C4B" w:rsidRPr="00122C4B">
        <w:rPr>
          <w:b/>
          <w:bCs/>
        </w:rPr>
        <w:t>-</w:t>
      </w:r>
      <w:r w:rsidRPr="00122C4B">
        <w:rPr>
          <w:b/>
          <w:bCs/>
        </w:rPr>
        <w:t>--</w:t>
      </w:r>
    </w:p>
    <w:p w:rsidR="00736EB4" w:rsidRPr="00B55328" w:rsidRDefault="00BF386C" w:rsidP="00DC5087">
      <w:pPr>
        <w:pStyle w:val="Corpsdetexte"/>
        <w:rPr>
          <w:b/>
          <w:bCs/>
          <w:i/>
          <w:sz w:val="22"/>
          <w:szCs w:val="22"/>
        </w:rPr>
      </w:pPr>
      <w:r>
        <w:rPr>
          <w:i/>
        </w:rPr>
        <w:t xml:space="preserve"> </w:t>
      </w:r>
      <w:r w:rsidR="00B55328">
        <w:rPr>
          <w:i/>
        </w:rPr>
        <w:t xml:space="preserve"> </w:t>
      </w:r>
      <w:r>
        <w:rPr>
          <w:i/>
        </w:rPr>
        <w:t xml:space="preserve"> </w:t>
      </w:r>
      <w:r w:rsidR="00E7082C">
        <w:rPr>
          <w:i/>
        </w:rPr>
        <w:t xml:space="preserve"> </w:t>
      </w:r>
      <w:r w:rsidR="00A7515D">
        <w:rPr>
          <w:i/>
        </w:rPr>
        <w:t xml:space="preserve">      </w:t>
      </w:r>
      <w:r w:rsidR="00736EB4" w:rsidRPr="00B55328">
        <w:rPr>
          <w:b/>
          <w:bCs/>
          <w:i/>
          <w:sz w:val="22"/>
          <w:szCs w:val="22"/>
        </w:rPr>
        <w:t>Arrêt n°</w:t>
      </w:r>
      <w:r w:rsidR="0095105C" w:rsidRPr="00B55328">
        <w:rPr>
          <w:b/>
          <w:bCs/>
          <w:i/>
          <w:sz w:val="22"/>
          <w:szCs w:val="22"/>
        </w:rPr>
        <w:t xml:space="preserve"> </w:t>
      </w:r>
      <w:r w:rsidR="00802826" w:rsidRPr="00B55328">
        <w:rPr>
          <w:b/>
          <w:bCs/>
          <w:i/>
          <w:sz w:val="22"/>
          <w:szCs w:val="22"/>
        </w:rPr>
        <w:t>65507</w:t>
      </w:r>
    </w:p>
    <w:p w:rsidR="00736EB4" w:rsidRDefault="00736EB4" w:rsidP="00BF386C">
      <w:pPr>
        <w:spacing w:after="360"/>
        <w:ind w:left="4536" w:firstLine="0"/>
        <w:jc w:val="left"/>
        <w:rPr>
          <w:caps/>
          <w:szCs w:val="24"/>
        </w:rPr>
      </w:pPr>
      <w:r>
        <w:rPr>
          <w:caps/>
          <w:szCs w:val="24"/>
        </w:rPr>
        <w:t>comm</w:t>
      </w:r>
      <w:r w:rsidR="00331230">
        <w:rPr>
          <w:caps/>
          <w:szCs w:val="24"/>
        </w:rPr>
        <w:t>unAUTE D’AGGLOMERATION DE SAINT-MALO</w:t>
      </w:r>
    </w:p>
    <w:p w:rsidR="00736EB4" w:rsidRDefault="00736EB4" w:rsidP="00A7515D">
      <w:pPr>
        <w:pStyle w:val="Titre2"/>
        <w:numPr>
          <w:ilvl w:val="0"/>
          <w:numId w:val="0"/>
        </w:numPr>
        <w:tabs>
          <w:tab w:val="left" w:pos="708"/>
        </w:tabs>
        <w:spacing w:before="120" w:after="240"/>
        <w:ind w:left="4536"/>
        <w:jc w:val="both"/>
        <w:rPr>
          <w:b w:val="0"/>
          <w:caps w:val="0"/>
          <w:szCs w:val="24"/>
        </w:rPr>
      </w:pPr>
      <w:r>
        <w:rPr>
          <w:b w:val="0"/>
          <w:caps w:val="0"/>
          <w:szCs w:val="24"/>
        </w:rPr>
        <w:t>Appel d’un jugement de la ch</w:t>
      </w:r>
      <w:r w:rsidR="00331230">
        <w:rPr>
          <w:b w:val="0"/>
          <w:caps w:val="0"/>
          <w:szCs w:val="24"/>
        </w:rPr>
        <w:t>ambre régionale des comptes de Bretagne rendu le 20 mai 2009</w:t>
      </w:r>
    </w:p>
    <w:p w:rsidR="00736EB4" w:rsidRDefault="00736EB4" w:rsidP="00A7515D">
      <w:pPr>
        <w:pStyle w:val="Titre4"/>
        <w:numPr>
          <w:ilvl w:val="0"/>
          <w:numId w:val="0"/>
        </w:numPr>
        <w:tabs>
          <w:tab w:val="left" w:pos="708"/>
        </w:tabs>
        <w:spacing w:before="120" w:after="240"/>
        <w:ind w:left="4536"/>
        <w:rPr>
          <w:b w:val="0"/>
        </w:rPr>
      </w:pPr>
      <w:r>
        <w:rPr>
          <w:b w:val="0"/>
        </w:rPr>
        <w:t xml:space="preserve">Rapport n° </w:t>
      </w:r>
      <w:r w:rsidR="006A6860">
        <w:rPr>
          <w:b w:val="0"/>
        </w:rPr>
        <w:t>2012-655-0</w:t>
      </w:r>
    </w:p>
    <w:p w:rsidR="00736EB4" w:rsidRDefault="00E34E7E" w:rsidP="00BF386C">
      <w:pPr>
        <w:spacing w:after="240"/>
        <w:ind w:left="4536" w:firstLine="0"/>
      </w:pPr>
      <w:r>
        <w:t>Audience</w:t>
      </w:r>
      <w:r w:rsidR="00736EB4">
        <w:t xml:space="preserve"> </w:t>
      </w:r>
      <w:r w:rsidR="00A7515D">
        <w:t>et délibéré</w:t>
      </w:r>
      <w:r w:rsidR="00B17BFD">
        <w:t xml:space="preserve"> </w:t>
      </w:r>
      <w:r w:rsidR="00A7515D">
        <w:t xml:space="preserve">du </w:t>
      </w:r>
      <w:r w:rsidR="006A6860">
        <w:t>5 décembre 2012</w:t>
      </w:r>
    </w:p>
    <w:p w:rsidR="00736EB4" w:rsidRDefault="0095105C" w:rsidP="0061182B">
      <w:pPr>
        <w:spacing w:after="600"/>
        <w:ind w:left="4536" w:firstLine="0"/>
      </w:pPr>
      <w:r>
        <w:t xml:space="preserve">Lecture </w:t>
      </w:r>
      <w:r w:rsidR="00A1556F">
        <w:t xml:space="preserve">publique </w:t>
      </w:r>
      <w:r>
        <w:t xml:space="preserve">du </w:t>
      </w:r>
      <w:r w:rsidR="00814AA7">
        <w:t>17 janvier 2013</w:t>
      </w:r>
    </w:p>
    <w:p w:rsidR="00EE5173" w:rsidRPr="00690D05" w:rsidRDefault="00EE5173" w:rsidP="0061182B">
      <w:pPr>
        <w:pStyle w:val="P0"/>
        <w:ind w:left="567" w:firstLine="0"/>
        <w:jc w:val="center"/>
      </w:pPr>
      <w:r w:rsidRPr="00690D05">
        <w:t>REPUBLIQUE FRANÇAISE</w:t>
      </w:r>
    </w:p>
    <w:p w:rsidR="00EE5173" w:rsidRPr="00690D05" w:rsidRDefault="00EE5173" w:rsidP="0061182B">
      <w:pPr>
        <w:pStyle w:val="P0"/>
        <w:spacing w:after="480"/>
        <w:ind w:left="567" w:firstLine="0"/>
        <w:jc w:val="center"/>
      </w:pPr>
      <w:r w:rsidRPr="00690D05">
        <w:t>AU NOM DU PEUPLE FRANÇAIS</w:t>
      </w:r>
    </w:p>
    <w:p w:rsidR="00EE5173" w:rsidRPr="00690D05" w:rsidRDefault="00EE5173" w:rsidP="0061182B">
      <w:pPr>
        <w:pStyle w:val="P0"/>
        <w:spacing w:after="480"/>
        <w:ind w:left="567" w:firstLine="0"/>
        <w:jc w:val="center"/>
      </w:pPr>
      <w:r w:rsidRPr="00690D05">
        <w:t>LA COUR DES COMPTES a rendu l’arrêt suivant :</w:t>
      </w:r>
    </w:p>
    <w:p w:rsidR="00736EB4" w:rsidRDefault="00736EB4" w:rsidP="0061182B">
      <w:pPr>
        <w:pStyle w:val="PS"/>
        <w:spacing w:after="440"/>
        <w:ind w:left="567"/>
        <w:jc w:val="left"/>
        <w:rPr>
          <w:rFonts w:ascii="Times New Roman" w:hAnsi="Times New Roman"/>
        </w:rPr>
      </w:pPr>
      <w:r>
        <w:rPr>
          <w:rFonts w:ascii="Times New Roman" w:hAnsi="Times New Roman"/>
        </w:rPr>
        <w:t>L</w:t>
      </w:r>
      <w:r w:rsidR="00E34E7E">
        <w:rPr>
          <w:rFonts w:ascii="Times New Roman" w:hAnsi="Times New Roman"/>
        </w:rPr>
        <w:t>A</w:t>
      </w:r>
      <w:r>
        <w:rPr>
          <w:rFonts w:ascii="Times New Roman" w:hAnsi="Times New Roman"/>
        </w:rPr>
        <w:t xml:space="preserve"> COUR,</w:t>
      </w:r>
    </w:p>
    <w:p w:rsidR="00736EB4" w:rsidRDefault="00736EB4" w:rsidP="0061182B">
      <w:pPr>
        <w:pStyle w:val="PS"/>
        <w:spacing w:after="440"/>
        <w:ind w:left="567"/>
        <w:rPr>
          <w:rFonts w:ascii="Times New Roman" w:hAnsi="Times New Roman"/>
          <w:szCs w:val="24"/>
        </w:rPr>
      </w:pPr>
      <w:r>
        <w:rPr>
          <w:rFonts w:ascii="Times New Roman" w:hAnsi="Times New Roman"/>
          <w:szCs w:val="24"/>
        </w:rPr>
        <w:t>Vu la requêt</w:t>
      </w:r>
      <w:r w:rsidR="00E90C77">
        <w:rPr>
          <w:rFonts w:ascii="Times New Roman" w:hAnsi="Times New Roman"/>
          <w:szCs w:val="24"/>
        </w:rPr>
        <w:t xml:space="preserve">e, enregistrée le </w:t>
      </w:r>
      <w:r w:rsidR="00A7515D">
        <w:rPr>
          <w:rFonts w:ascii="Times New Roman" w:hAnsi="Times New Roman"/>
          <w:szCs w:val="24"/>
        </w:rPr>
        <w:t>27 </w:t>
      </w:r>
      <w:r w:rsidR="00E90C77">
        <w:rPr>
          <w:rFonts w:ascii="Times New Roman" w:hAnsi="Times New Roman"/>
          <w:szCs w:val="24"/>
        </w:rPr>
        <w:t>juillet</w:t>
      </w:r>
      <w:r w:rsidR="00A7515D">
        <w:rPr>
          <w:rFonts w:ascii="Times New Roman" w:hAnsi="Times New Roman"/>
          <w:szCs w:val="24"/>
        </w:rPr>
        <w:t> </w:t>
      </w:r>
      <w:r w:rsidR="00E90C77">
        <w:rPr>
          <w:rFonts w:ascii="Times New Roman" w:hAnsi="Times New Roman"/>
          <w:szCs w:val="24"/>
        </w:rPr>
        <w:t>2009</w:t>
      </w:r>
      <w:r>
        <w:rPr>
          <w:rFonts w:ascii="Times New Roman" w:hAnsi="Times New Roman"/>
          <w:szCs w:val="24"/>
        </w:rPr>
        <w:t xml:space="preserve"> au greffe de la chambre régionale des comptes de </w:t>
      </w:r>
      <w:r w:rsidR="00E90C77">
        <w:rPr>
          <w:szCs w:val="24"/>
        </w:rPr>
        <w:t>Bretagne</w:t>
      </w:r>
      <w:r>
        <w:rPr>
          <w:rFonts w:ascii="Times New Roman" w:hAnsi="Times New Roman"/>
          <w:szCs w:val="24"/>
        </w:rPr>
        <w:t>, par laquelle M</w:t>
      </w:r>
      <w:r w:rsidR="00E34E7E">
        <w:rPr>
          <w:rFonts w:ascii="Times New Roman" w:hAnsi="Times New Roman"/>
          <w:szCs w:val="24"/>
        </w:rPr>
        <w:t>.</w:t>
      </w:r>
      <w:r w:rsidR="00896139">
        <w:rPr>
          <w:rFonts w:ascii="Times New Roman" w:hAnsi="Times New Roman"/>
          <w:szCs w:val="24"/>
        </w:rPr>
        <w:t> </w:t>
      </w:r>
      <w:r w:rsidR="00875F69">
        <w:rPr>
          <w:rFonts w:ascii="Times New Roman" w:hAnsi="Times New Roman"/>
          <w:szCs w:val="24"/>
        </w:rPr>
        <w:t>X</w:t>
      </w:r>
      <w:r>
        <w:rPr>
          <w:rFonts w:ascii="Times New Roman" w:hAnsi="Times New Roman"/>
          <w:szCs w:val="24"/>
        </w:rPr>
        <w:t>, comptable de la</w:t>
      </w:r>
      <w:r>
        <w:rPr>
          <w:caps/>
          <w:szCs w:val="24"/>
        </w:rPr>
        <w:t xml:space="preserve"> c</w:t>
      </w:r>
      <w:r w:rsidR="00E90C77">
        <w:rPr>
          <w:caps/>
          <w:szCs w:val="24"/>
        </w:rPr>
        <w:t>OMMUNAUTÉ D’AGGLOMÉRATION DE SAINT-MALO</w:t>
      </w:r>
      <w:r>
        <w:rPr>
          <w:rFonts w:ascii="Times New Roman" w:hAnsi="Times New Roman"/>
          <w:szCs w:val="24"/>
        </w:rPr>
        <w:t xml:space="preserve">, a élevé appel du jugement </w:t>
      </w:r>
      <w:r w:rsidR="00E90C77">
        <w:rPr>
          <w:rFonts w:ascii="Times New Roman" w:hAnsi="Times New Roman"/>
          <w:szCs w:val="24"/>
        </w:rPr>
        <w:t>du 20</w:t>
      </w:r>
      <w:r w:rsidR="00A7515D">
        <w:rPr>
          <w:rFonts w:ascii="Times New Roman" w:hAnsi="Times New Roman"/>
          <w:szCs w:val="24"/>
        </w:rPr>
        <w:t> </w:t>
      </w:r>
      <w:r w:rsidR="00E90C77">
        <w:rPr>
          <w:rFonts w:ascii="Times New Roman" w:hAnsi="Times New Roman"/>
          <w:szCs w:val="24"/>
        </w:rPr>
        <w:t>mai</w:t>
      </w:r>
      <w:r w:rsidR="00A7515D">
        <w:rPr>
          <w:rFonts w:ascii="Times New Roman" w:hAnsi="Times New Roman"/>
          <w:szCs w:val="24"/>
        </w:rPr>
        <w:t> </w:t>
      </w:r>
      <w:r w:rsidR="00E90C77">
        <w:rPr>
          <w:rFonts w:ascii="Times New Roman" w:hAnsi="Times New Roman"/>
          <w:szCs w:val="24"/>
        </w:rPr>
        <w:t xml:space="preserve">2009 par lequel ladite chambre l’a constitué débiteur des deniers de </w:t>
      </w:r>
      <w:r w:rsidR="004F515C">
        <w:rPr>
          <w:rFonts w:ascii="Times New Roman" w:hAnsi="Times New Roman"/>
          <w:szCs w:val="24"/>
        </w:rPr>
        <w:t xml:space="preserve">cette collectivité </w:t>
      </w:r>
      <w:r w:rsidR="00E90C77">
        <w:rPr>
          <w:rFonts w:ascii="Times New Roman" w:hAnsi="Times New Roman"/>
          <w:szCs w:val="24"/>
        </w:rPr>
        <w:t>pour la somme de 77 695,81</w:t>
      </w:r>
      <w:r w:rsidR="00A7515D">
        <w:rPr>
          <w:rFonts w:ascii="Times New Roman" w:hAnsi="Times New Roman"/>
          <w:szCs w:val="24"/>
        </w:rPr>
        <w:t> </w:t>
      </w:r>
      <w:r w:rsidR="00E90C77">
        <w:rPr>
          <w:rFonts w:ascii="Times New Roman" w:hAnsi="Times New Roman"/>
          <w:szCs w:val="24"/>
        </w:rPr>
        <w:t>€</w:t>
      </w:r>
      <w:r w:rsidR="004F515C">
        <w:rPr>
          <w:rFonts w:ascii="Times New Roman" w:hAnsi="Times New Roman"/>
          <w:szCs w:val="24"/>
        </w:rPr>
        <w:t>,</w:t>
      </w:r>
      <w:r w:rsidR="00E90C77">
        <w:rPr>
          <w:rFonts w:ascii="Times New Roman" w:hAnsi="Times New Roman"/>
          <w:szCs w:val="24"/>
        </w:rPr>
        <w:t xml:space="preserve"> augmentée des intérêts de droit à</w:t>
      </w:r>
      <w:r w:rsidR="00B21D77">
        <w:rPr>
          <w:rFonts w:ascii="Times New Roman" w:hAnsi="Times New Roman"/>
          <w:szCs w:val="24"/>
        </w:rPr>
        <w:t xml:space="preserve"> </w:t>
      </w:r>
      <w:r w:rsidR="00E90C77">
        <w:rPr>
          <w:rFonts w:ascii="Times New Roman" w:hAnsi="Times New Roman"/>
          <w:szCs w:val="24"/>
        </w:rPr>
        <w:t xml:space="preserve">compter du 21 avril 2008, </w:t>
      </w:r>
      <w:r w:rsidR="004F515C">
        <w:rPr>
          <w:rFonts w:ascii="Times New Roman" w:hAnsi="Times New Roman"/>
          <w:szCs w:val="24"/>
        </w:rPr>
        <w:t xml:space="preserve">au titre de sa gestion </w:t>
      </w:r>
      <w:r w:rsidR="00E90C77">
        <w:rPr>
          <w:rFonts w:ascii="Times New Roman" w:hAnsi="Times New Roman"/>
          <w:szCs w:val="24"/>
        </w:rPr>
        <w:t>pour les exercices</w:t>
      </w:r>
      <w:r w:rsidR="00B21D77">
        <w:rPr>
          <w:rFonts w:ascii="Times New Roman" w:hAnsi="Times New Roman"/>
          <w:szCs w:val="24"/>
        </w:rPr>
        <w:t xml:space="preserve"> </w:t>
      </w:r>
      <w:r w:rsidR="00E90C77">
        <w:rPr>
          <w:rFonts w:ascii="Times New Roman" w:hAnsi="Times New Roman"/>
          <w:szCs w:val="24"/>
        </w:rPr>
        <w:t>2002 à</w:t>
      </w:r>
      <w:r w:rsidR="00B21D77">
        <w:rPr>
          <w:rFonts w:ascii="Times New Roman" w:hAnsi="Times New Roman"/>
          <w:szCs w:val="24"/>
        </w:rPr>
        <w:t xml:space="preserve"> </w:t>
      </w:r>
      <w:r w:rsidR="00E90C77">
        <w:rPr>
          <w:rFonts w:ascii="Times New Roman" w:hAnsi="Times New Roman"/>
          <w:szCs w:val="24"/>
        </w:rPr>
        <w:t xml:space="preserve">2005 </w:t>
      </w:r>
      <w:r>
        <w:rPr>
          <w:rFonts w:ascii="Times New Roman" w:hAnsi="Times New Roman"/>
          <w:szCs w:val="24"/>
        </w:rPr>
        <w:t>;</w:t>
      </w:r>
    </w:p>
    <w:p w:rsidR="00736EB4" w:rsidRDefault="00E90C77" w:rsidP="0061182B">
      <w:pPr>
        <w:spacing w:after="440"/>
        <w:ind w:left="567" w:firstLine="1134"/>
        <w:rPr>
          <w:szCs w:val="24"/>
        </w:rPr>
      </w:pPr>
      <w:r>
        <w:rPr>
          <w:szCs w:val="24"/>
        </w:rPr>
        <w:t>Vu le réquisitoire du Procureur général</w:t>
      </w:r>
      <w:r w:rsidR="00BC36F7">
        <w:rPr>
          <w:szCs w:val="24"/>
        </w:rPr>
        <w:t xml:space="preserve"> </w:t>
      </w:r>
      <w:r w:rsidR="004F515C">
        <w:rPr>
          <w:szCs w:val="24"/>
        </w:rPr>
        <w:t xml:space="preserve">près la Cour des comptes </w:t>
      </w:r>
      <w:r>
        <w:rPr>
          <w:szCs w:val="24"/>
        </w:rPr>
        <w:t>du</w:t>
      </w:r>
      <w:r w:rsidR="00B21D77">
        <w:rPr>
          <w:szCs w:val="24"/>
        </w:rPr>
        <w:t xml:space="preserve"> </w:t>
      </w:r>
      <w:r>
        <w:rPr>
          <w:szCs w:val="24"/>
        </w:rPr>
        <w:t>7</w:t>
      </w:r>
      <w:r w:rsidR="00A7515D">
        <w:rPr>
          <w:szCs w:val="24"/>
        </w:rPr>
        <w:t> </w:t>
      </w:r>
      <w:r>
        <w:rPr>
          <w:szCs w:val="24"/>
        </w:rPr>
        <w:t>septembre</w:t>
      </w:r>
      <w:r w:rsidR="00896139">
        <w:rPr>
          <w:szCs w:val="24"/>
        </w:rPr>
        <w:t> </w:t>
      </w:r>
      <w:r>
        <w:rPr>
          <w:szCs w:val="24"/>
        </w:rPr>
        <w:t>2009</w:t>
      </w:r>
      <w:r w:rsidR="00BC36F7">
        <w:rPr>
          <w:szCs w:val="24"/>
        </w:rPr>
        <w:t xml:space="preserve"> </w:t>
      </w:r>
      <w:r w:rsidR="00736EB4">
        <w:rPr>
          <w:szCs w:val="24"/>
        </w:rPr>
        <w:t xml:space="preserve">transmettant </w:t>
      </w:r>
      <w:r w:rsidR="004F515C">
        <w:rPr>
          <w:szCs w:val="24"/>
        </w:rPr>
        <w:t xml:space="preserve">à la Cour </w:t>
      </w:r>
      <w:r w:rsidR="00736EB4">
        <w:rPr>
          <w:szCs w:val="24"/>
        </w:rPr>
        <w:t>la requête précitée ;</w:t>
      </w:r>
    </w:p>
    <w:p w:rsidR="00BC36F7" w:rsidRDefault="00BC36F7" w:rsidP="0061182B">
      <w:pPr>
        <w:pStyle w:val="PS"/>
        <w:spacing w:after="440"/>
        <w:ind w:left="567"/>
        <w:rPr>
          <w:rFonts w:ascii="Times New Roman" w:hAnsi="Times New Roman"/>
          <w:szCs w:val="24"/>
        </w:rPr>
      </w:pPr>
      <w:r>
        <w:rPr>
          <w:rFonts w:ascii="Times New Roman" w:hAnsi="Times New Roman"/>
          <w:szCs w:val="24"/>
        </w:rPr>
        <w:t>Vu le jugement du 21 avril 2008 de la chambre régionale des comptes</w:t>
      </w:r>
      <w:r w:rsidR="00D92F59">
        <w:rPr>
          <w:rFonts w:ascii="Times New Roman" w:hAnsi="Times New Roman"/>
          <w:szCs w:val="24"/>
        </w:rPr>
        <w:t xml:space="preserve"> de</w:t>
      </w:r>
      <w:r w:rsidR="00B21D77">
        <w:rPr>
          <w:rFonts w:ascii="Times New Roman" w:hAnsi="Times New Roman"/>
          <w:szCs w:val="24"/>
        </w:rPr>
        <w:t xml:space="preserve"> </w:t>
      </w:r>
      <w:r w:rsidR="00D92F59">
        <w:rPr>
          <w:rFonts w:ascii="Times New Roman" w:hAnsi="Times New Roman"/>
          <w:szCs w:val="24"/>
        </w:rPr>
        <w:t>Bretagne</w:t>
      </w:r>
      <w:r>
        <w:rPr>
          <w:rFonts w:ascii="Times New Roman" w:hAnsi="Times New Roman"/>
          <w:szCs w:val="24"/>
        </w:rPr>
        <w:t> ;</w:t>
      </w:r>
    </w:p>
    <w:p w:rsidR="004840E1" w:rsidRDefault="004840E1" w:rsidP="0061182B">
      <w:pPr>
        <w:pStyle w:val="PS"/>
        <w:spacing w:after="360"/>
        <w:ind w:left="567"/>
      </w:pPr>
      <w:r>
        <w:rPr>
          <w:rFonts w:ascii="Times New Roman" w:hAnsi="Times New Roman"/>
          <w:szCs w:val="24"/>
        </w:rPr>
        <w:t>Vu l’arrêt n°</w:t>
      </w:r>
      <w:r w:rsidR="00B333FA">
        <w:rPr>
          <w:rFonts w:ascii="Times New Roman" w:hAnsi="Times New Roman"/>
          <w:szCs w:val="24"/>
        </w:rPr>
        <w:t> </w:t>
      </w:r>
      <w:r>
        <w:t>59366 du 12 avril 2012</w:t>
      </w:r>
      <w:r w:rsidR="00D57146">
        <w:t>,</w:t>
      </w:r>
      <w:r>
        <w:t xml:space="preserve"> </w:t>
      </w:r>
      <w:r w:rsidR="00D57146">
        <w:t>délibéré les 15</w:t>
      </w:r>
      <w:r w:rsidR="00D92F59">
        <w:t> </w:t>
      </w:r>
      <w:r w:rsidR="00D57146">
        <w:t>avril et 30</w:t>
      </w:r>
      <w:r w:rsidR="00B333FA">
        <w:t> </w:t>
      </w:r>
      <w:r w:rsidR="00D57146">
        <w:t>décembre</w:t>
      </w:r>
      <w:r w:rsidR="00B333FA">
        <w:t> </w:t>
      </w:r>
      <w:r w:rsidR="00D57146">
        <w:t xml:space="preserve">2010, </w:t>
      </w:r>
      <w:r>
        <w:t>par lequel la Cour des comptes a annulé le</w:t>
      </w:r>
      <w:r w:rsidR="00DB541F">
        <w:t xml:space="preserve"> </w:t>
      </w:r>
      <w:r>
        <w:t>jugement</w:t>
      </w:r>
      <w:r w:rsidR="00D92F59">
        <w:t xml:space="preserve"> susmentionné </w:t>
      </w:r>
      <w:r w:rsidR="00BC36F7">
        <w:t>du 20</w:t>
      </w:r>
      <w:r w:rsidR="00B333FA">
        <w:t> </w:t>
      </w:r>
      <w:r w:rsidR="00BC36F7">
        <w:t>mai</w:t>
      </w:r>
      <w:r w:rsidR="00B333FA">
        <w:t> </w:t>
      </w:r>
      <w:r w:rsidR="00BC36F7">
        <w:t xml:space="preserve">2009, </w:t>
      </w:r>
      <w:r w:rsidR="0095105C">
        <w:t xml:space="preserve">et </w:t>
      </w:r>
      <w:r w:rsidR="00DB541F">
        <w:t>décidé d’</w:t>
      </w:r>
      <w:r w:rsidR="0095105C">
        <w:t>évoqu</w:t>
      </w:r>
      <w:r w:rsidR="00DB541F">
        <w:t>er</w:t>
      </w:r>
      <w:r w:rsidR="0095105C">
        <w:t xml:space="preserve"> l’affaire </w:t>
      </w:r>
      <w:r>
        <w:t>;</w:t>
      </w:r>
    </w:p>
    <w:p w:rsidR="00B17BFD" w:rsidRDefault="00B17BFD" w:rsidP="004840E1">
      <w:pPr>
        <w:pStyle w:val="PS"/>
        <w:ind w:left="567"/>
      </w:pPr>
      <w:r>
        <w:lastRenderedPageBreak/>
        <w:t>Vu l’arrêt de la Cour des comptes n°</w:t>
      </w:r>
      <w:r w:rsidR="00B333FA">
        <w:t> </w:t>
      </w:r>
      <w:r>
        <w:t>64342</w:t>
      </w:r>
      <w:r w:rsidR="00D57146">
        <w:t>, également</w:t>
      </w:r>
      <w:r>
        <w:t xml:space="preserve"> délibéré les 15</w:t>
      </w:r>
      <w:r w:rsidR="00D92F59">
        <w:t> </w:t>
      </w:r>
      <w:r>
        <w:t>avril et 30</w:t>
      </w:r>
      <w:r w:rsidR="00B333FA">
        <w:t> </w:t>
      </w:r>
      <w:r>
        <w:t>décembre</w:t>
      </w:r>
      <w:r w:rsidR="00B333FA">
        <w:t> </w:t>
      </w:r>
      <w:r>
        <w:t>2010</w:t>
      </w:r>
      <w:r w:rsidR="00595099">
        <w:t>, pron</w:t>
      </w:r>
      <w:r w:rsidR="00F3062E">
        <w:t>on</w:t>
      </w:r>
      <w:r w:rsidR="00595099">
        <w:t>çant une injonction</w:t>
      </w:r>
      <w:r w:rsidR="00D92F59">
        <w:t xml:space="preserve"> à l’encontre de M. </w:t>
      </w:r>
      <w:r w:rsidR="00875F69">
        <w:t>X</w:t>
      </w:r>
      <w:r>
        <w:t>;</w:t>
      </w:r>
    </w:p>
    <w:p w:rsidR="00BC36F7" w:rsidRDefault="00BC36F7" w:rsidP="004840E1">
      <w:pPr>
        <w:pStyle w:val="PS"/>
        <w:ind w:left="567"/>
        <w:rPr>
          <w:rFonts w:ascii="Times New Roman" w:hAnsi="Times New Roman"/>
          <w:szCs w:val="24"/>
        </w:rPr>
      </w:pPr>
      <w:r>
        <w:t xml:space="preserve">Vu </w:t>
      </w:r>
      <w:r>
        <w:rPr>
          <w:rFonts w:ascii="Times New Roman" w:hAnsi="Times New Roman"/>
        </w:rPr>
        <w:t>la réponse apportée par M.</w:t>
      </w:r>
      <w:r w:rsidR="00B333FA">
        <w:rPr>
          <w:rFonts w:ascii="Times New Roman" w:hAnsi="Times New Roman"/>
        </w:rPr>
        <w:t> </w:t>
      </w:r>
      <w:r w:rsidR="00875F69">
        <w:rPr>
          <w:rFonts w:ascii="Times New Roman" w:hAnsi="Times New Roman"/>
        </w:rPr>
        <w:t xml:space="preserve">X </w:t>
      </w:r>
      <w:r>
        <w:rPr>
          <w:rFonts w:ascii="Times New Roman" w:hAnsi="Times New Roman"/>
        </w:rPr>
        <w:t>à l’arrêt n°</w:t>
      </w:r>
      <w:r w:rsidR="00B333FA">
        <w:rPr>
          <w:rFonts w:ascii="Times New Roman" w:hAnsi="Times New Roman"/>
        </w:rPr>
        <w:t> 64</w:t>
      </w:r>
      <w:r>
        <w:rPr>
          <w:rFonts w:ascii="Times New Roman" w:hAnsi="Times New Roman"/>
        </w:rPr>
        <w:t>342 précité, enregistrée le 27 août 2012 au greffe</w:t>
      </w:r>
      <w:r w:rsidR="00D92F59">
        <w:rPr>
          <w:rFonts w:ascii="Times New Roman" w:hAnsi="Times New Roman"/>
        </w:rPr>
        <w:t xml:space="preserve"> de la Cour</w:t>
      </w:r>
      <w:r>
        <w:rPr>
          <w:rFonts w:ascii="Times New Roman" w:hAnsi="Times New Roman"/>
        </w:rPr>
        <w:t> ;</w:t>
      </w:r>
    </w:p>
    <w:p w:rsidR="00736EB4" w:rsidRDefault="00736EB4" w:rsidP="00736EB4">
      <w:pPr>
        <w:pStyle w:val="PS"/>
        <w:ind w:left="567"/>
        <w:rPr>
          <w:rFonts w:ascii="Times New Roman" w:hAnsi="Times New Roman"/>
        </w:rPr>
      </w:pPr>
      <w:r>
        <w:rPr>
          <w:rFonts w:ascii="Times New Roman" w:hAnsi="Times New Roman"/>
        </w:rPr>
        <w:t xml:space="preserve">Vu les pièces </w:t>
      </w:r>
      <w:r w:rsidR="00BC36F7">
        <w:rPr>
          <w:rFonts w:ascii="Times New Roman" w:hAnsi="Times New Roman"/>
        </w:rPr>
        <w:t xml:space="preserve">du dossier de </w:t>
      </w:r>
      <w:r>
        <w:rPr>
          <w:rFonts w:ascii="Times New Roman" w:hAnsi="Times New Roman"/>
        </w:rPr>
        <w:t>première instance</w:t>
      </w:r>
      <w:r w:rsidR="00BC36F7">
        <w:rPr>
          <w:rFonts w:ascii="Times New Roman" w:hAnsi="Times New Roman"/>
        </w:rPr>
        <w:t> ;</w:t>
      </w:r>
    </w:p>
    <w:p w:rsidR="00736EB4" w:rsidRDefault="00736EB4" w:rsidP="00896139">
      <w:pPr>
        <w:pStyle w:val="PS"/>
        <w:ind w:left="567"/>
        <w:rPr>
          <w:rFonts w:ascii="Times New Roman" w:hAnsi="Times New Roman"/>
        </w:rPr>
      </w:pPr>
      <w:r>
        <w:rPr>
          <w:rFonts w:ascii="Times New Roman" w:hAnsi="Times New Roman"/>
        </w:rPr>
        <w:t xml:space="preserve">Vu l’article 60 </w:t>
      </w:r>
      <w:r w:rsidR="00D57146">
        <w:rPr>
          <w:rFonts w:ascii="Times New Roman" w:hAnsi="Times New Roman"/>
        </w:rPr>
        <w:t xml:space="preserve">modifié </w:t>
      </w:r>
      <w:r>
        <w:rPr>
          <w:rFonts w:ascii="Times New Roman" w:hAnsi="Times New Roman"/>
        </w:rPr>
        <w:t>de la loi n°</w:t>
      </w:r>
      <w:r w:rsidR="00896139">
        <w:rPr>
          <w:rFonts w:ascii="Times New Roman" w:hAnsi="Times New Roman"/>
        </w:rPr>
        <w:t> </w:t>
      </w:r>
      <w:r w:rsidR="00D57146">
        <w:rPr>
          <w:rFonts w:ascii="Times New Roman" w:hAnsi="Times New Roman"/>
        </w:rPr>
        <w:t>63-156 du 23 février 1963</w:t>
      </w:r>
      <w:r>
        <w:rPr>
          <w:rFonts w:ascii="Times New Roman" w:hAnsi="Times New Roman"/>
        </w:rPr>
        <w:t xml:space="preserve"> </w:t>
      </w:r>
      <w:r w:rsidR="00D92F59">
        <w:rPr>
          <w:rFonts w:ascii="Times New Roman" w:hAnsi="Times New Roman"/>
        </w:rPr>
        <w:t>de finances pour 1963</w:t>
      </w:r>
      <w:r w:rsidR="00147306">
        <w:rPr>
          <w:rFonts w:ascii="Times New Roman" w:hAnsi="Times New Roman"/>
        </w:rPr>
        <w:t xml:space="preserve"> </w:t>
      </w:r>
      <w:r>
        <w:rPr>
          <w:rFonts w:ascii="Times New Roman" w:hAnsi="Times New Roman"/>
        </w:rPr>
        <w:t>;</w:t>
      </w:r>
    </w:p>
    <w:p w:rsidR="00736EB4" w:rsidRDefault="00736EB4" w:rsidP="00EF0142">
      <w:pPr>
        <w:pStyle w:val="PS"/>
        <w:ind w:left="567"/>
        <w:rPr>
          <w:rFonts w:ascii="Times New Roman" w:hAnsi="Times New Roman"/>
        </w:rPr>
      </w:pPr>
      <w:r w:rsidRPr="004D53E3">
        <w:rPr>
          <w:rFonts w:ascii="Times New Roman" w:hAnsi="Times New Roman"/>
        </w:rPr>
        <w:t>Vu le décret n°</w:t>
      </w:r>
      <w:r w:rsidR="00896139" w:rsidRPr="004D53E3">
        <w:rPr>
          <w:rFonts w:ascii="Times New Roman" w:hAnsi="Times New Roman"/>
        </w:rPr>
        <w:t> </w:t>
      </w:r>
      <w:r w:rsidRPr="004D53E3">
        <w:rPr>
          <w:rFonts w:ascii="Times New Roman" w:hAnsi="Times New Roman"/>
        </w:rPr>
        <w:t>62-1587 du 29</w:t>
      </w:r>
      <w:r w:rsidR="00896139" w:rsidRPr="004D53E3">
        <w:rPr>
          <w:rFonts w:ascii="Times New Roman" w:hAnsi="Times New Roman"/>
        </w:rPr>
        <w:t> </w:t>
      </w:r>
      <w:r w:rsidRPr="004D53E3">
        <w:rPr>
          <w:rFonts w:ascii="Times New Roman" w:hAnsi="Times New Roman"/>
        </w:rPr>
        <w:t>décembre</w:t>
      </w:r>
      <w:r w:rsidR="00896139" w:rsidRPr="004D53E3">
        <w:rPr>
          <w:rFonts w:ascii="Times New Roman" w:hAnsi="Times New Roman"/>
        </w:rPr>
        <w:t> </w:t>
      </w:r>
      <w:r w:rsidRPr="004D53E3">
        <w:rPr>
          <w:rFonts w:ascii="Times New Roman" w:hAnsi="Times New Roman"/>
        </w:rPr>
        <w:t>1962 modifié portant règlement général sur la comptabilité publique</w:t>
      </w:r>
      <w:r w:rsidR="006A6860" w:rsidRPr="004D53E3">
        <w:rPr>
          <w:rFonts w:ascii="Times New Roman" w:hAnsi="Times New Roman"/>
        </w:rPr>
        <w:t>, en vigueur au</w:t>
      </w:r>
      <w:r w:rsidR="006A6860">
        <w:rPr>
          <w:rFonts w:ascii="Times New Roman" w:hAnsi="Times New Roman"/>
        </w:rPr>
        <w:t xml:space="preserve"> moment des faits</w:t>
      </w:r>
      <w:r>
        <w:rPr>
          <w:rFonts w:ascii="Times New Roman" w:hAnsi="Times New Roman"/>
        </w:rPr>
        <w:t> ;</w:t>
      </w:r>
    </w:p>
    <w:p w:rsidR="00BC36F7" w:rsidRDefault="00BC36F7" w:rsidP="00BC36F7">
      <w:pPr>
        <w:pStyle w:val="PS"/>
        <w:ind w:left="540"/>
        <w:rPr>
          <w:rFonts w:ascii="Times New Roman" w:hAnsi="Times New Roman"/>
        </w:rPr>
      </w:pPr>
      <w:r>
        <w:rPr>
          <w:rFonts w:ascii="Times New Roman" w:hAnsi="Times New Roman"/>
        </w:rPr>
        <w:t>Vu le code général des collectivités territoriales, notamment ses articles</w:t>
      </w:r>
      <w:r w:rsidR="00B21D77">
        <w:rPr>
          <w:rFonts w:ascii="Times New Roman" w:hAnsi="Times New Roman"/>
        </w:rPr>
        <w:t xml:space="preserve"> </w:t>
      </w:r>
      <w:r>
        <w:rPr>
          <w:rFonts w:ascii="Times New Roman" w:hAnsi="Times New Roman"/>
        </w:rPr>
        <w:t>L. 1321-1 et L.</w:t>
      </w:r>
      <w:r w:rsidR="00B333FA">
        <w:rPr>
          <w:rFonts w:ascii="Times New Roman" w:hAnsi="Times New Roman"/>
        </w:rPr>
        <w:t> </w:t>
      </w:r>
      <w:r>
        <w:rPr>
          <w:rFonts w:ascii="Times New Roman" w:hAnsi="Times New Roman"/>
        </w:rPr>
        <w:t>1321-2 ;</w:t>
      </w:r>
    </w:p>
    <w:p w:rsidR="00736EB4" w:rsidRDefault="00736EB4" w:rsidP="00EE49C2">
      <w:pPr>
        <w:pStyle w:val="PS"/>
        <w:ind w:left="540"/>
        <w:rPr>
          <w:rFonts w:ascii="Times New Roman" w:hAnsi="Times New Roman"/>
        </w:rPr>
      </w:pPr>
      <w:r>
        <w:rPr>
          <w:rFonts w:ascii="Times New Roman" w:hAnsi="Times New Roman"/>
        </w:rPr>
        <w:t>Vu le code des juridictions financières ;</w:t>
      </w:r>
    </w:p>
    <w:p w:rsidR="00AE1E15" w:rsidRDefault="00AE1E15" w:rsidP="00EE49C2">
      <w:pPr>
        <w:pStyle w:val="PS"/>
        <w:ind w:left="540"/>
        <w:rPr>
          <w:rFonts w:ascii="Times New Roman" w:hAnsi="Times New Roman"/>
        </w:rPr>
      </w:pPr>
      <w:r>
        <w:rPr>
          <w:rFonts w:ascii="Times New Roman" w:hAnsi="Times New Roman"/>
        </w:rPr>
        <w:t xml:space="preserve">Vu </w:t>
      </w:r>
      <w:r>
        <w:t xml:space="preserve">l’article 34 de la loi </w:t>
      </w:r>
      <w:r w:rsidRPr="00636BC8">
        <w:t xml:space="preserve">n° 2008-1091 </w:t>
      </w:r>
      <w:r w:rsidRPr="00B333FA">
        <w:t>du 28 octobre 2008 relative à la Cour des comptes et aux chambres régionales des comptes</w:t>
      </w:r>
      <w:r w:rsidR="00D57146">
        <w:t> ;</w:t>
      </w:r>
    </w:p>
    <w:p w:rsidR="00736EB4" w:rsidRDefault="00736EB4" w:rsidP="00EE49C2">
      <w:pPr>
        <w:pStyle w:val="PS"/>
        <w:ind w:left="540"/>
        <w:rPr>
          <w:rFonts w:ascii="Times New Roman" w:hAnsi="Times New Roman"/>
        </w:rPr>
      </w:pPr>
      <w:r>
        <w:rPr>
          <w:rFonts w:ascii="Times New Roman" w:hAnsi="Times New Roman"/>
        </w:rPr>
        <w:t>Vu le</w:t>
      </w:r>
      <w:r w:rsidR="00E90C77">
        <w:rPr>
          <w:rFonts w:ascii="Times New Roman" w:hAnsi="Times New Roman"/>
        </w:rPr>
        <w:t xml:space="preserve"> rapport de </w:t>
      </w:r>
      <w:r w:rsidR="00A7515D">
        <w:rPr>
          <w:rFonts w:ascii="Times New Roman" w:hAnsi="Times New Roman"/>
        </w:rPr>
        <w:t>M.</w:t>
      </w:r>
      <w:r w:rsidR="00B333FA">
        <w:rPr>
          <w:rFonts w:ascii="Times New Roman" w:hAnsi="Times New Roman"/>
        </w:rPr>
        <w:t> </w:t>
      </w:r>
      <w:r w:rsidR="00B17BFD">
        <w:rPr>
          <w:rFonts w:ascii="Times New Roman" w:hAnsi="Times New Roman"/>
        </w:rPr>
        <w:t>Philippe Geoffroy</w:t>
      </w:r>
      <w:r w:rsidR="00A7515D">
        <w:rPr>
          <w:rFonts w:ascii="Times New Roman" w:hAnsi="Times New Roman"/>
        </w:rPr>
        <w:t xml:space="preserve">, </w:t>
      </w:r>
      <w:r w:rsidR="00DE3530">
        <w:rPr>
          <w:rFonts w:ascii="Times New Roman" w:hAnsi="Times New Roman"/>
        </w:rPr>
        <w:t>c</w:t>
      </w:r>
      <w:r w:rsidR="00693F68">
        <w:rPr>
          <w:rFonts w:ascii="Times New Roman" w:hAnsi="Times New Roman"/>
        </w:rPr>
        <w:t>onseiller</w:t>
      </w:r>
      <w:r w:rsidR="00E90C77">
        <w:rPr>
          <w:rFonts w:ascii="Times New Roman" w:hAnsi="Times New Roman"/>
        </w:rPr>
        <w:t xml:space="preserve"> </w:t>
      </w:r>
      <w:r w:rsidR="00B17BFD">
        <w:rPr>
          <w:rFonts w:ascii="Times New Roman" w:hAnsi="Times New Roman"/>
        </w:rPr>
        <w:t xml:space="preserve">maître </w:t>
      </w:r>
      <w:r>
        <w:rPr>
          <w:rFonts w:ascii="Times New Roman" w:hAnsi="Times New Roman"/>
        </w:rPr>
        <w:t>;</w:t>
      </w:r>
    </w:p>
    <w:p w:rsidR="00736EB4" w:rsidRDefault="00E34E7E" w:rsidP="00EE49C2">
      <w:pPr>
        <w:pStyle w:val="PS"/>
        <w:ind w:left="540"/>
        <w:rPr>
          <w:rFonts w:ascii="Times New Roman" w:hAnsi="Times New Roman"/>
        </w:rPr>
      </w:pPr>
      <w:r>
        <w:rPr>
          <w:rFonts w:ascii="Times New Roman" w:hAnsi="Times New Roman"/>
        </w:rPr>
        <w:t>Vu le</w:t>
      </w:r>
      <w:r w:rsidR="00E90C77">
        <w:rPr>
          <w:rFonts w:ascii="Times New Roman" w:hAnsi="Times New Roman"/>
        </w:rPr>
        <w:t>s conclusions n°</w:t>
      </w:r>
      <w:r w:rsidR="00DE3530">
        <w:rPr>
          <w:rFonts w:ascii="Times New Roman" w:hAnsi="Times New Roman"/>
        </w:rPr>
        <w:t> </w:t>
      </w:r>
      <w:r w:rsidR="002A0C14">
        <w:rPr>
          <w:rFonts w:ascii="Times New Roman" w:hAnsi="Times New Roman"/>
        </w:rPr>
        <w:t>799</w:t>
      </w:r>
      <w:r w:rsidR="00B17BFD">
        <w:rPr>
          <w:rFonts w:ascii="Times New Roman" w:hAnsi="Times New Roman"/>
        </w:rPr>
        <w:t xml:space="preserve"> </w:t>
      </w:r>
      <w:r w:rsidR="00DE3530">
        <w:rPr>
          <w:rFonts w:ascii="Times New Roman" w:hAnsi="Times New Roman"/>
        </w:rPr>
        <w:t xml:space="preserve">du </w:t>
      </w:r>
      <w:r w:rsidR="002A0C14">
        <w:rPr>
          <w:rFonts w:ascii="Times New Roman" w:hAnsi="Times New Roman"/>
        </w:rPr>
        <w:t>21 novembre 2012</w:t>
      </w:r>
      <w:r w:rsidR="00B17BFD">
        <w:rPr>
          <w:rFonts w:ascii="Times New Roman" w:hAnsi="Times New Roman"/>
        </w:rPr>
        <w:t xml:space="preserve"> </w:t>
      </w:r>
      <w:r>
        <w:rPr>
          <w:rFonts w:ascii="Times New Roman" w:hAnsi="Times New Roman"/>
        </w:rPr>
        <w:t>du Proc</w:t>
      </w:r>
      <w:r w:rsidR="00E90C77">
        <w:rPr>
          <w:rFonts w:ascii="Times New Roman" w:hAnsi="Times New Roman"/>
        </w:rPr>
        <w:t xml:space="preserve">ureur général </w:t>
      </w:r>
      <w:r w:rsidR="00D92F59">
        <w:rPr>
          <w:rFonts w:ascii="Times New Roman" w:hAnsi="Times New Roman"/>
        </w:rPr>
        <w:t>près</w:t>
      </w:r>
      <w:r w:rsidR="00B21D77">
        <w:rPr>
          <w:rFonts w:ascii="Times New Roman" w:hAnsi="Times New Roman"/>
        </w:rPr>
        <w:t xml:space="preserve"> </w:t>
      </w:r>
      <w:r w:rsidR="00D92F59">
        <w:rPr>
          <w:rFonts w:ascii="Times New Roman" w:hAnsi="Times New Roman"/>
        </w:rPr>
        <w:t xml:space="preserve">la Cour des comptes </w:t>
      </w:r>
      <w:r w:rsidR="00736EB4">
        <w:rPr>
          <w:rFonts w:ascii="Times New Roman" w:hAnsi="Times New Roman"/>
        </w:rPr>
        <w:t>;</w:t>
      </w:r>
    </w:p>
    <w:p w:rsidR="00736EB4" w:rsidRDefault="00736EB4" w:rsidP="00EE49C2">
      <w:pPr>
        <w:pStyle w:val="PS"/>
        <w:ind w:left="540"/>
        <w:rPr>
          <w:rFonts w:ascii="Times New Roman" w:hAnsi="Times New Roman"/>
        </w:rPr>
      </w:pPr>
      <w:r>
        <w:rPr>
          <w:rFonts w:ascii="Times New Roman" w:hAnsi="Times New Roman"/>
        </w:rPr>
        <w:t xml:space="preserve">Entendu, lors de l’audience </w:t>
      </w:r>
      <w:r w:rsidR="00DE3530">
        <w:rPr>
          <w:rFonts w:ascii="Times New Roman" w:hAnsi="Times New Roman"/>
        </w:rPr>
        <w:t>publique</w:t>
      </w:r>
      <w:r w:rsidR="00693F68">
        <w:rPr>
          <w:rFonts w:ascii="Times New Roman" w:hAnsi="Times New Roman"/>
        </w:rPr>
        <w:t>, M.</w:t>
      </w:r>
      <w:r w:rsidR="00DE3530">
        <w:rPr>
          <w:rFonts w:ascii="Times New Roman" w:hAnsi="Times New Roman"/>
        </w:rPr>
        <w:t> </w:t>
      </w:r>
      <w:r w:rsidR="00B17BFD">
        <w:rPr>
          <w:rFonts w:ascii="Times New Roman" w:hAnsi="Times New Roman"/>
        </w:rPr>
        <w:t>Geoffroy</w:t>
      </w:r>
      <w:r w:rsidR="00E34E7E">
        <w:rPr>
          <w:rFonts w:ascii="Times New Roman" w:hAnsi="Times New Roman"/>
        </w:rPr>
        <w:t xml:space="preserve">, </w:t>
      </w:r>
      <w:r w:rsidR="00E90C77">
        <w:rPr>
          <w:rFonts w:ascii="Times New Roman" w:hAnsi="Times New Roman"/>
        </w:rPr>
        <w:t>en son rapport, Mme</w:t>
      </w:r>
      <w:r w:rsidR="00DE3530">
        <w:rPr>
          <w:rFonts w:ascii="Times New Roman" w:hAnsi="Times New Roman"/>
        </w:rPr>
        <w:t> </w:t>
      </w:r>
      <w:r w:rsidR="00D57146">
        <w:rPr>
          <w:rFonts w:ascii="Times New Roman" w:hAnsi="Times New Roman"/>
        </w:rPr>
        <w:t xml:space="preserve">Catherine </w:t>
      </w:r>
      <w:r w:rsidR="00E90C77">
        <w:rPr>
          <w:rFonts w:ascii="Times New Roman" w:hAnsi="Times New Roman"/>
        </w:rPr>
        <w:t>Sanchez</w:t>
      </w:r>
      <w:r>
        <w:rPr>
          <w:rFonts w:ascii="Times New Roman" w:hAnsi="Times New Roman"/>
        </w:rPr>
        <w:t xml:space="preserve">, </w:t>
      </w:r>
      <w:r w:rsidR="00E90C77">
        <w:rPr>
          <w:rFonts w:ascii="Times New Roman" w:hAnsi="Times New Roman"/>
        </w:rPr>
        <w:t xml:space="preserve">chargée de mission au </w:t>
      </w:r>
      <w:r w:rsidR="003E1811">
        <w:rPr>
          <w:rFonts w:ascii="Times New Roman" w:hAnsi="Times New Roman"/>
        </w:rPr>
        <w:t>P</w:t>
      </w:r>
      <w:r w:rsidR="00E90C77">
        <w:rPr>
          <w:rFonts w:ascii="Times New Roman" w:hAnsi="Times New Roman"/>
        </w:rPr>
        <w:t>arquet</w:t>
      </w:r>
      <w:r w:rsidR="003E1811">
        <w:rPr>
          <w:rFonts w:ascii="Times New Roman" w:hAnsi="Times New Roman"/>
        </w:rPr>
        <w:t xml:space="preserve"> G</w:t>
      </w:r>
      <w:r w:rsidR="00DE3530">
        <w:rPr>
          <w:rFonts w:ascii="Times New Roman" w:hAnsi="Times New Roman"/>
        </w:rPr>
        <w:t>énéral</w:t>
      </w:r>
      <w:r w:rsidR="00B17BFD">
        <w:rPr>
          <w:rFonts w:ascii="Times New Roman" w:hAnsi="Times New Roman"/>
        </w:rPr>
        <w:t>, en les conclusions du</w:t>
      </w:r>
      <w:r w:rsidR="00B21D77">
        <w:rPr>
          <w:rFonts w:ascii="Times New Roman" w:hAnsi="Times New Roman"/>
        </w:rPr>
        <w:t xml:space="preserve"> </w:t>
      </w:r>
      <w:r w:rsidR="00B17BFD">
        <w:rPr>
          <w:rFonts w:ascii="Times New Roman" w:hAnsi="Times New Roman"/>
        </w:rPr>
        <w:t>Parquet</w:t>
      </w:r>
      <w:r w:rsidR="00E90C77">
        <w:rPr>
          <w:rFonts w:ascii="Times New Roman" w:hAnsi="Times New Roman"/>
        </w:rPr>
        <w:t>,</w:t>
      </w:r>
      <w:r>
        <w:rPr>
          <w:rFonts w:ascii="Times New Roman" w:hAnsi="Times New Roman"/>
        </w:rPr>
        <w:t xml:space="preserve"> l’appelant, informé de l’audience, </w:t>
      </w:r>
      <w:r w:rsidR="006A6860">
        <w:rPr>
          <w:rFonts w:ascii="Times New Roman" w:hAnsi="Times New Roman"/>
        </w:rPr>
        <w:t>n’étant ni présent</w:t>
      </w:r>
      <w:r w:rsidR="002776FB">
        <w:rPr>
          <w:rFonts w:ascii="Times New Roman" w:hAnsi="Times New Roman"/>
        </w:rPr>
        <w:t>,</w:t>
      </w:r>
      <w:r w:rsidR="006A6860">
        <w:rPr>
          <w:rFonts w:ascii="Times New Roman" w:hAnsi="Times New Roman"/>
        </w:rPr>
        <w:t xml:space="preserve"> ni représenté </w:t>
      </w:r>
      <w:r>
        <w:rPr>
          <w:rFonts w:ascii="Times New Roman" w:hAnsi="Times New Roman"/>
        </w:rPr>
        <w:t>;</w:t>
      </w:r>
    </w:p>
    <w:p w:rsidR="00736EB4" w:rsidRDefault="00736EB4" w:rsidP="00EE49C2">
      <w:pPr>
        <w:pStyle w:val="PS"/>
        <w:ind w:left="540"/>
        <w:rPr>
          <w:rFonts w:ascii="Times New Roman" w:hAnsi="Times New Roman"/>
        </w:rPr>
      </w:pPr>
      <w:r>
        <w:rPr>
          <w:rFonts w:ascii="Times New Roman" w:hAnsi="Times New Roman"/>
        </w:rPr>
        <w:t>Après avoir entendu, en délibéré, M.</w:t>
      </w:r>
      <w:r w:rsidR="00896139">
        <w:rPr>
          <w:rFonts w:ascii="Times New Roman" w:hAnsi="Times New Roman"/>
        </w:rPr>
        <w:t> </w:t>
      </w:r>
      <w:r w:rsidR="002A0C14">
        <w:rPr>
          <w:rFonts w:ascii="Times New Roman" w:hAnsi="Times New Roman"/>
        </w:rPr>
        <w:t>Ganser</w:t>
      </w:r>
      <w:r w:rsidR="00DE3530">
        <w:rPr>
          <w:rFonts w:ascii="Times New Roman" w:hAnsi="Times New Roman"/>
        </w:rPr>
        <w:t>, c</w:t>
      </w:r>
      <w:r>
        <w:rPr>
          <w:rFonts w:ascii="Times New Roman" w:hAnsi="Times New Roman"/>
        </w:rPr>
        <w:t>onseiller maître, en ses observations ;</w:t>
      </w:r>
    </w:p>
    <w:p w:rsidR="0095105C" w:rsidRPr="0095105C" w:rsidRDefault="0049304D" w:rsidP="00EE49C2">
      <w:pPr>
        <w:pStyle w:val="PS"/>
        <w:ind w:left="540"/>
        <w:rPr>
          <w:rFonts w:ascii="Times New Roman" w:hAnsi="Times New Roman"/>
          <w:b/>
        </w:rPr>
      </w:pPr>
      <w:r>
        <w:rPr>
          <w:rFonts w:ascii="Times New Roman" w:hAnsi="Times New Roman"/>
          <w:b/>
        </w:rPr>
        <w:t>Sur la procédure</w:t>
      </w:r>
    </w:p>
    <w:p w:rsidR="00585666" w:rsidRPr="00585666" w:rsidRDefault="00585666" w:rsidP="0095105C">
      <w:pPr>
        <w:pStyle w:val="Corpsdetexte"/>
        <w:spacing w:before="0" w:after="480"/>
        <w:ind w:left="540" w:firstLine="1080"/>
        <w:rPr>
          <w:i/>
        </w:rPr>
      </w:pPr>
      <w:r w:rsidRPr="00585666">
        <w:rPr>
          <w:i/>
        </w:rPr>
        <w:t>Sur l</w:t>
      </w:r>
      <w:r>
        <w:rPr>
          <w:i/>
        </w:rPr>
        <w:t>’état de la procédure</w:t>
      </w:r>
    </w:p>
    <w:p w:rsidR="00370628" w:rsidRDefault="0095105C" w:rsidP="0095105C">
      <w:pPr>
        <w:pStyle w:val="Corpsdetexte"/>
        <w:spacing w:before="0" w:after="480"/>
        <w:ind w:left="540" w:firstLine="1080"/>
        <w:rPr>
          <w:szCs w:val="24"/>
        </w:rPr>
      </w:pPr>
      <w:r>
        <w:t xml:space="preserve">Attendu </w:t>
      </w:r>
      <w:r w:rsidR="0002354D">
        <w:t xml:space="preserve">que </w:t>
      </w:r>
      <w:r w:rsidR="00595099">
        <w:t xml:space="preserve">la Cour </w:t>
      </w:r>
      <w:r w:rsidR="00370628">
        <w:t xml:space="preserve">a </w:t>
      </w:r>
      <w:r w:rsidR="00595099">
        <w:t>annulé le jugement</w:t>
      </w:r>
      <w:r>
        <w:rPr>
          <w:szCs w:val="24"/>
        </w:rPr>
        <w:t xml:space="preserve"> </w:t>
      </w:r>
      <w:r w:rsidR="000D394C">
        <w:rPr>
          <w:szCs w:val="24"/>
        </w:rPr>
        <w:t xml:space="preserve">du </w:t>
      </w:r>
      <w:r w:rsidR="00595099">
        <w:rPr>
          <w:szCs w:val="24"/>
        </w:rPr>
        <w:t xml:space="preserve">20 mai 2009 </w:t>
      </w:r>
      <w:r w:rsidR="0075233E">
        <w:rPr>
          <w:szCs w:val="24"/>
        </w:rPr>
        <w:t xml:space="preserve">de la chambre régionale </w:t>
      </w:r>
      <w:r w:rsidR="00326B91">
        <w:rPr>
          <w:szCs w:val="24"/>
        </w:rPr>
        <w:t xml:space="preserve">des comptes </w:t>
      </w:r>
      <w:r w:rsidR="0075233E">
        <w:rPr>
          <w:szCs w:val="24"/>
        </w:rPr>
        <w:t>de Bretagne</w:t>
      </w:r>
      <w:r w:rsidR="00595099">
        <w:rPr>
          <w:szCs w:val="24"/>
        </w:rPr>
        <w:t> ; qu’elle a évoqu</w:t>
      </w:r>
      <w:r w:rsidR="00F3062E">
        <w:rPr>
          <w:szCs w:val="24"/>
        </w:rPr>
        <w:t>é</w:t>
      </w:r>
      <w:r w:rsidR="00595099">
        <w:rPr>
          <w:szCs w:val="24"/>
        </w:rPr>
        <w:t xml:space="preserve"> l’affaire</w:t>
      </w:r>
      <w:r>
        <w:rPr>
          <w:szCs w:val="24"/>
        </w:rPr>
        <w:t xml:space="preserve"> ; </w:t>
      </w:r>
    </w:p>
    <w:p w:rsidR="00B17BFD" w:rsidRDefault="00595099" w:rsidP="003C6BC3">
      <w:pPr>
        <w:pStyle w:val="Corpsdetexte"/>
        <w:spacing w:before="0" w:after="360"/>
        <w:ind w:left="539" w:firstLine="1077"/>
        <w:rPr>
          <w:szCs w:val="24"/>
        </w:rPr>
      </w:pPr>
      <w:r>
        <w:lastRenderedPageBreak/>
        <w:t xml:space="preserve">Attendu </w:t>
      </w:r>
      <w:r w:rsidR="0095105C">
        <w:t xml:space="preserve">que </w:t>
      </w:r>
      <w:r>
        <w:t>le rapporteur de la chambre régionale des comptes avait participé au délibéré conduisant au jugement provisoire du 21</w:t>
      </w:r>
      <w:r w:rsidR="003C6BC3">
        <w:t> </w:t>
      </w:r>
      <w:r>
        <w:t>avril</w:t>
      </w:r>
      <w:r w:rsidR="003C6BC3">
        <w:t> </w:t>
      </w:r>
      <w:r>
        <w:t xml:space="preserve">2008 ; que </w:t>
      </w:r>
      <w:r w:rsidR="0095105C">
        <w:t>le principe d’impartialité</w:t>
      </w:r>
      <w:r w:rsidR="001D19E5">
        <w:t>,</w:t>
      </w:r>
      <w:r w:rsidR="0095105C">
        <w:t xml:space="preserve"> applicable à toutes les juridictions administratives</w:t>
      </w:r>
      <w:r w:rsidR="001D19E5">
        <w:t>,</w:t>
      </w:r>
      <w:r w:rsidR="0095105C">
        <w:t xml:space="preserve"> faisait obstacle à </w:t>
      </w:r>
      <w:r>
        <w:t>cette participation</w:t>
      </w:r>
      <w:r w:rsidR="00EE4E4C">
        <w:t> </w:t>
      </w:r>
      <w:r w:rsidR="0095105C">
        <w:t xml:space="preserve">; </w:t>
      </w:r>
      <w:r w:rsidR="00F3062E">
        <w:t xml:space="preserve">que </w:t>
      </w:r>
      <w:r w:rsidR="00D40213">
        <w:rPr>
          <w:szCs w:val="24"/>
        </w:rPr>
        <w:t xml:space="preserve">dès lors, la Cour ne pouvait se fonder sur ce jugement et </w:t>
      </w:r>
      <w:r w:rsidR="00EE4E4C">
        <w:rPr>
          <w:szCs w:val="24"/>
        </w:rPr>
        <w:t xml:space="preserve">l’injonction </w:t>
      </w:r>
      <w:r w:rsidR="002144E2">
        <w:rPr>
          <w:szCs w:val="24"/>
        </w:rPr>
        <w:t>qu</w:t>
      </w:r>
      <w:r w:rsidR="00F3062E">
        <w:rPr>
          <w:szCs w:val="24"/>
        </w:rPr>
        <w:t>’il</w:t>
      </w:r>
      <w:r w:rsidR="002144E2">
        <w:rPr>
          <w:szCs w:val="24"/>
        </w:rPr>
        <w:t xml:space="preserve"> avait </w:t>
      </w:r>
      <w:r w:rsidR="00052EEC">
        <w:rPr>
          <w:szCs w:val="24"/>
        </w:rPr>
        <w:t xml:space="preserve">irrégulièrement </w:t>
      </w:r>
      <w:r w:rsidR="00EE4E4C">
        <w:rPr>
          <w:szCs w:val="24"/>
        </w:rPr>
        <w:t xml:space="preserve">prononcée </w:t>
      </w:r>
      <w:r w:rsidR="00D40213">
        <w:rPr>
          <w:szCs w:val="24"/>
        </w:rPr>
        <w:t xml:space="preserve">pour </w:t>
      </w:r>
      <w:r w:rsidR="001D19E5">
        <w:rPr>
          <w:szCs w:val="24"/>
        </w:rPr>
        <w:t>poursuivre l</w:t>
      </w:r>
      <w:r w:rsidR="00D40213">
        <w:rPr>
          <w:szCs w:val="24"/>
        </w:rPr>
        <w:t>a procédure ;</w:t>
      </w:r>
      <w:r w:rsidR="00137C18">
        <w:rPr>
          <w:szCs w:val="24"/>
        </w:rPr>
        <w:t xml:space="preserve"> qu’elle</w:t>
      </w:r>
      <w:r w:rsidR="00B21D77">
        <w:rPr>
          <w:szCs w:val="24"/>
        </w:rPr>
        <w:t xml:space="preserve"> </w:t>
      </w:r>
      <w:r w:rsidR="00137C18">
        <w:rPr>
          <w:szCs w:val="24"/>
        </w:rPr>
        <w:t xml:space="preserve">devait </w:t>
      </w:r>
      <w:r w:rsidR="00370628">
        <w:rPr>
          <w:szCs w:val="24"/>
        </w:rPr>
        <w:t xml:space="preserve">donc </w:t>
      </w:r>
      <w:r w:rsidR="00137C18">
        <w:rPr>
          <w:szCs w:val="24"/>
        </w:rPr>
        <w:t>la reprendre à un stade antérieur ;</w:t>
      </w:r>
    </w:p>
    <w:p w:rsidR="0095105C" w:rsidRDefault="00370628" w:rsidP="003C6BC3">
      <w:pPr>
        <w:pStyle w:val="Corpsdetexte"/>
        <w:spacing w:before="0" w:after="360"/>
        <w:ind w:left="539" w:firstLine="1077"/>
      </w:pPr>
      <w:r>
        <w:t>Attendu q</w:t>
      </w:r>
      <w:r w:rsidR="00D40213">
        <w:t>u’</w:t>
      </w:r>
      <w:r w:rsidR="00F3062E">
        <w:t xml:space="preserve">après avoir délibéré </w:t>
      </w:r>
      <w:r w:rsidR="000D394C">
        <w:t>les 15</w:t>
      </w:r>
      <w:r w:rsidR="003C6BC3">
        <w:t> </w:t>
      </w:r>
      <w:r w:rsidR="000D394C">
        <w:t>avril et 30</w:t>
      </w:r>
      <w:r w:rsidR="003C6BC3">
        <w:t> </w:t>
      </w:r>
      <w:r w:rsidR="000D394C">
        <w:t>septembre</w:t>
      </w:r>
      <w:r w:rsidR="003C6BC3">
        <w:t> </w:t>
      </w:r>
      <w:r w:rsidR="000D394C">
        <w:t xml:space="preserve">2010 </w:t>
      </w:r>
      <w:r w:rsidR="00F3062E">
        <w:t>sur le rapport de son rapporteur et au vu des conclusions du ministère public</w:t>
      </w:r>
      <w:r w:rsidR="000D394C">
        <w:t xml:space="preserve"> </w:t>
      </w:r>
      <w:r w:rsidR="001D19E5">
        <w:t>la Cour</w:t>
      </w:r>
      <w:r w:rsidR="002A62C6">
        <w:rPr>
          <w:szCs w:val="24"/>
        </w:rPr>
        <w:t xml:space="preserve"> </w:t>
      </w:r>
      <w:r w:rsidR="00B17BFD">
        <w:t>a</w:t>
      </w:r>
      <w:r w:rsidR="0002354D">
        <w:t xml:space="preserve">, </w:t>
      </w:r>
      <w:r w:rsidR="00B17BFD">
        <w:t xml:space="preserve">par </w:t>
      </w:r>
      <w:r w:rsidR="002A62C6">
        <w:t>l’</w:t>
      </w:r>
      <w:r w:rsidR="00B17BFD">
        <w:t>arrêt n°</w:t>
      </w:r>
      <w:r w:rsidR="00F3062E">
        <w:t> </w:t>
      </w:r>
      <w:r w:rsidR="00B17BFD">
        <w:t>64342 susvisé, enjoint à M.</w:t>
      </w:r>
      <w:r w:rsidR="003C6BC3">
        <w:t> </w:t>
      </w:r>
      <w:r w:rsidR="00875F69">
        <w:t xml:space="preserve">X </w:t>
      </w:r>
      <w:r w:rsidR="00B17BFD">
        <w:t xml:space="preserve">de justifier du reversement de </w:t>
      </w:r>
      <w:r w:rsidR="001D19E5">
        <w:t xml:space="preserve">la somme de </w:t>
      </w:r>
      <w:r w:rsidR="00B17BFD">
        <w:t>77 695,81</w:t>
      </w:r>
      <w:r w:rsidR="00F3062E">
        <w:t> </w:t>
      </w:r>
      <w:r w:rsidR="00B17BFD">
        <w:t xml:space="preserve">€ dans la caisse de la communauté d’agglomération de Saint-Malo ou d’apporter toute justification à </w:t>
      </w:r>
      <w:r w:rsidR="00137C18">
        <w:t xml:space="preserve">sa </w:t>
      </w:r>
      <w:r w:rsidR="00B17BFD">
        <w:t>décharge, dans un délai de deux mois à compter de la notification dudit</w:t>
      </w:r>
      <w:r w:rsidR="003C6BC3">
        <w:t> </w:t>
      </w:r>
      <w:r w:rsidR="00B17BFD">
        <w:t xml:space="preserve">arrêt </w:t>
      </w:r>
      <w:r w:rsidR="0095105C">
        <w:t>;</w:t>
      </w:r>
    </w:p>
    <w:p w:rsidR="00585666" w:rsidRPr="00585666" w:rsidRDefault="00585666" w:rsidP="003C6BC3">
      <w:pPr>
        <w:pStyle w:val="Corpsdetexte"/>
        <w:spacing w:before="0" w:after="360"/>
        <w:ind w:left="539" w:firstLine="1077"/>
        <w:rPr>
          <w:i/>
        </w:rPr>
      </w:pPr>
      <w:r w:rsidRPr="00585666">
        <w:rPr>
          <w:i/>
        </w:rPr>
        <w:t>Sur la séquence des arrêts n° 59366 et n° 64432</w:t>
      </w:r>
    </w:p>
    <w:p w:rsidR="00F0264F" w:rsidRDefault="00B17BFD" w:rsidP="003C6BC3">
      <w:pPr>
        <w:pStyle w:val="Corpsdetexte"/>
        <w:spacing w:before="0" w:after="360"/>
        <w:ind w:left="539" w:firstLine="1077"/>
      </w:pPr>
      <w:r>
        <w:t>Attendu que M.</w:t>
      </w:r>
      <w:r w:rsidR="003C6BC3">
        <w:t> </w:t>
      </w:r>
      <w:r w:rsidR="00875F69">
        <w:t>X</w:t>
      </w:r>
      <w:r w:rsidR="001903FE">
        <w:t>, dans sa réponse,</w:t>
      </w:r>
      <w:r>
        <w:t xml:space="preserve"> estime</w:t>
      </w:r>
      <w:r w:rsidR="0075233E">
        <w:t xml:space="preserve"> en premier lieu</w:t>
      </w:r>
      <w:r w:rsidR="001903FE">
        <w:t xml:space="preserve"> </w:t>
      </w:r>
      <w:r w:rsidR="00F0264F">
        <w:t>que l’arrêt n°</w:t>
      </w:r>
      <w:r w:rsidR="002A62C6">
        <w:t> </w:t>
      </w:r>
      <w:r w:rsidR="00F0264F">
        <w:t>64342</w:t>
      </w:r>
      <w:r w:rsidR="00C90349">
        <w:t>,</w:t>
      </w:r>
      <w:r w:rsidR="00052EEC">
        <w:t xml:space="preserve"> </w:t>
      </w:r>
      <w:r w:rsidR="00D40213">
        <w:t>délibéré les</w:t>
      </w:r>
      <w:r w:rsidR="00052EEC">
        <w:t xml:space="preserve"> 15 avril et 30 septembre 2010</w:t>
      </w:r>
      <w:r w:rsidR="00F0264F">
        <w:t xml:space="preserve">, à lui </w:t>
      </w:r>
      <w:r w:rsidR="000D394C">
        <w:t>notifié</w:t>
      </w:r>
      <w:r w:rsidR="00F0264F">
        <w:t xml:space="preserve"> le 24</w:t>
      </w:r>
      <w:r w:rsidR="003C6BC3">
        <w:t> </w:t>
      </w:r>
      <w:r w:rsidR="00F0264F">
        <w:t>juillet</w:t>
      </w:r>
      <w:r w:rsidR="003C6BC3">
        <w:t> </w:t>
      </w:r>
      <w:r w:rsidR="00F0264F">
        <w:t>2012, ne pou</w:t>
      </w:r>
      <w:r w:rsidR="000D394C">
        <w:t>vait</w:t>
      </w:r>
      <w:r w:rsidR="00F0264F">
        <w:t xml:space="preserve"> régulièrement </w:t>
      </w:r>
      <w:r w:rsidR="00770D83">
        <w:t xml:space="preserve">se fonder sur </w:t>
      </w:r>
      <w:r w:rsidR="00F0264F">
        <w:t>l’arrêt n°</w:t>
      </w:r>
      <w:r w:rsidR="002A62C6">
        <w:t> </w:t>
      </w:r>
      <w:r w:rsidR="00F0264F">
        <w:t>59366</w:t>
      </w:r>
      <w:r w:rsidR="00C90349">
        <w:t>,</w:t>
      </w:r>
      <w:r w:rsidR="00F0264F">
        <w:t xml:space="preserve"> </w:t>
      </w:r>
      <w:r w:rsidR="00C90349">
        <w:t>lu en audience publique le</w:t>
      </w:r>
      <w:r w:rsidR="00F0264F">
        <w:t xml:space="preserve"> 12</w:t>
      </w:r>
      <w:r w:rsidR="003C6BC3">
        <w:t> </w:t>
      </w:r>
      <w:r w:rsidR="00F0264F">
        <w:t>avril</w:t>
      </w:r>
      <w:r w:rsidR="003C6BC3">
        <w:t> </w:t>
      </w:r>
      <w:r w:rsidR="00F0264F">
        <w:t>2012</w:t>
      </w:r>
      <w:r w:rsidR="00370628">
        <w:t> </w:t>
      </w:r>
      <w:r w:rsidR="00F0264F">
        <w:t>;</w:t>
      </w:r>
    </w:p>
    <w:p w:rsidR="00F0264F" w:rsidRDefault="00F0264F" w:rsidP="003C6BC3">
      <w:pPr>
        <w:pStyle w:val="Corpsdetexte"/>
        <w:spacing w:before="0" w:after="360"/>
        <w:ind w:left="539" w:firstLine="1077"/>
      </w:pPr>
      <w:r>
        <w:t xml:space="preserve">Mais </w:t>
      </w:r>
      <w:r w:rsidR="0075233E">
        <w:t xml:space="preserve">attendu </w:t>
      </w:r>
      <w:r>
        <w:t xml:space="preserve">que les deux arrêts </w:t>
      </w:r>
      <w:r w:rsidR="002A62C6">
        <w:t xml:space="preserve">précités </w:t>
      </w:r>
      <w:r>
        <w:t>sont issus d</w:t>
      </w:r>
      <w:r w:rsidR="000D394C">
        <w:t>u</w:t>
      </w:r>
      <w:r w:rsidR="00D57146">
        <w:t xml:space="preserve"> </w:t>
      </w:r>
      <w:r>
        <w:t>même délibéré des 15</w:t>
      </w:r>
      <w:r w:rsidR="003C6BC3">
        <w:t> </w:t>
      </w:r>
      <w:r>
        <w:t>avril et 30</w:t>
      </w:r>
      <w:r w:rsidR="003C6BC3">
        <w:t> </w:t>
      </w:r>
      <w:r>
        <w:t>septembre</w:t>
      </w:r>
      <w:r w:rsidR="003C6BC3">
        <w:t> </w:t>
      </w:r>
      <w:r>
        <w:t>2010 ; que le fait que l’arrêt n°</w:t>
      </w:r>
      <w:r w:rsidR="00D40213">
        <w:t> </w:t>
      </w:r>
      <w:r>
        <w:t xml:space="preserve">59366 porte une date postérieure </w:t>
      </w:r>
      <w:r w:rsidR="000D394C">
        <w:t>à ce</w:t>
      </w:r>
      <w:r w:rsidR="00C90349">
        <w:t xml:space="preserve"> délibéré</w:t>
      </w:r>
      <w:r w:rsidR="00371508">
        <w:t xml:space="preserve"> </w:t>
      </w:r>
      <w:r w:rsidR="00C90349">
        <w:t xml:space="preserve">résulte de </w:t>
      </w:r>
      <w:r>
        <w:t xml:space="preserve">la convention selon laquelle </w:t>
      </w:r>
      <w:r w:rsidR="0075233E">
        <w:t xml:space="preserve">les </w:t>
      </w:r>
      <w:r w:rsidR="00C90349">
        <w:t>arrêts</w:t>
      </w:r>
      <w:r>
        <w:t xml:space="preserve"> </w:t>
      </w:r>
      <w:r w:rsidR="0075233E">
        <w:t xml:space="preserve">sont </w:t>
      </w:r>
      <w:r>
        <w:t>daté</w:t>
      </w:r>
      <w:r w:rsidR="0075233E">
        <w:t>s</w:t>
      </w:r>
      <w:r>
        <w:t xml:space="preserve"> non </w:t>
      </w:r>
      <w:r w:rsidR="0075233E">
        <w:t xml:space="preserve">des jours </w:t>
      </w:r>
      <w:r>
        <w:t xml:space="preserve">de </w:t>
      </w:r>
      <w:r w:rsidR="0075233E">
        <w:t xml:space="preserve">leur </w:t>
      </w:r>
      <w:r>
        <w:t>délibéré, mais de</w:t>
      </w:r>
      <w:r w:rsidR="0075233E">
        <w:t>s</w:t>
      </w:r>
      <w:r>
        <w:t xml:space="preserve"> </w:t>
      </w:r>
      <w:r w:rsidR="00882428">
        <w:t xml:space="preserve">jours </w:t>
      </w:r>
      <w:r w:rsidR="000D394C">
        <w:t>de leur lecture</w:t>
      </w:r>
      <w:r w:rsidR="00C90349">
        <w:t xml:space="preserve"> en audience publique</w:t>
      </w:r>
      <w:r>
        <w:t> ; qu’ainsi</w:t>
      </w:r>
      <w:r w:rsidR="00B21D77">
        <w:t xml:space="preserve"> </w:t>
      </w:r>
      <w:r>
        <w:t xml:space="preserve">l’irrégularité alléguée </w:t>
      </w:r>
      <w:r w:rsidR="001903FE">
        <w:t xml:space="preserve">n’est </w:t>
      </w:r>
      <w:r>
        <w:t>pas établie</w:t>
      </w:r>
      <w:r w:rsidR="001903FE">
        <w:t> ;</w:t>
      </w:r>
      <w:r>
        <w:t xml:space="preserve"> </w:t>
      </w:r>
    </w:p>
    <w:p w:rsidR="00585666" w:rsidRPr="00585666" w:rsidRDefault="00585666" w:rsidP="003C6BC3">
      <w:pPr>
        <w:pStyle w:val="Corpsdetexte"/>
        <w:spacing w:before="0" w:after="360"/>
        <w:ind w:left="539" w:firstLine="1077"/>
        <w:rPr>
          <w:i/>
        </w:rPr>
      </w:pPr>
      <w:r w:rsidRPr="00585666">
        <w:rPr>
          <w:i/>
        </w:rPr>
        <w:t>Sur l’absence de désignation préalable d’un rapporteur</w:t>
      </w:r>
    </w:p>
    <w:p w:rsidR="00AE4D94" w:rsidRDefault="00F0264F" w:rsidP="003C6BC3">
      <w:pPr>
        <w:pStyle w:val="Corpsdetexte"/>
        <w:spacing w:before="0" w:after="360"/>
        <w:ind w:left="539" w:firstLine="1077"/>
      </w:pPr>
      <w:r>
        <w:t>Attendu que M.</w:t>
      </w:r>
      <w:r w:rsidR="003C6BC3">
        <w:t> </w:t>
      </w:r>
      <w:r w:rsidR="00875F69">
        <w:t xml:space="preserve">X </w:t>
      </w:r>
      <w:r w:rsidR="001903FE">
        <w:t xml:space="preserve">soutient </w:t>
      </w:r>
      <w:r w:rsidR="0075233E">
        <w:t xml:space="preserve">en second lieu </w:t>
      </w:r>
      <w:r>
        <w:t>que, conformément a</w:t>
      </w:r>
      <w:r w:rsidR="001903FE">
        <w:t>u</w:t>
      </w:r>
      <w:r>
        <w:t xml:space="preserve">x indications </w:t>
      </w:r>
      <w:r w:rsidR="00AE1E15">
        <w:t xml:space="preserve">à lui </w:t>
      </w:r>
      <w:r>
        <w:t xml:space="preserve">données par le greffe, </w:t>
      </w:r>
      <w:r w:rsidR="00C90349">
        <w:t>en mai</w:t>
      </w:r>
      <w:r w:rsidR="003C6BC3">
        <w:t> </w:t>
      </w:r>
      <w:r w:rsidR="00C90349">
        <w:t xml:space="preserve">2012, </w:t>
      </w:r>
      <w:r>
        <w:t>un rapporteur aurait dû être préalablement nommé pour que l’injonction prononcée par l’arrêt n°</w:t>
      </w:r>
      <w:r w:rsidR="007711B3">
        <w:t> </w:t>
      </w:r>
      <w:r>
        <w:t xml:space="preserve">64342 </w:t>
      </w:r>
      <w:r w:rsidR="00882428">
        <w:t xml:space="preserve">fût </w:t>
      </w:r>
      <w:r>
        <w:t xml:space="preserve">valablement </w:t>
      </w:r>
      <w:r w:rsidR="0075233E">
        <w:t>prononcée</w:t>
      </w:r>
      <w:r w:rsidR="00AE4D94">
        <w:t> ;</w:t>
      </w:r>
    </w:p>
    <w:p w:rsidR="00F0264F" w:rsidRDefault="00585666" w:rsidP="003C6BC3">
      <w:pPr>
        <w:pStyle w:val="Corpsdetexte"/>
        <w:spacing w:before="0" w:after="360"/>
        <w:ind w:left="539" w:firstLine="1077"/>
        <w:rPr>
          <w:color w:val="000000"/>
        </w:rPr>
      </w:pPr>
      <w:r>
        <w:t>Mais a</w:t>
      </w:r>
      <w:r w:rsidR="00AE1E15">
        <w:t>ttendu qu</w:t>
      </w:r>
      <w:r w:rsidR="0075233E">
        <w:t xml:space="preserve">e selon </w:t>
      </w:r>
      <w:r w:rsidR="00AE1E15">
        <w:t>l’article 34</w:t>
      </w:r>
      <w:r w:rsidR="00B21D77">
        <w:t xml:space="preserve"> de</w:t>
      </w:r>
      <w:r w:rsidR="00AE1E15">
        <w:t xml:space="preserve"> la loi </w:t>
      </w:r>
      <w:r w:rsidR="00AE1E15" w:rsidRPr="003C6BC3">
        <w:t>du 28 octobre 2008 susvisée, la</w:t>
      </w:r>
      <w:r w:rsidR="00B21D77">
        <w:t xml:space="preserve"> </w:t>
      </w:r>
      <w:r w:rsidR="00AE1E15" w:rsidRPr="003C6BC3">
        <w:t xml:space="preserve">procédure applicable à la présente instance, qui </w:t>
      </w:r>
      <w:r w:rsidR="0075233E" w:rsidRPr="003C6BC3">
        <w:t xml:space="preserve">a </w:t>
      </w:r>
      <w:r w:rsidR="00AE1E15" w:rsidRPr="003C6BC3">
        <w:t>fait l’objet d’</w:t>
      </w:r>
      <w:r w:rsidRPr="003C6BC3">
        <w:t xml:space="preserve">au moins </w:t>
      </w:r>
      <w:r w:rsidR="00AE1E15" w:rsidRPr="003C6BC3">
        <w:t xml:space="preserve">un jugement provisoire non annulé avant l’entrée en vigueur de ladite loi, doit être poursuivie selon le </w:t>
      </w:r>
      <w:r w:rsidR="00770D83" w:rsidRPr="003C6BC3">
        <w:t>d</w:t>
      </w:r>
      <w:r w:rsidR="00AE1E15" w:rsidRPr="003C6BC3">
        <w:t>roit antérieur</w:t>
      </w:r>
      <w:r w:rsidR="00770D83" w:rsidRPr="003C6BC3">
        <w:t xml:space="preserve"> </w:t>
      </w:r>
      <w:r w:rsidR="00AE1E15" w:rsidRPr="003C6BC3">
        <w:t xml:space="preserve">; </w:t>
      </w:r>
      <w:r w:rsidR="00AE4D94" w:rsidRPr="003C6BC3">
        <w:t>que l’article R.</w:t>
      </w:r>
      <w:r w:rsidR="003C6BC3">
        <w:t> </w:t>
      </w:r>
      <w:r w:rsidR="00AE4D94" w:rsidRPr="003C6BC3">
        <w:t xml:space="preserve">131-3 du code des juridictions financières, dans sa </w:t>
      </w:r>
      <w:r w:rsidR="00F5120B">
        <w:t xml:space="preserve">rédaction </w:t>
      </w:r>
      <w:r w:rsidR="00AE4D94" w:rsidRPr="003C6BC3">
        <w:t>alors applicable, dispose que</w:t>
      </w:r>
      <w:r w:rsidR="00AE4D94">
        <w:rPr>
          <w:color w:val="000000"/>
        </w:rPr>
        <w:t xml:space="preserve"> </w:t>
      </w:r>
      <w:r w:rsidR="00AE4D94" w:rsidRPr="00AE4D94">
        <w:rPr>
          <w:i/>
        </w:rPr>
        <w:t>« la Cour des comptes rend des arrêts par lesquels elle statue à titre provisoire ou à titre définitif »</w:t>
      </w:r>
      <w:r w:rsidR="00AE4D94">
        <w:t xml:space="preserve">, que </w:t>
      </w:r>
      <w:r w:rsidR="00AE4D94" w:rsidRPr="00AE4D94">
        <w:rPr>
          <w:i/>
        </w:rPr>
        <w:t>« la procédure devant la Cour est écrite et contradictoire »</w:t>
      </w:r>
      <w:r w:rsidR="00AE4D94">
        <w:t xml:space="preserve">, et que </w:t>
      </w:r>
      <w:r w:rsidR="00AE4D94" w:rsidRPr="00AE4D94">
        <w:rPr>
          <w:i/>
        </w:rPr>
        <w:t>« les dispositions provisoires des arrêts enjoignent, en tant que de besoin, au comptable de rapporter, dans un délai fixé par la Cour et ne pouvant être inférieur à un mois, toutes explications ou justifications à sa décharge »</w:t>
      </w:r>
      <w:r w:rsidR="00AE4D94">
        <w:rPr>
          <w:i/>
        </w:rPr>
        <w:t xml:space="preserve"> ; </w:t>
      </w:r>
      <w:r w:rsidR="00AE4D94" w:rsidRPr="00AE4D94">
        <w:t xml:space="preserve">qu’il ressort de ces dispositions </w:t>
      </w:r>
      <w:r w:rsidR="00AE4D94" w:rsidRPr="003C6BC3">
        <w:t>que</w:t>
      </w:r>
      <w:r w:rsidR="00AE4D94">
        <w:rPr>
          <w:color w:val="000000"/>
        </w:rPr>
        <w:t xml:space="preserve"> </w:t>
      </w:r>
      <w:r w:rsidR="00AE1E15">
        <w:t>la phase contradictoire avec le comptable s’ouvre avec la notification du jugement provisoire</w:t>
      </w:r>
      <w:r>
        <w:t xml:space="preserve"> </w:t>
      </w:r>
      <w:r w:rsidR="00AE1E15">
        <w:t>qui prononce l’injonction</w:t>
      </w:r>
      <w:r w:rsidR="00AE4D94">
        <w:t> </w:t>
      </w:r>
      <w:r w:rsidR="00AE1E15">
        <w:t>; que ce n’est qu’ensuite qu’un rapporteur est chargé d’examiner les réponses apportées à l’injonction ;</w:t>
      </w:r>
      <w:r w:rsidR="0075233E">
        <w:t xml:space="preserve"> </w:t>
      </w:r>
    </w:p>
    <w:p w:rsidR="00F0264F" w:rsidRDefault="00370628" w:rsidP="0095105C">
      <w:pPr>
        <w:pStyle w:val="Corpsdetexte"/>
        <w:spacing w:before="0" w:after="480"/>
        <w:ind w:left="540" w:firstLine="1080"/>
      </w:pPr>
      <w:r>
        <w:lastRenderedPageBreak/>
        <w:t>Attendu q</w:t>
      </w:r>
      <w:r w:rsidR="00AE1E15">
        <w:t>u’ainsi</w:t>
      </w:r>
      <w:r w:rsidR="007711B3">
        <w:t xml:space="preserve"> </w:t>
      </w:r>
      <w:r w:rsidR="00AE1E15">
        <w:t xml:space="preserve">le comptable n’est pas fondé à </w:t>
      </w:r>
      <w:r w:rsidR="00052EEC">
        <w:t xml:space="preserve">soutenir </w:t>
      </w:r>
      <w:r w:rsidR="00AE1E15">
        <w:t xml:space="preserve">qu’un nouveau rapporteur aurait dû être désigné </w:t>
      </w:r>
      <w:r w:rsidR="00585666">
        <w:t>avant que la Cour ne se pronon</w:t>
      </w:r>
      <w:r w:rsidR="00AE4D94">
        <w:t>çât</w:t>
      </w:r>
      <w:r w:rsidR="00C90349">
        <w:t>, les 15</w:t>
      </w:r>
      <w:r w:rsidR="003C6BC3">
        <w:t> </w:t>
      </w:r>
      <w:r w:rsidR="00C90349">
        <w:t>avril et 30</w:t>
      </w:r>
      <w:r w:rsidR="003C6BC3">
        <w:t> </w:t>
      </w:r>
      <w:r w:rsidR="00C90349">
        <w:t>septembre</w:t>
      </w:r>
      <w:r w:rsidR="003C6BC3">
        <w:t> </w:t>
      </w:r>
      <w:r w:rsidR="00C90349">
        <w:t>2010,</w:t>
      </w:r>
      <w:r w:rsidR="00585666">
        <w:t xml:space="preserve"> à titre provisoire</w:t>
      </w:r>
      <w:r w:rsidR="00AE1E15">
        <w:t> ; qu’au surplus, l’information donnée par le greffe, quoique succincte, était correcte en ce qu’elle répondait à la question de M.</w:t>
      </w:r>
      <w:r w:rsidR="000D394C">
        <w:t> </w:t>
      </w:r>
      <w:r w:rsidR="00875F69">
        <w:t xml:space="preserve">X </w:t>
      </w:r>
      <w:r w:rsidR="00AE1E15">
        <w:t xml:space="preserve">qui </w:t>
      </w:r>
      <w:r w:rsidR="00962ABD">
        <w:t>ne portait pas sur l</w:t>
      </w:r>
      <w:r w:rsidR="002A62C6">
        <w:t xml:space="preserve">e détail des procédures, mais </w:t>
      </w:r>
      <w:r w:rsidR="00585666">
        <w:t xml:space="preserve">sur le point de </w:t>
      </w:r>
      <w:r w:rsidR="00AE1E15">
        <w:t xml:space="preserve">savoir </w:t>
      </w:r>
      <w:r w:rsidR="00585666">
        <w:t xml:space="preserve">si la Cour poursuivrait ou non </w:t>
      </w:r>
      <w:r w:rsidR="00D57146">
        <w:t>l’</w:t>
      </w:r>
      <w:r w:rsidR="00AE1E15">
        <w:t>i</w:t>
      </w:r>
      <w:r w:rsidR="002A62C6">
        <w:t xml:space="preserve">nstruction </w:t>
      </w:r>
      <w:r w:rsidR="00585666">
        <w:t xml:space="preserve">de l’affaire </w:t>
      </w:r>
      <w:r w:rsidR="002A62C6">
        <w:t>au fond</w:t>
      </w:r>
      <w:r w:rsidR="000D394C">
        <w:t> </w:t>
      </w:r>
      <w:r w:rsidR="00AE1E15">
        <w:t>;</w:t>
      </w:r>
      <w:r w:rsidR="001903FE">
        <w:t xml:space="preserve"> qu’ainsi l’irrégularité de procédure alléguée n’est pas établie ;</w:t>
      </w:r>
    </w:p>
    <w:p w:rsidR="001903FE" w:rsidRDefault="00370628" w:rsidP="001903FE">
      <w:pPr>
        <w:pStyle w:val="Corpsdetexte"/>
        <w:spacing w:before="0" w:after="480"/>
        <w:ind w:left="540" w:firstLine="1080"/>
      </w:pPr>
      <w:r>
        <w:t>Attendu q</w:t>
      </w:r>
      <w:r w:rsidR="001903FE">
        <w:t xml:space="preserve">u’il n’y a </w:t>
      </w:r>
      <w:r w:rsidR="00585666">
        <w:t xml:space="preserve">donc </w:t>
      </w:r>
      <w:r w:rsidR="001903FE">
        <w:t xml:space="preserve">pas lieu pour la Cour de </w:t>
      </w:r>
      <w:r w:rsidR="00AE4D94">
        <w:t>constater une irrégularité</w:t>
      </w:r>
      <w:r w:rsidR="00455394">
        <w:t xml:space="preserve"> et</w:t>
      </w:r>
      <w:r w:rsidR="00B21D77">
        <w:t xml:space="preserve"> </w:t>
      </w:r>
      <w:r w:rsidR="00AE4D94">
        <w:t xml:space="preserve">de </w:t>
      </w:r>
      <w:r w:rsidR="001903FE">
        <w:t>reprendre sa propre procédure à un stade antérieur à l’arrêt n° 64342</w:t>
      </w:r>
      <w:r w:rsidR="00F3062E">
        <w:t>, délibéré les</w:t>
      </w:r>
      <w:r w:rsidR="00B21D77">
        <w:t xml:space="preserve"> </w:t>
      </w:r>
      <w:r w:rsidR="00F3062E">
        <w:t>15</w:t>
      </w:r>
      <w:r w:rsidR="00455394">
        <w:t> </w:t>
      </w:r>
      <w:r w:rsidR="00F3062E">
        <w:t>avril et 30</w:t>
      </w:r>
      <w:r w:rsidR="00455394">
        <w:t> </w:t>
      </w:r>
      <w:r w:rsidR="00F3062E">
        <w:t>septembre</w:t>
      </w:r>
      <w:r w:rsidR="00455394">
        <w:t> </w:t>
      </w:r>
      <w:r w:rsidR="00F3062E">
        <w:t>2010</w:t>
      </w:r>
      <w:r w:rsidR="000D394C">
        <w:t>, notifié le 24</w:t>
      </w:r>
      <w:r w:rsidR="00455394">
        <w:t> </w:t>
      </w:r>
      <w:r w:rsidR="000D394C">
        <w:t>juillet</w:t>
      </w:r>
      <w:r w:rsidR="00455394">
        <w:t> </w:t>
      </w:r>
      <w:r w:rsidR="000D394C">
        <w:t>2012</w:t>
      </w:r>
      <w:r w:rsidR="00F3062E">
        <w:t> </w:t>
      </w:r>
      <w:r w:rsidR="001903FE">
        <w:t>;</w:t>
      </w:r>
    </w:p>
    <w:p w:rsidR="00461154" w:rsidRDefault="00461154" w:rsidP="00AE1E15">
      <w:pPr>
        <w:pStyle w:val="PS"/>
        <w:ind w:left="540"/>
        <w:rPr>
          <w:rFonts w:ascii="Times New Roman" w:hAnsi="Times New Roman"/>
          <w:b/>
        </w:rPr>
      </w:pPr>
      <w:r>
        <w:rPr>
          <w:rFonts w:ascii="Times New Roman" w:hAnsi="Times New Roman"/>
          <w:b/>
        </w:rPr>
        <w:t>Sur l’ancienneté de la charge</w:t>
      </w:r>
    </w:p>
    <w:p w:rsidR="00461154" w:rsidRDefault="00461154" w:rsidP="00AE1E15">
      <w:pPr>
        <w:pStyle w:val="PS"/>
        <w:ind w:left="540"/>
        <w:rPr>
          <w:rFonts w:ascii="Times New Roman" w:hAnsi="Times New Roman"/>
        </w:rPr>
      </w:pPr>
      <w:r w:rsidRPr="00461154">
        <w:rPr>
          <w:rFonts w:ascii="Times New Roman" w:hAnsi="Times New Roman"/>
        </w:rPr>
        <w:t>Attendu</w:t>
      </w:r>
      <w:r>
        <w:rPr>
          <w:rFonts w:ascii="Times New Roman" w:hAnsi="Times New Roman"/>
        </w:rPr>
        <w:t xml:space="preserve"> que M.</w:t>
      </w:r>
      <w:r w:rsidR="003C6BC3">
        <w:rPr>
          <w:rFonts w:ascii="Times New Roman" w:hAnsi="Times New Roman"/>
        </w:rPr>
        <w:t> </w:t>
      </w:r>
      <w:r w:rsidR="00875F69">
        <w:rPr>
          <w:rFonts w:ascii="Times New Roman" w:hAnsi="Times New Roman"/>
        </w:rPr>
        <w:t xml:space="preserve">X </w:t>
      </w:r>
      <w:r>
        <w:rPr>
          <w:rFonts w:ascii="Times New Roman" w:hAnsi="Times New Roman"/>
        </w:rPr>
        <w:t xml:space="preserve">fait valoir </w:t>
      </w:r>
      <w:r w:rsidR="002144E2">
        <w:rPr>
          <w:rFonts w:ascii="Times New Roman" w:hAnsi="Times New Roman"/>
        </w:rPr>
        <w:t xml:space="preserve">à décharge </w:t>
      </w:r>
      <w:r>
        <w:rPr>
          <w:rFonts w:ascii="Times New Roman" w:hAnsi="Times New Roman"/>
        </w:rPr>
        <w:t>le caractère ancien des mandats litigieux, qui se rattachent aux exercices 2004 et 2005 ;</w:t>
      </w:r>
    </w:p>
    <w:p w:rsidR="00052EEC" w:rsidRDefault="00052EEC" w:rsidP="00052EEC">
      <w:pPr>
        <w:pStyle w:val="PS"/>
        <w:ind w:left="540"/>
      </w:pPr>
      <w:r>
        <w:t>Attendu que, sous réserve de l’application des règles légales de prescription</w:t>
      </w:r>
      <w:r w:rsidR="00D57146">
        <w:t xml:space="preserve"> </w:t>
      </w:r>
      <w:r w:rsidR="00455394">
        <w:t xml:space="preserve">applicables au </w:t>
      </w:r>
      <w:r w:rsidR="00D57146">
        <w:t>jugement des comptes</w:t>
      </w:r>
      <w:r>
        <w:t xml:space="preserve">, les délais de jugement sont </w:t>
      </w:r>
      <w:r w:rsidRPr="003468AA">
        <w:t>sans incidence sur la validité de la décision juridictionnelle prise à l'issue de la procédure ;</w:t>
      </w:r>
    </w:p>
    <w:p w:rsidR="00461154" w:rsidRDefault="00052EEC" w:rsidP="00AE1E15">
      <w:pPr>
        <w:pStyle w:val="PS"/>
        <w:ind w:left="540"/>
        <w:rPr>
          <w:rFonts w:ascii="Times New Roman" w:hAnsi="Times New Roman"/>
          <w:szCs w:val="24"/>
        </w:rPr>
      </w:pPr>
      <w:r>
        <w:rPr>
          <w:rFonts w:ascii="Times New Roman" w:hAnsi="Times New Roman"/>
        </w:rPr>
        <w:t xml:space="preserve">Attendu que les comptes des exercices 2004 et 2005 ont été respectivement déposés </w:t>
      </w:r>
      <w:r>
        <w:rPr>
          <w:szCs w:val="24"/>
        </w:rPr>
        <w:t>les 18 janvier 2006 et 20 décembre 2006</w:t>
      </w:r>
      <w:r>
        <w:rPr>
          <w:rFonts w:ascii="Times New Roman" w:hAnsi="Times New Roman"/>
        </w:rPr>
        <w:t xml:space="preserve"> ; </w:t>
      </w:r>
      <w:r w:rsidR="00461154">
        <w:rPr>
          <w:rFonts w:ascii="Times New Roman" w:hAnsi="Times New Roman"/>
        </w:rPr>
        <w:t>que la prescription quinquennale de jugement de ces comptes prévue par l’article 60 de la loi du 23 février 1963 susvisée a</w:t>
      </w:r>
      <w:r w:rsidR="00B21D77">
        <w:rPr>
          <w:rFonts w:ascii="Times New Roman" w:hAnsi="Times New Roman"/>
        </w:rPr>
        <w:t xml:space="preserve"> </w:t>
      </w:r>
      <w:r w:rsidR="00461154">
        <w:rPr>
          <w:rFonts w:ascii="Times New Roman" w:hAnsi="Times New Roman"/>
        </w:rPr>
        <w:t xml:space="preserve">été valablement interrompue par la notification du jugement </w:t>
      </w:r>
      <w:r w:rsidR="00461154">
        <w:rPr>
          <w:szCs w:val="24"/>
        </w:rPr>
        <w:t xml:space="preserve">du 21 avril 2008 susvisé, non annulé par la Cour, puis </w:t>
      </w:r>
      <w:r w:rsidR="00455394">
        <w:rPr>
          <w:szCs w:val="24"/>
        </w:rPr>
        <w:t xml:space="preserve">par </w:t>
      </w:r>
      <w:r w:rsidR="00461154">
        <w:rPr>
          <w:szCs w:val="24"/>
        </w:rPr>
        <w:t>l’appel interjeté par M.</w:t>
      </w:r>
      <w:r w:rsidR="00455394">
        <w:rPr>
          <w:szCs w:val="24"/>
        </w:rPr>
        <w:t> </w:t>
      </w:r>
      <w:r w:rsidR="00875F69">
        <w:rPr>
          <w:szCs w:val="24"/>
        </w:rPr>
        <w:t xml:space="preserve">X </w:t>
      </w:r>
      <w:r w:rsidR="00461154">
        <w:rPr>
          <w:szCs w:val="24"/>
        </w:rPr>
        <w:t>en sa requête</w:t>
      </w:r>
      <w:r w:rsidR="00770D83">
        <w:rPr>
          <w:szCs w:val="24"/>
        </w:rPr>
        <w:t xml:space="preserve"> susvisée</w:t>
      </w:r>
      <w:r w:rsidR="00461154">
        <w:rPr>
          <w:szCs w:val="24"/>
        </w:rPr>
        <w:t xml:space="preserve"> </w:t>
      </w:r>
      <w:r w:rsidR="00461154">
        <w:rPr>
          <w:rFonts w:ascii="Times New Roman" w:hAnsi="Times New Roman"/>
          <w:szCs w:val="24"/>
        </w:rPr>
        <w:t xml:space="preserve">enregistrée le 27 juillet 2009, </w:t>
      </w:r>
      <w:r w:rsidR="00882428">
        <w:rPr>
          <w:rFonts w:ascii="Times New Roman" w:hAnsi="Times New Roman"/>
          <w:szCs w:val="24"/>
        </w:rPr>
        <w:t xml:space="preserve">puis </w:t>
      </w:r>
      <w:r w:rsidR="00455394">
        <w:rPr>
          <w:rFonts w:ascii="Times New Roman" w:hAnsi="Times New Roman"/>
          <w:szCs w:val="24"/>
        </w:rPr>
        <w:t xml:space="preserve">par </w:t>
      </w:r>
      <w:r w:rsidR="00461154">
        <w:rPr>
          <w:rFonts w:ascii="Times New Roman" w:hAnsi="Times New Roman"/>
          <w:szCs w:val="24"/>
        </w:rPr>
        <w:t xml:space="preserve">la notification de l’arrêt </w:t>
      </w:r>
      <w:r w:rsidR="00F3062E">
        <w:t xml:space="preserve">n° 64342 </w:t>
      </w:r>
      <w:r w:rsidR="00370628">
        <w:t>susvisé ;</w:t>
      </w:r>
      <w:r w:rsidR="00461154">
        <w:rPr>
          <w:rFonts w:ascii="Times New Roman" w:hAnsi="Times New Roman"/>
          <w:szCs w:val="24"/>
        </w:rPr>
        <w:t xml:space="preserve"> qu</w:t>
      </w:r>
      <w:r w:rsidR="00770D83">
        <w:rPr>
          <w:rFonts w:ascii="Times New Roman" w:hAnsi="Times New Roman"/>
          <w:szCs w:val="24"/>
        </w:rPr>
        <w:t>e</w:t>
      </w:r>
      <w:r w:rsidR="00B21D77">
        <w:rPr>
          <w:rFonts w:ascii="Times New Roman" w:hAnsi="Times New Roman"/>
          <w:szCs w:val="24"/>
        </w:rPr>
        <w:t xml:space="preserve"> </w:t>
      </w:r>
      <w:r w:rsidR="00461154">
        <w:rPr>
          <w:rFonts w:ascii="Times New Roman" w:hAnsi="Times New Roman"/>
          <w:szCs w:val="24"/>
        </w:rPr>
        <w:t>la</w:t>
      </w:r>
      <w:r w:rsidR="00B21D77">
        <w:rPr>
          <w:rFonts w:ascii="Times New Roman" w:hAnsi="Times New Roman"/>
          <w:szCs w:val="24"/>
        </w:rPr>
        <w:t xml:space="preserve"> </w:t>
      </w:r>
      <w:r w:rsidR="00461154">
        <w:rPr>
          <w:rFonts w:ascii="Times New Roman" w:hAnsi="Times New Roman"/>
          <w:szCs w:val="24"/>
        </w:rPr>
        <w:t xml:space="preserve">Cour statuant en appel est </w:t>
      </w:r>
      <w:r w:rsidR="00770D83">
        <w:rPr>
          <w:rFonts w:ascii="Times New Roman" w:hAnsi="Times New Roman"/>
          <w:szCs w:val="24"/>
        </w:rPr>
        <w:t xml:space="preserve">donc </w:t>
      </w:r>
      <w:r w:rsidR="00461154">
        <w:rPr>
          <w:rFonts w:ascii="Times New Roman" w:hAnsi="Times New Roman"/>
          <w:szCs w:val="24"/>
        </w:rPr>
        <w:t>compétente pour en connaître ;</w:t>
      </w:r>
    </w:p>
    <w:p w:rsidR="00461154" w:rsidRDefault="002144E2" w:rsidP="00AE1E15">
      <w:pPr>
        <w:pStyle w:val="PS"/>
        <w:ind w:left="540"/>
        <w:rPr>
          <w:rFonts w:ascii="Times New Roman" w:hAnsi="Times New Roman"/>
          <w:b/>
        </w:rPr>
      </w:pPr>
      <w:r>
        <w:t>Qu’</w:t>
      </w:r>
      <w:r w:rsidR="00455394">
        <w:t xml:space="preserve">il résulte de l’ensemble des éléments </w:t>
      </w:r>
      <w:r>
        <w:t>ainsi</w:t>
      </w:r>
      <w:r w:rsidR="00455394">
        <w:t xml:space="preserve"> rappelés que</w:t>
      </w:r>
      <w:r>
        <w:t xml:space="preserve"> l’ancienneté</w:t>
      </w:r>
      <w:r w:rsidR="00461154">
        <w:t xml:space="preserve"> </w:t>
      </w:r>
      <w:r>
        <w:t xml:space="preserve">alléguée des </w:t>
      </w:r>
      <w:r w:rsidR="005E68E7">
        <w:t xml:space="preserve">paiements </w:t>
      </w:r>
      <w:r>
        <w:t xml:space="preserve">est sans portée sur la </w:t>
      </w:r>
      <w:r w:rsidR="007B2EE8">
        <w:t xml:space="preserve">mise en jeu de la </w:t>
      </w:r>
      <w:r>
        <w:t>responsabilité</w:t>
      </w:r>
      <w:r w:rsidR="007711B3">
        <w:t xml:space="preserve"> </w:t>
      </w:r>
      <w:r>
        <w:t>de</w:t>
      </w:r>
      <w:r w:rsidR="00B21D77">
        <w:t xml:space="preserve"> </w:t>
      </w:r>
      <w:r>
        <w:t>M.</w:t>
      </w:r>
      <w:r w:rsidR="003C6BC3">
        <w:t> </w:t>
      </w:r>
      <w:r w:rsidR="00875F69">
        <w:t>X</w:t>
      </w:r>
      <w:r>
        <w:t>;</w:t>
      </w:r>
    </w:p>
    <w:p w:rsidR="00AE1E15" w:rsidRPr="0095105C" w:rsidRDefault="00AE1E15" w:rsidP="00AE1E15">
      <w:pPr>
        <w:pStyle w:val="PS"/>
        <w:ind w:left="540"/>
        <w:rPr>
          <w:rFonts w:ascii="Times New Roman" w:hAnsi="Times New Roman"/>
          <w:b/>
        </w:rPr>
      </w:pPr>
      <w:r w:rsidRPr="0095105C">
        <w:rPr>
          <w:rFonts w:ascii="Times New Roman" w:hAnsi="Times New Roman"/>
          <w:b/>
        </w:rPr>
        <w:t>Sur l</w:t>
      </w:r>
      <w:r>
        <w:rPr>
          <w:rFonts w:ascii="Times New Roman" w:hAnsi="Times New Roman"/>
          <w:b/>
        </w:rPr>
        <w:t>e fond</w:t>
      </w:r>
    </w:p>
    <w:p w:rsidR="00585666" w:rsidRPr="00585666" w:rsidRDefault="00585666" w:rsidP="000D4A53">
      <w:pPr>
        <w:pStyle w:val="PS"/>
        <w:ind w:left="540"/>
        <w:rPr>
          <w:rFonts w:ascii="Times New Roman" w:hAnsi="Times New Roman"/>
          <w:i/>
        </w:rPr>
      </w:pPr>
      <w:r w:rsidRPr="00585666">
        <w:rPr>
          <w:rFonts w:ascii="Times New Roman" w:hAnsi="Times New Roman"/>
          <w:i/>
        </w:rPr>
        <w:t>Sur la qualification de la charge</w:t>
      </w:r>
      <w:r>
        <w:rPr>
          <w:rFonts w:ascii="Times New Roman" w:hAnsi="Times New Roman"/>
          <w:i/>
        </w:rPr>
        <w:t xml:space="preserve"> </w:t>
      </w:r>
      <w:r w:rsidR="00770D83">
        <w:rPr>
          <w:rFonts w:ascii="Times New Roman" w:hAnsi="Times New Roman"/>
          <w:i/>
        </w:rPr>
        <w:t xml:space="preserve">à titre </w:t>
      </w:r>
      <w:r>
        <w:rPr>
          <w:rFonts w:ascii="Times New Roman" w:hAnsi="Times New Roman"/>
          <w:i/>
        </w:rPr>
        <w:t>provisoire</w:t>
      </w:r>
    </w:p>
    <w:p w:rsidR="00AE1E15" w:rsidRDefault="000D4A53" w:rsidP="000D4A53">
      <w:pPr>
        <w:pStyle w:val="PS"/>
        <w:ind w:left="540"/>
        <w:rPr>
          <w:rFonts w:ascii="Times New Roman" w:hAnsi="Times New Roman"/>
        </w:rPr>
      </w:pPr>
      <w:r>
        <w:rPr>
          <w:rFonts w:ascii="Times New Roman" w:hAnsi="Times New Roman"/>
        </w:rPr>
        <w:t>Attendu que M.</w:t>
      </w:r>
      <w:r w:rsidR="003C6BC3">
        <w:rPr>
          <w:rFonts w:ascii="Times New Roman" w:hAnsi="Times New Roman"/>
        </w:rPr>
        <w:t> </w:t>
      </w:r>
      <w:r w:rsidR="00875F69">
        <w:rPr>
          <w:rFonts w:ascii="Times New Roman" w:hAnsi="Times New Roman"/>
        </w:rPr>
        <w:t xml:space="preserve">X </w:t>
      </w:r>
      <w:r w:rsidR="00AE1E15">
        <w:rPr>
          <w:rFonts w:ascii="Times New Roman" w:hAnsi="Times New Roman"/>
        </w:rPr>
        <w:t>a payé</w:t>
      </w:r>
      <w:r>
        <w:rPr>
          <w:rFonts w:ascii="Times New Roman" w:hAnsi="Times New Roman"/>
        </w:rPr>
        <w:t>,</w:t>
      </w:r>
      <w:r w:rsidR="00C9719C">
        <w:rPr>
          <w:rFonts w:ascii="Times New Roman" w:hAnsi="Times New Roman"/>
        </w:rPr>
        <w:t xml:space="preserve"> lors des exercices 2004 et 2005, </w:t>
      </w:r>
      <w:r w:rsidR="00AE1E15">
        <w:rPr>
          <w:rFonts w:ascii="Times New Roman" w:hAnsi="Times New Roman"/>
        </w:rPr>
        <w:t xml:space="preserve">pour un montant </w:t>
      </w:r>
      <w:r w:rsidR="00C9719C">
        <w:rPr>
          <w:rFonts w:ascii="Times New Roman" w:hAnsi="Times New Roman"/>
        </w:rPr>
        <w:t xml:space="preserve">total </w:t>
      </w:r>
      <w:r w:rsidR="00AE1E15">
        <w:rPr>
          <w:rFonts w:ascii="Times New Roman" w:hAnsi="Times New Roman"/>
        </w:rPr>
        <w:t>de 78 264,41</w:t>
      </w:r>
      <w:r w:rsidR="003C6BC3">
        <w:rPr>
          <w:rFonts w:ascii="Times New Roman" w:hAnsi="Times New Roman"/>
        </w:rPr>
        <w:t> </w:t>
      </w:r>
      <w:r w:rsidR="00AE1E15">
        <w:rPr>
          <w:rFonts w:ascii="Times New Roman" w:hAnsi="Times New Roman"/>
        </w:rPr>
        <w:t xml:space="preserve">€, les échéances de trois emprunts souscrits auprès </w:t>
      </w:r>
      <w:r w:rsidR="00137C18">
        <w:rPr>
          <w:rFonts w:ascii="Times New Roman" w:hAnsi="Times New Roman"/>
        </w:rPr>
        <w:t>du</w:t>
      </w:r>
      <w:r w:rsidR="00AE1E15">
        <w:rPr>
          <w:rFonts w:ascii="Times New Roman" w:hAnsi="Times New Roman"/>
        </w:rPr>
        <w:t xml:space="preserve"> Crédit </w:t>
      </w:r>
      <w:r w:rsidR="00B21D77">
        <w:rPr>
          <w:rFonts w:ascii="Times New Roman" w:hAnsi="Times New Roman"/>
        </w:rPr>
        <w:t>l</w:t>
      </w:r>
      <w:r w:rsidR="00AE1E15">
        <w:rPr>
          <w:rFonts w:ascii="Times New Roman" w:hAnsi="Times New Roman"/>
        </w:rPr>
        <w:t xml:space="preserve">ocal </w:t>
      </w:r>
      <w:r w:rsidR="00326B91">
        <w:rPr>
          <w:rFonts w:ascii="Times New Roman" w:hAnsi="Times New Roman"/>
        </w:rPr>
        <w:t xml:space="preserve">de France </w:t>
      </w:r>
      <w:r w:rsidR="00AE1E15">
        <w:rPr>
          <w:rFonts w:ascii="Times New Roman" w:hAnsi="Times New Roman"/>
        </w:rPr>
        <w:t>par le S</w:t>
      </w:r>
      <w:r w:rsidR="00C9719C">
        <w:rPr>
          <w:rFonts w:ascii="Times New Roman" w:hAnsi="Times New Roman"/>
        </w:rPr>
        <w:t xml:space="preserve">yndicat intercommunal à vocation multiple (SIVOM) </w:t>
      </w:r>
      <w:r w:rsidR="00AE1E15">
        <w:rPr>
          <w:rFonts w:ascii="Times New Roman" w:hAnsi="Times New Roman"/>
        </w:rPr>
        <w:t>de</w:t>
      </w:r>
      <w:r w:rsidR="00B21D77">
        <w:rPr>
          <w:rFonts w:ascii="Times New Roman" w:hAnsi="Times New Roman"/>
        </w:rPr>
        <w:t xml:space="preserve"> </w:t>
      </w:r>
      <w:r w:rsidR="00AE1E15">
        <w:rPr>
          <w:rFonts w:ascii="Times New Roman" w:hAnsi="Times New Roman"/>
        </w:rPr>
        <w:t>Cancale</w:t>
      </w:r>
      <w:r w:rsidR="005D3260">
        <w:rPr>
          <w:rFonts w:ascii="Times New Roman" w:hAnsi="Times New Roman"/>
        </w:rPr>
        <w:t xml:space="preserve"> </w:t>
      </w:r>
      <w:r w:rsidR="00AE1E15">
        <w:rPr>
          <w:rFonts w:ascii="Times New Roman" w:hAnsi="Times New Roman"/>
        </w:rPr>
        <w:t>;</w:t>
      </w:r>
    </w:p>
    <w:p w:rsidR="005D3260" w:rsidRDefault="003C6BC3" w:rsidP="005D3260">
      <w:pPr>
        <w:pStyle w:val="Corpsdetexte"/>
        <w:spacing w:before="0" w:after="480"/>
        <w:ind w:left="540" w:firstLine="1080"/>
      </w:pPr>
      <w:r>
        <w:br w:type="page"/>
      </w:r>
      <w:r w:rsidR="00AE1E15">
        <w:lastRenderedPageBreak/>
        <w:t>Attendu que</w:t>
      </w:r>
      <w:r w:rsidR="005D3260">
        <w:t>, selon l</w:t>
      </w:r>
      <w:r w:rsidR="00494003">
        <w:t xml:space="preserve">’arrêt </w:t>
      </w:r>
      <w:r w:rsidR="005D3260">
        <w:t>n°</w:t>
      </w:r>
      <w:r w:rsidR="002A2B9C">
        <w:t> </w:t>
      </w:r>
      <w:r w:rsidR="005D3260">
        <w:t>64342 susvisé</w:t>
      </w:r>
      <w:r w:rsidR="000D4A53">
        <w:t xml:space="preserve"> disposant à titre provisoire</w:t>
      </w:r>
      <w:r w:rsidR="005D3260">
        <w:t xml:space="preserve">, </w:t>
      </w:r>
      <w:r w:rsidR="00AE1E15">
        <w:t>n’étaient pas jointes</w:t>
      </w:r>
      <w:r w:rsidR="00962ABD">
        <w:t>,</w:t>
      </w:r>
      <w:r w:rsidR="00AE1E15">
        <w:t xml:space="preserve"> à l’appui de ces paiements</w:t>
      </w:r>
      <w:r w:rsidR="00962ABD">
        <w:t>,</w:t>
      </w:r>
      <w:r w:rsidR="00AE1E15">
        <w:t xml:space="preserve"> des pièces permettant d’attester que les obligations nées des emprunts contractés par le SIVOM de Cancale avaient été transférées à la communauté d’agglomération de Saint-Malo ; que les</w:t>
      </w:r>
      <w:r w:rsidR="00962ABD">
        <w:t>dits</w:t>
      </w:r>
      <w:r w:rsidR="00AE1E15">
        <w:t xml:space="preserve"> emprunts ne figuraient pas à son bilan</w:t>
      </w:r>
      <w:r w:rsidR="002A2B9C">
        <w:t> </w:t>
      </w:r>
      <w:r w:rsidR="00AE1E15">
        <w:t>; que la délibération d</w:t>
      </w:r>
      <w:r w:rsidR="000A105B">
        <w:t xml:space="preserve">u conseil </w:t>
      </w:r>
      <w:r w:rsidR="00AE1E15">
        <w:t xml:space="preserve">de la communauté d’agglomération du 26 juin 2008 organisant le transfert des emprunts du SIVOM vers la communauté d’agglomération, produite par </w:t>
      </w:r>
      <w:r w:rsidR="00137C18">
        <w:t>l</w:t>
      </w:r>
      <w:r w:rsidR="0017440F">
        <w:t>’appelant</w:t>
      </w:r>
      <w:r w:rsidR="00AE1E15">
        <w:t xml:space="preserve">, </w:t>
      </w:r>
      <w:r w:rsidR="008C306F">
        <w:t xml:space="preserve">était </w:t>
      </w:r>
      <w:r w:rsidR="00AE1E15">
        <w:t xml:space="preserve">postérieure aux paiements ; que les autres documents produits par </w:t>
      </w:r>
      <w:r w:rsidR="00137C18">
        <w:t>lui</w:t>
      </w:r>
      <w:r w:rsidR="00AE1E15">
        <w:t xml:space="preserve"> ne permett</w:t>
      </w:r>
      <w:r w:rsidR="00962ABD">
        <w:t>ai</w:t>
      </w:r>
      <w:r w:rsidR="00AE1E15">
        <w:t>ent pas d’attester que les obligations correspondantes avaient été reprises par la communauté d’agglomération à la date des paiements</w:t>
      </w:r>
      <w:r w:rsidR="00F3062E">
        <w:t xml:space="preserve"> </w:t>
      </w:r>
      <w:r w:rsidR="002A2B9C">
        <w:t>litigieux</w:t>
      </w:r>
      <w:r w:rsidR="00AE1E15">
        <w:t xml:space="preserve"> ;</w:t>
      </w:r>
      <w:r w:rsidR="005D3260">
        <w:t xml:space="preserve"> </w:t>
      </w:r>
    </w:p>
    <w:p w:rsidR="00D076A6" w:rsidRDefault="005D3260" w:rsidP="005D3260">
      <w:pPr>
        <w:pStyle w:val="Corpsdetexte"/>
        <w:spacing w:before="0" w:after="480"/>
        <w:ind w:left="540" w:firstLine="1080"/>
      </w:pPr>
      <w:r>
        <w:t>Q</w:t>
      </w:r>
      <w:r w:rsidR="00444605">
        <w:t xml:space="preserve">ue </w:t>
      </w:r>
      <w:r>
        <w:t xml:space="preserve">dès lors, </w:t>
      </w:r>
      <w:r w:rsidR="00494003">
        <w:t xml:space="preserve">selon le même arrêt, </w:t>
      </w:r>
      <w:r w:rsidR="00D076A6">
        <w:t xml:space="preserve">face à des justifications </w:t>
      </w:r>
      <w:r w:rsidR="00444605">
        <w:t xml:space="preserve">insuffisantes pour </w:t>
      </w:r>
      <w:r w:rsidR="00D076A6">
        <w:t>attester qu</w:t>
      </w:r>
      <w:r w:rsidR="00444605">
        <w:t>e le</w:t>
      </w:r>
      <w:r w:rsidR="00475DCF">
        <w:t>s</w:t>
      </w:r>
      <w:r w:rsidR="00444605">
        <w:t xml:space="preserve"> paiement</w:t>
      </w:r>
      <w:r w:rsidR="00475DCF">
        <w:t>s</w:t>
      </w:r>
      <w:r w:rsidR="00444605">
        <w:t xml:space="preserve"> </w:t>
      </w:r>
      <w:r w:rsidR="00475DCF">
        <w:t>éteignaient bien</w:t>
      </w:r>
      <w:r w:rsidR="00444605">
        <w:t xml:space="preserve"> </w:t>
      </w:r>
      <w:r w:rsidR="00962ABD">
        <w:t>de</w:t>
      </w:r>
      <w:r w:rsidR="00475DCF">
        <w:t>s</w:t>
      </w:r>
      <w:r w:rsidR="00962ABD">
        <w:t xml:space="preserve"> </w:t>
      </w:r>
      <w:r w:rsidR="00D076A6">
        <w:t>dette</w:t>
      </w:r>
      <w:r w:rsidR="00962ABD">
        <w:t>s</w:t>
      </w:r>
      <w:r w:rsidR="00D076A6">
        <w:t xml:space="preserve"> </w:t>
      </w:r>
      <w:r w:rsidR="00475DCF">
        <w:t>de la communauté d’agglomération de Saint-Malo</w:t>
      </w:r>
      <w:r w:rsidR="00444605">
        <w:t xml:space="preserve">, le comptable </w:t>
      </w:r>
      <w:r>
        <w:t xml:space="preserve">aurait dû </w:t>
      </w:r>
      <w:r w:rsidR="00444605">
        <w:t>surseoir à payer dans l’attente de justifications complémentaires ;</w:t>
      </w:r>
    </w:p>
    <w:p w:rsidR="00B37357" w:rsidRDefault="00B37357" w:rsidP="00B37357">
      <w:pPr>
        <w:pStyle w:val="PS"/>
        <w:ind w:left="540"/>
        <w:rPr>
          <w:szCs w:val="24"/>
        </w:rPr>
      </w:pPr>
      <w:r w:rsidRPr="00C9719C">
        <w:rPr>
          <w:szCs w:val="24"/>
        </w:rPr>
        <w:t xml:space="preserve">Attendu que l'article 60 de la loi du 23 février 1963 </w:t>
      </w:r>
      <w:r w:rsidR="007711B3">
        <w:rPr>
          <w:szCs w:val="24"/>
        </w:rPr>
        <w:t xml:space="preserve">susvisée </w:t>
      </w:r>
      <w:r w:rsidRPr="00C9719C">
        <w:rPr>
          <w:szCs w:val="24"/>
        </w:rPr>
        <w:t>dispose que la responsabilité du comptable est engagée dès lors qu'une dépense a été irrégulièrement payée</w:t>
      </w:r>
      <w:r w:rsidR="00B21D77">
        <w:rPr>
          <w:szCs w:val="24"/>
        </w:rPr>
        <w:t> </w:t>
      </w:r>
      <w:r w:rsidRPr="00C9719C">
        <w:rPr>
          <w:szCs w:val="24"/>
        </w:rPr>
        <w:t>; qu'en application de l'article</w:t>
      </w:r>
      <w:r w:rsidR="004A11C0">
        <w:rPr>
          <w:szCs w:val="24"/>
        </w:rPr>
        <w:t> </w:t>
      </w:r>
      <w:r w:rsidRPr="00C9719C">
        <w:rPr>
          <w:szCs w:val="24"/>
        </w:rPr>
        <w:t>13 du décret du 29</w:t>
      </w:r>
      <w:r w:rsidR="004A11C0">
        <w:rPr>
          <w:szCs w:val="24"/>
        </w:rPr>
        <w:t> </w:t>
      </w:r>
      <w:r w:rsidRPr="00C9719C">
        <w:rPr>
          <w:szCs w:val="24"/>
        </w:rPr>
        <w:t>décembre</w:t>
      </w:r>
      <w:r w:rsidR="004A11C0">
        <w:rPr>
          <w:szCs w:val="24"/>
        </w:rPr>
        <w:t> </w:t>
      </w:r>
      <w:r w:rsidRPr="00C9719C">
        <w:rPr>
          <w:szCs w:val="24"/>
        </w:rPr>
        <w:t>1962 susvisé, le</w:t>
      </w:r>
      <w:r w:rsidR="00B21D77">
        <w:rPr>
          <w:szCs w:val="24"/>
        </w:rPr>
        <w:t xml:space="preserve"> </w:t>
      </w:r>
      <w:r w:rsidRPr="00C9719C">
        <w:rPr>
          <w:szCs w:val="24"/>
        </w:rPr>
        <w:t>contrôle du comptable porte notamment sur la production des justifications</w:t>
      </w:r>
      <w:r w:rsidR="0017129C">
        <w:rPr>
          <w:szCs w:val="24"/>
        </w:rPr>
        <w:t xml:space="preserve"> </w:t>
      </w:r>
      <w:r w:rsidRPr="00C9719C">
        <w:rPr>
          <w:szCs w:val="24"/>
        </w:rPr>
        <w:t xml:space="preserve">; </w:t>
      </w:r>
    </w:p>
    <w:p w:rsidR="002427B0" w:rsidRPr="002427B0" w:rsidRDefault="002427B0" w:rsidP="00B37357">
      <w:pPr>
        <w:pStyle w:val="PS"/>
        <w:ind w:left="540"/>
        <w:rPr>
          <w:i/>
          <w:szCs w:val="24"/>
        </w:rPr>
      </w:pPr>
      <w:r w:rsidRPr="002427B0">
        <w:rPr>
          <w:i/>
          <w:szCs w:val="24"/>
        </w:rPr>
        <w:t>Sur le caractère obligatoire des dépenses</w:t>
      </w:r>
    </w:p>
    <w:p w:rsidR="00F9579D" w:rsidRDefault="00F9579D" w:rsidP="00B37357">
      <w:pPr>
        <w:pStyle w:val="PS"/>
        <w:ind w:left="540"/>
        <w:rPr>
          <w:szCs w:val="24"/>
        </w:rPr>
      </w:pPr>
      <w:r>
        <w:rPr>
          <w:szCs w:val="24"/>
        </w:rPr>
        <w:t>Attendu que M.</w:t>
      </w:r>
      <w:r w:rsidR="003C6BC3">
        <w:rPr>
          <w:szCs w:val="24"/>
        </w:rPr>
        <w:t> </w:t>
      </w:r>
      <w:r w:rsidR="00875F69">
        <w:rPr>
          <w:szCs w:val="24"/>
        </w:rPr>
        <w:t xml:space="preserve">X </w:t>
      </w:r>
      <w:r w:rsidR="00770D83">
        <w:rPr>
          <w:szCs w:val="24"/>
        </w:rPr>
        <w:t>invoque</w:t>
      </w:r>
      <w:r w:rsidR="00AE4D94">
        <w:rPr>
          <w:szCs w:val="24"/>
        </w:rPr>
        <w:t>,</w:t>
      </w:r>
      <w:r w:rsidR="00770D83">
        <w:rPr>
          <w:szCs w:val="24"/>
        </w:rPr>
        <w:t xml:space="preserve"> </w:t>
      </w:r>
      <w:r w:rsidR="00D57146">
        <w:rPr>
          <w:szCs w:val="24"/>
        </w:rPr>
        <w:t xml:space="preserve">à </w:t>
      </w:r>
      <w:r w:rsidR="00AE4D94">
        <w:rPr>
          <w:szCs w:val="24"/>
        </w:rPr>
        <w:t xml:space="preserve">sa </w:t>
      </w:r>
      <w:r w:rsidR="00D57146">
        <w:rPr>
          <w:szCs w:val="24"/>
        </w:rPr>
        <w:t>décharge</w:t>
      </w:r>
      <w:r w:rsidR="00AE4D94">
        <w:rPr>
          <w:szCs w:val="24"/>
        </w:rPr>
        <w:t>,</w:t>
      </w:r>
      <w:r w:rsidR="00D57146">
        <w:rPr>
          <w:szCs w:val="24"/>
        </w:rPr>
        <w:t xml:space="preserve"> </w:t>
      </w:r>
      <w:r w:rsidR="00AE4D94">
        <w:rPr>
          <w:szCs w:val="24"/>
        </w:rPr>
        <w:t xml:space="preserve">que le paiement des échéances d’emprunt constituait une dépense </w:t>
      </w:r>
      <w:r>
        <w:rPr>
          <w:szCs w:val="24"/>
        </w:rPr>
        <w:t xml:space="preserve">obligatoire </w:t>
      </w:r>
      <w:r w:rsidR="00AE4D94">
        <w:rPr>
          <w:szCs w:val="24"/>
        </w:rPr>
        <w:t xml:space="preserve">pour la communauté d’agglomération </w:t>
      </w:r>
      <w:r>
        <w:rPr>
          <w:szCs w:val="24"/>
        </w:rPr>
        <w:t>;</w:t>
      </w:r>
    </w:p>
    <w:p w:rsidR="00F9579D" w:rsidRDefault="00F9579D" w:rsidP="00B37357">
      <w:pPr>
        <w:pStyle w:val="PS"/>
        <w:ind w:left="540"/>
        <w:rPr>
          <w:szCs w:val="24"/>
        </w:rPr>
      </w:pPr>
      <w:r>
        <w:rPr>
          <w:szCs w:val="24"/>
        </w:rPr>
        <w:t xml:space="preserve">Attendu </w:t>
      </w:r>
      <w:r w:rsidR="000A105B">
        <w:rPr>
          <w:szCs w:val="24"/>
        </w:rPr>
        <w:t xml:space="preserve">que </w:t>
      </w:r>
      <w:r w:rsidR="001903FE">
        <w:rPr>
          <w:szCs w:val="24"/>
        </w:rPr>
        <w:t>les obligations de contrôle prévues aux articles 11, 12 et 13 du décret du 29 décembre 1962 susvisé revêtent pour le comptable un caractère général</w:t>
      </w:r>
      <w:r w:rsidR="001D72E8">
        <w:rPr>
          <w:szCs w:val="24"/>
        </w:rPr>
        <w:t xml:space="preserve"> ; qu’aucun texte ne prévoit de dérogation </w:t>
      </w:r>
      <w:r w:rsidR="00D57146">
        <w:rPr>
          <w:szCs w:val="24"/>
        </w:rPr>
        <w:t xml:space="preserve">à ces contrôles, ni même </w:t>
      </w:r>
      <w:r w:rsidR="000A105B">
        <w:rPr>
          <w:szCs w:val="24"/>
        </w:rPr>
        <w:t>d’atténuation</w:t>
      </w:r>
      <w:r w:rsidR="00D57146">
        <w:rPr>
          <w:szCs w:val="24"/>
        </w:rPr>
        <w:t xml:space="preserve">, </w:t>
      </w:r>
      <w:r w:rsidR="000A105B">
        <w:rPr>
          <w:szCs w:val="24"/>
        </w:rPr>
        <w:t xml:space="preserve">en ce qui concerne </w:t>
      </w:r>
      <w:r w:rsidR="001D72E8">
        <w:rPr>
          <w:szCs w:val="24"/>
        </w:rPr>
        <w:t xml:space="preserve">les </w:t>
      </w:r>
      <w:r>
        <w:rPr>
          <w:szCs w:val="24"/>
        </w:rPr>
        <w:t>dépense</w:t>
      </w:r>
      <w:r w:rsidR="001D72E8">
        <w:rPr>
          <w:szCs w:val="24"/>
        </w:rPr>
        <w:t>s obligatoires</w:t>
      </w:r>
      <w:r w:rsidR="00475DCF">
        <w:rPr>
          <w:szCs w:val="24"/>
        </w:rPr>
        <w:t xml:space="preserve"> </w:t>
      </w:r>
      <w:r w:rsidR="00AE4D94">
        <w:rPr>
          <w:szCs w:val="24"/>
        </w:rPr>
        <w:t xml:space="preserve">au sens du code général des collectivités territoriales </w:t>
      </w:r>
      <w:r>
        <w:rPr>
          <w:szCs w:val="24"/>
        </w:rPr>
        <w:t>; qu’ainsi l’argument à décharge n’est pas fondé en droit ;</w:t>
      </w:r>
    </w:p>
    <w:p w:rsidR="002427B0" w:rsidRPr="002427B0" w:rsidRDefault="002427B0" w:rsidP="002427B0">
      <w:pPr>
        <w:pStyle w:val="PS"/>
        <w:ind w:left="540"/>
        <w:rPr>
          <w:i/>
          <w:szCs w:val="24"/>
        </w:rPr>
      </w:pPr>
      <w:r w:rsidRPr="002427B0">
        <w:rPr>
          <w:i/>
          <w:szCs w:val="24"/>
        </w:rPr>
        <w:t>Sur l</w:t>
      </w:r>
      <w:r>
        <w:rPr>
          <w:i/>
          <w:szCs w:val="24"/>
        </w:rPr>
        <w:t xml:space="preserve">e fait que les obligations </w:t>
      </w:r>
      <w:r w:rsidR="00C21C51">
        <w:rPr>
          <w:i/>
          <w:szCs w:val="24"/>
        </w:rPr>
        <w:t xml:space="preserve">contractées par le SIVOM de Cancale </w:t>
      </w:r>
      <w:r>
        <w:rPr>
          <w:i/>
          <w:szCs w:val="24"/>
        </w:rPr>
        <w:t>auraient été transférées de plein droit</w:t>
      </w:r>
      <w:r w:rsidR="00C21C51">
        <w:rPr>
          <w:i/>
          <w:szCs w:val="24"/>
        </w:rPr>
        <w:t xml:space="preserve"> à la communauté d’agglomération de Saint-Malo</w:t>
      </w:r>
    </w:p>
    <w:p w:rsidR="00770D83" w:rsidRDefault="008C306F" w:rsidP="008C306F">
      <w:pPr>
        <w:pStyle w:val="Corpsdetexte"/>
        <w:spacing w:before="0" w:after="480"/>
        <w:ind w:left="540" w:firstLine="1080"/>
      </w:pPr>
      <w:r>
        <w:t xml:space="preserve">Attendu </w:t>
      </w:r>
      <w:r w:rsidR="00770D83">
        <w:t>selon les observations du comptable en fonctions au moment de l’instruction de première instance, les dispositions des articles L.</w:t>
      </w:r>
      <w:r w:rsidR="003C6BC3">
        <w:t> </w:t>
      </w:r>
      <w:r w:rsidR="006A6860">
        <w:t xml:space="preserve">1321-1 </w:t>
      </w:r>
      <w:r w:rsidR="00770D83">
        <w:t>et L.</w:t>
      </w:r>
      <w:r w:rsidR="003C6BC3">
        <w:t> </w:t>
      </w:r>
      <w:r w:rsidR="00770D83">
        <w:t xml:space="preserve">1321-2 </w:t>
      </w:r>
      <w:r w:rsidR="006A6860">
        <w:t xml:space="preserve">susvisés </w:t>
      </w:r>
      <w:r w:rsidR="00770D83">
        <w:t xml:space="preserve">du code général des collectivités territoriales </w:t>
      </w:r>
      <w:r w:rsidR="002A2B9C">
        <w:t>avaient eu</w:t>
      </w:r>
      <w:r w:rsidR="00770D83">
        <w:t xml:space="preserve"> pour effet de transférer de plein droit à la collectivité </w:t>
      </w:r>
      <w:r w:rsidR="004E622C">
        <w:t>bénéficiaire d’un transfert de compétences,</w:t>
      </w:r>
      <w:r w:rsidR="00770D83">
        <w:t xml:space="preserve"> </w:t>
      </w:r>
      <w:r w:rsidR="00770D83">
        <w:rPr>
          <w:szCs w:val="24"/>
        </w:rPr>
        <w:t>les obligations nées des emprunt</w:t>
      </w:r>
      <w:r w:rsidR="004E622C">
        <w:rPr>
          <w:szCs w:val="24"/>
        </w:rPr>
        <w:t>s</w:t>
      </w:r>
      <w:r w:rsidR="00770D83">
        <w:rPr>
          <w:szCs w:val="24"/>
        </w:rPr>
        <w:t xml:space="preserve"> </w:t>
      </w:r>
      <w:r w:rsidR="004E622C">
        <w:rPr>
          <w:szCs w:val="24"/>
        </w:rPr>
        <w:t>contractés au titre de ladite compétence ;</w:t>
      </w:r>
    </w:p>
    <w:p w:rsidR="004E622C" w:rsidRDefault="003C6BC3" w:rsidP="00E67B05">
      <w:pPr>
        <w:pStyle w:val="Corpsdetexte"/>
        <w:tabs>
          <w:tab w:val="left" w:pos="5670"/>
        </w:tabs>
        <w:spacing w:before="0" w:after="600"/>
        <w:ind w:left="539" w:firstLine="1080"/>
        <w:rPr>
          <w:szCs w:val="24"/>
        </w:rPr>
      </w:pPr>
      <w:r>
        <w:br w:type="page"/>
      </w:r>
      <w:r w:rsidR="004E622C">
        <w:lastRenderedPageBreak/>
        <w:t xml:space="preserve">Attendu que </w:t>
      </w:r>
      <w:r w:rsidR="008C306F">
        <w:t xml:space="preserve">l’article </w:t>
      </w:r>
      <w:r w:rsidR="008C306F" w:rsidRPr="00045326">
        <w:rPr>
          <w:szCs w:val="24"/>
        </w:rPr>
        <w:t>L.</w:t>
      </w:r>
      <w:r>
        <w:rPr>
          <w:szCs w:val="24"/>
        </w:rPr>
        <w:t> </w:t>
      </w:r>
      <w:r w:rsidR="008C306F" w:rsidRPr="00045326">
        <w:rPr>
          <w:szCs w:val="24"/>
        </w:rPr>
        <w:t>1321-1</w:t>
      </w:r>
      <w:r w:rsidR="00B37357">
        <w:rPr>
          <w:szCs w:val="24"/>
        </w:rPr>
        <w:t xml:space="preserve"> du code général des collectivités territoriales susvisé, invoqué en première instance par le comptable en fonctions,</w:t>
      </w:r>
      <w:r w:rsidR="008C306F">
        <w:rPr>
          <w:szCs w:val="24"/>
        </w:rPr>
        <w:t xml:space="preserve"> dispose que </w:t>
      </w:r>
      <w:r w:rsidR="008C306F" w:rsidRPr="00045326">
        <w:rPr>
          <w:i/>
          <w:szCs w:val="24"/>
        </w:rPr>
        <w:t>« </w:t>
      </w:r>
      <w:r w:rsidR="008C306F">
        <w:rPr>
          <w:i/>
          <w:szCs w:val="24"/>
        </w:rPr>
        <w:t>l</w:t>
      </w:r>
      <w:r w:rsidR="008C306F" w:rsidRPr="00045326">
        <w:rPr>
          <w:i/>
          <w:szCs w:val="24"/>
        </w:rPr>
        <w:t>e</w:t>
      </w:r>
      <w:r>
        <w:rPr>
          <w:i/>
          <w:szCs w:val="24"/>
        </w:rPr>
        <w:t> </w:t>
      </w:r>
      <w:r w:rsidR="008C306F" w:rsidRPr="00045326">
        <w:rPr>
          <w:i/>
          <w:szCs w:val="24"/>
        </w:rPr>
        <w:t>transfert d'une compétence entraîne de plein droit la mise à la disposition de la collectivité bénéficiaire des biens meubles et immeubles utilisés, à la date de ce transfert, pour l'exercice de cette compétence »</w:t>
      </w:r>
      <w:r w:rsidR="008C306F">
        <w:rPr>
          <w:i/>
          <w:szCs w:val="24"/>
        </w:rPr>
        <w:t> </w:t>
      </w:r>
      <w:r w:rsidR="00494003">
        <w:rPr>
          <w:i/>
          <w:szCs w:val="24"/>
        </w:rPr>
        <w:t xml:space="preserve">et que </w:t>
      </w:r>
      <w:r w:rsidR="00494003" w:rsidRPr="00033F3C">
        <w:rPr>
          <w:i/>
          <w:szCs w:val="24"/>
        </w:rPr>
        <w:t>« </w:t>
      </w:r>
      <w:r w:rsidR="00494003" w:rsidRPr="00033F3C">
        <w:rPr>
          <w:i/>
        </w:rPr>
        <w:t>cette mise à disposition est constatée par un procès-verbal établi contradictoirement entre les représentants de la collectivité antérieurement compétente et de la collectivité bénéficiaire. Le procès-verbal précise la consistance, la situation juridique, l'état des biens et l'évaluation de la remise en état de ceux-ci »</w:t>
      </w:r>
      <w:r w:rsidR="00494003">
        <w:rPr>
          <w:i/>
        </w:rPr>
        <w:t xml:space="preserve"> </w:t>
      </w:r>
      <w:r w:rsidR="008C306F">
        <w:rPr>
          <w:i/>
          <w:szCs w:val="24"/>
        </w:rPr>
        <w:t xml:space="preserve">; </w:t>
      </w:r>
      <w:r w:rsidR="008C306F" w:rsidRPr="00FE2861">
        <w:rPr>
          <w:szCs w:val="24"/>
        </w:rPr>
        <w:t>que selon l’article</w:t>
      </w:r>
      <w:r w:rsidR="008C306F" w:rsidRPr="00045326">
        <w:rPr>
          <w:szCs w:val="24"/>
        </w:rPr>
        <w:t xml:space="preserve"> L.</w:t>
      </w:r>
      <w:r w:rsidR="008C306F">
        <w:rPr>
          <w:szCs w:val="24"/>
        </w:rPr>
        <w:t> </w:t>
      </w:r>
      <w:r w:rsidR="008C306F" w:rsidRPr="00045326">
        <w:rPr>
          <w:szCs w:val="24"/>
        </w:rPr>
        <w:t>1321-2</w:t>
      </w:r>
      <w:r w:rsidR="008C306F">
        <w:rPr>
          <w:szCs w:val="24"/>
        </w:rPr>
        <w:t xml:space="preserve"> du même code</w:t>
      </w:r>
      <w:r w:rsidR="008C306F" w:rsidRPr="00045326">
        <w:rPr>
          <w:szCs w:val="24"/>
        </w:rPr>
        <w:t xml:space="preserve">, </w:t>
      </w:r>
      <w:r w:rsidR="008C306F" w:rsidRPr="00045326">
        <w:rPr>
          <w:i/>
          <w:szCs w:val="24"/>
        </w:rPr>
        <w:t>« </w:t>
      </w:r>
      <w:r w:rsidR="008C306F">
        <w:rPr>
          <w:i/>
          <w:szCs w:val="24"/>
        </w:rPr>
        <w:t>l</w:t>
      </w:r>
      <w:r w:rsidR="008C306F" w:rsidRPr="00045326">
        <w:rPr>
          <w:i/>
          <w:szCs w:val="24"/>
        </w:rPr>
        <w:t>a collectivité bénéficiaire de la mise à disposition est substituée à la collectivité propriétaire dans ses droits et obligations découlant des contrats portant notamment sur des emprunts affectés, et des marchés que cette dernière a pu conclure pour l'aménagement, l'entretien et la conservation des biens remis ainsi que pour le fonctionnement des services</w:t>
      </w:r>
      <w:r w:rsidR="008C306F">
        <w:rPr>
          <w:i/>
          <w:szCs w:val="24"/>
        </w:rPr>
        <w:t> »</w:t>
      </w:r>
      <w:r w:rsidR="008C306F" w:rsidRPr="00FE2861">
        <w:rPr>
          <w:szCs w:val="24"/>
        </w:rPr>
        <w:t> ;</w:t>
      </w:r>
    </w:p>
    <w:p w:rsidR="00B3004C" w:rsidRDefault="00137C18" w:rsidP="00E67B05">
      <w:pPr>
        <w:pStyle w:val="Corpsdetexte"/>
        <w:tabs>
          <w:tab w:val="left" w:pos="5670"/>
        </w:tabs>
        <w:spacing w:before="0" w:after="600"/>
        <w:ind w:left="539" w:firstLine="1080"/>
      </w:pPr>
      <w:r>
        <w:rPr>
          <w:szCs w:val="24"/>
        </w:rPr>
        <w:t>Attendu que selon</w:t>
      </w:r>
      <w:r w:rsidR="00F9579D">
        <w:t xml:space="preserve"> ces dispositions législatives</w:t>
      </w:r>
      <w:r>
        <w:t>,</w:t>
      </w:r>
      <w:r w:rsidR="00F9579D">
        <w:t xml:space="preserve"> les équipements relatifs aux compétences transférées sont </w:t>
      </w:r>
      <w:r>
        <w:t xml:space="preserve">certes </w:t>
      </w:r>
      <w:r w:rsidR="00F9579D">
        <w:t>mis de plein droit</w:t>
      </w:r>
      <w:r w:rsidR="00AE4D94">
        <w:t xml:space="preserve"> à la disposition de la collectivité bénéficiaire</w:t>
      </w:r>
      <w:r w:rsidR="00F9579D">
        <w:t xml:space="preserve">, </w:t>
      </w:r>
      <w:r>
        <w:t xml:space="preserve">mais </w:t>
      </w:r>
      <w:r w:rsidR="00F9579D">
        <w:t>la consistance de ces équipements doi</w:t>
      </w:r>
      <w:r w:rsidR="002A2B9C">
        <w:t>t</w:t>
      </w:r>
      <w:r w:rsidR="00F9579D">
        <w:t xml:space="preserve"> être précisément constatée par </w:t>
      </w:r>
      <w:r w:rsidR="00370628">
        <w:t xml:space="preserve">procès-verbal ; </w:t>
      </w:r>
      <w:r w:rsidR="002A2B9C" w:rsidRPr="002A2B9C">
        <w:rPr>
          <w:szCs w:val="24"/>
        </w:rPr>
        <w:t>qu</w:t>
      </w:r>
      <w:r w:rsidR="00370628">
        <w:rPr>
          <w:szCs w:val="24"/>
        </w:rPr>
        <w:t>’</w:t>
      </w:r>
      <w:r w:rsidR="002A2B9C" w:rsidRPr="002A2B9C">
        <w:rPr>
          <w:szCs w:val="24"/>
        </w:rPr>
        <w:t xml:space="preserve">on ne peut présumer de la validité de la créance </w:t>
      </w:r>
      <w:r w:rsidR="002A2B9C">
        <w:rPr>
          <w:szCs w:val="24"/>
        </w:rPr>
        <w:t xml:space="preserve">du </w:t>
      </w:r>
      <w:r w:rsidR="002A2B9C">
        <w:t xml:space="preserve">Crédit </w:t>
      </w:r>
      <w:r w:rsidR="00B21D77">
        <w:t>l</w:t>
      </w:r>
      <w:r w:rsidR="002A2B9C">
        <w:t xml:space="preserve">ocal de France </w:t>
      </w:r>
      <w:r w:rsidR="002A2B9C" w:rsidRPr="002A2B9C">
        <w:rPr>
          <w:szCs w:val="24"/>
        </w:rPr>
        <w:t>sur la communauté d’agglomération de Saint-Malo née d</w:t>
      </w:r>
      <w:r w:rsidR="002A2B9C">
        <w:rPr>
          <w:szCs w:val="24"/>
        </w:rPr>
        <w:t>e</w:t>
      </w:r>
      <w:r w:rsidR="002A2B9C" w:rsidRPr="002A2B9C">
        <w:rPr>
          <w:szCs w:val="24"/>
        </w:rPr>
        <w:t xml:space="preserve"> contrat</w:t>
      </w:r>
      <w:r w:rsidR="002A2B9C">
        <w:rPr>
          <w:szCs w:val="24"/>
        </w:rPr>
        <w:t>s</w:t>
      </w:r>
      <w:r w:rsidR="002A2B9C" w:rsidRPr="002A2B9C">
        <w:rPr>
          <w:szCs w:val="24"/>
        </w:rPr>
        <w:t xml:space="preserve"> d’emprunt souscrit</w:t>
      </w:r>
      <w:r w:rsidR="002A2B9C">
        <w:rPr>
          <w:szCs w:val="24"/>
        </w:rPr>
        <w:t>s</w:t>
      </w:r>
      <w:r w:rsidR="002A2B9C" w:rsidRPr="002A2B9C">
        <w:rPr>
          <w:szCs w:val="24"/>
        </w:rPr>
        <w:t xml:space="preserve"> par le SIVOM de Cancale, au seul motif que le</w:t>
      </w:r>
      <w:r w:rsidR="002A2B9C">
        <w:rPr>
          <w:szCs w:val="24"/>
        </w:rPr>
        <w:t>s</w:t>
      </w:r>
      <w:r w:rsidR="002A2B9C" w:rsidRPr="002A2B9C">
        <w:rPr>
          <w:szCs w:val="24"/>
        </w:rPr>
        <w:t>dit</w:t>
      </w:r>
      <w:r w:rsidR="002A2B9C">
        <w:rPr>
          <w:szCs w:val="24"/>
        </w:rPr>
        <w:t>s</w:t>
      </w:r>
      <w:r w:rsidR="002A2B9C" w:rsidRPr="002A2B9C">
        <w:rPr>
          <w:szCs w:val="24"/>
        </w:rPr>
        <w:t xml:space="preserve"> contrat se rattacherai</w:t>
      </w:r>
      <w:r w:rsidR="0017440F">
        <w:rPr>
          <w:szCs w:val="24"/>
        </w:rPr>
        <w:t>en</w:t>
      </w:r>
      <w:r w:rsidR="002A2B9C" w:rsidRPr="002A2B9C">
        <w:rPr>
          <w:szCs w:val="24"/>
        </w:rPr>
        <w:t>t à des équipements relevant d’une compétence transférée de ce SIVOM à la communauté</w:t>
      </w:r>
      <w:r w:rsidR="00720140">
        <w:rPr>
          <w:szCs w:val="24"/>
        </w:rPr>
        <w:t>, faute que la consis</w:t>
      </w:r>
      <w:r w:rsidR="00370628">
        <w:rPr>
          <w:szCs w:val="24"/>
        </w:rPr>
        <w:t>t</w:t>
      </w:r>
      <w:r w:rsidR="00720140">
        <w:rPr>
          <w:szCs w:val="24"/>
        </w:rPr>
        <w:t>a</w:t>
      </w:r>
      <w:r w:rsidR="00370628">
        <w:rPr>
          <w:szCs w:val="24"/>
        </w:rPr>
        <w:t xml:space="preserve">nce de ces équipements ait été constatée </w:t>
      </w:r>
      <w:r w:rsidR="00720140">
        <w:rPr>
          <w:szCs w:val="24"/>
        </w:rPr>
        <w:t>par procès-verbal</w:t>
      </w:r>
      <w:r w:rsidR="002A2B9C">
        <w:rPr>
          <w:szCs w:val="24"/>
        </w:rPr>
        <w:t> ;</w:t>
      </w:r>
    </w:p>
    <w:p w:rsidR="002427B0" w:rsidRPr="002427B0" w:rsidRDefault="002427B0" w:rsidP="00E67B05">
      <w:pPr>
        <w:pStyle w:val="Corpsdetexte"/>
        <w:tabs>
          <w:tab w:val="left" w:pos="5670"/>
        </w:tabs>
        <w:spacing w:before="0" w:after="600"/>
        <w:ind w:left="539" w:firstLine="1080"/>
        <w:rPr>
          <w:i/>
        </w:rPr>
      </w:pPr>
      <w:r w:rsidRPr="002427B0">
        <w:rPr>
          <w:i/>
        </w:rPr>
        <w:t xml:space="preserve">Sur les pièces </w:t>
      </w:r>
      <w:r w:rsidR="00C21C51">
        <w:rPr>
          <w:i/>
        </w:rPr>
        <w:t xml:space="preserve">qui </w:t>
      </w:r>
      <w:r w:rsidRPr="002427B0">
        <w:rPr>
          <w:i/>
        </w:rPr>
        <w:t>attest</w:t>
      </w:r>
      <w:r w:rsidR="00C21C51">
        <w:rPr>
          <w:i/>
        </w:rPr>
        <w:t>eraie</w:t>
      </w:r>
      <w:r w:rsidRPr="002427B0">
        <w:rPr>
          <w:i/>
        </w:rPr>
        <w:t xml:space="preserve">nt du consentement de la communauté d’agglomération </w:t>
      </w:r>
      <w:r w:rsidR="00C21C51">
        <w:rPr>
          <w:i/>
        </w:rPr>
        <w:t>a</w:t>
      </w:r>
      <w:r>
        <w:rPr>
          <w:i/>
        </w:rPr>
        <w:t xml:space="preserve">u </w:t>
      </w:r>
      <w:r w:rsidRPr="002427B0">
        <w:rPr>
          <w:i/>
        </w:rPr>
        <w:t>transfert des obligations</w:t>
      </w:r>
    </w:p>
    <w:p w:rsidR="004E622C" w:rsidRPr="004E622C" w:rsidRDefault="004E622C" w:rsidP="00E67B05">
      <w:pPr>
        <w:pStyle w:val="PS"/>
        <w:tabs>
          <w:tab w:val="left" w:pos="5670"/>
        </w:tabs>
        <w:spacing w:after="600"/>
        <w:ind w:left="539"/>
        <w:rPr>
          <w:szCs w:val="24"/>
        </w:rPr>
      </w:pPr>
      <w:r>
        <w:rPr>
          <w:szCs w:val="24"/>
        </w:rPr>
        <w:t>Attendu que M.</w:t>
      </w:r>
      <w:r w:rsidR="003C6BC3">
        <w:rPr>
          <w:szCs w:val="24"/>
        </w:rPr>
        <w:t> </w:t>
      </w:r>
      <w:r w:rsidR="00875F69">
        <w:rPr>
          <w:szCs w:val="24"/>
        </w:rPr>
        <w:t xml:space="preserve">X </w:t>
      </w:r>
      <w:r>
        <w:rPr>
          <w:szCs w:val="24"/>
        </w:rPr>
        <w:t xml:space="preserve">et le comptable en fonctions au moment de </w:t>
      </w:r>
      <w:r w:rsidR="002A2B9C">
        <w:rPr>
          <w:szCs w:val="24"/>
        </w:rPr>
        <w:t xml:space="preserve">la </w:t>
      </w:r>
      <w:r>
        <w:rPr>
          <w:szCs w:val="24"/>
        </w:rPr>
        <w:t xml:space="preserve">première instance ont produit des pièces qui, selon eux, </w:t>
      </w:r>
      <w:r w:rsidRPr="004E622C">
        <w:t xml:space="preserve">attesteraient du consentement de la communauté d’agglomération au transfert des </w:t>
      </w:r>
      <w:r w:rsidR="002A2B9C">
        <w:t>emprunts</w:t>
      </w:r>
      <w:r>
        <w:t xml:space="preserve"> en question ;</w:t>
      </w:r>
    </w:p>
    <w:p w:rsidR="000A105B" w:rsidRDefault="000A105B" w:rsidP="00E67B05">
      <w:pPr>
        <w:pStyle w:val="PS"/>
        <w:tabs>
          <w:tab w:val="left" w:pos="5670"/>
        </w:tabs>
        <w:spacing w:after="600"/>
        <w:ind w:left="539"/>
        <w:rPr>
          <w:szCs w:val="24"/>
        </w:rPr>
      </w:pPr>
      <w:r w:rsidRPr="00C9719C">
        <w:rPr>
          <w:szCs w:val="24"/>
        </w:rPr>
        <w:t>Attendu que la responsabilité des comptables s'apprécie au moment du paiement</w:t>
      </w:r>
      <w:r>
        <w:rPr>
          <w:szCs w:val="24"/>
        </w:rPr>
        <w:t xml:space="preserve"> ; que l’absence, </w:t>
      </w:r>
      <w:r w:rsidR="00D57146">
        <w:rPr>
          <w:szCs w:val="24"/>
        </w:rPr>
        <w:t xml:space="preserve">à l’appui du mandat de </w:t>
      </w:r>
      <w:r>
        <w:rPr>
          <w:szCs w:val="24"/>
        </w:rPr>
        <w:t>paiement, d’une pièce prévue par la nomenclature des pièces justificatives en vigueur entache irrévocablement d’irrégularité la dépense</w:t>
      </w:r>
      <w:r w:rsidR="002A2B9C">
        <w:rPr>
          <w:szCs w:val="24"/>
        </w:rPr>
        <w:t> </w:t>
      </w:r>
      <w:r>
        <w:rPr>
          <w:szCs w:val="24"/>
        </w:rPr>
        <w:t xml:space="preserve">; que toutefois la présomption de charge ne repose pas en l’espèce sur un manquement à la nomenclature ; que la Cour </w:t>
      </w:r>
      <w:r w:rsidR="002427B0">
        <w:rPr>
          <w:szCs w:val="24"/>
        </w:rPr>
        <w:t>pourrai</w:t>
      </w:r>
      <w:r>
        <w:rPr>
          <w:szCs w:val="24"/>
        </w:rPr>
        <w:t xml:space="preserve">t donc </w:t>
      </w:r>
      <w:r w:rsidR="00C21C51">
        <w:rPr>
          <w:szCs w:val="24"/>
        </w:rPr>
        <w:t xml:space="preserve">admettre </w:t>
      </w:r>
      <w:r>
        <w:rPr>
          <w:szCs w:val="24"/>
        </w:rPr>
        <w:t xml:space="preserve">à décharge des </w:t>
      </w:r>
      <w:r w:rsidR="00BA08AE">
        <w:rPr>
          <w:szCs w:val="24"/>
        </w:rPr>
        <w:t>documents</w:t>
      </w:r>
      <w:r>
        <w:rPr>
          <w:szCs w:val="24"/>
        </w:rPr>
        <w:t xml:space="preserve"> qui</w:t>
      </w:r>
      <w:r w:rsidR="00137C18">
        <w:rPr>
          <w:szCs w:val="24"/>
        </w:rPr>
        <w:t>,</w:t>
      </w:r>
      <w:r>
        <w:rPr>
          <w:szCs w:val="24"/>
        </w:rPr>
        <w:t xml:space="preserve"> quoique non joints au</w:t>
      </w:r>
      <w:r w:rsidR="0049304D">
        <w:rPr>
          <w:szCs w:val="24"/>
        </w:rPr>
        <w:t>x</w:t>
      </w:r>
      <w:r>
        <w:rPr>
          <w:szCs w:val="24"/>
        </w:rPr>
        <w:t xml:space="preserve"> paiement</w:t>
      </w:r>
      <w:r w:rsidR="0049304D">
        <w:rPr>
          <w:szCs w:val="24"/>
        </w:rPr>
        <w:t>s</w:t>
      </w:r>
      <w:r>
        <w:rPr>
          <w:szCs w:val="24"/>
        </w:rPr>
        <w:t>,</w:t>
      </w:r>
      <w:r w:rsidRPr="00C9719C">
        <w:rPr>
          <w:szCs w:val="24"/>
        </w:rPr>
        <w:t xml:space="preserve"> </w:t>
      </w:r>
      <w:r>
        <w:rPr>
          <w:szCs w:val="24"/>
        </w:rPr>
        <w:t>atteste</w:t>
      </w:r>
      <w:r w:rsidR="002427B0">
        <w:rPr>
          <w:szCs w:val="24"/>
        </w:rPr>
        <w:t>raie</w:t>
      </w:r>
      <w:r>
        <w:rPr>
          <w:szCs w:val="24"/>
        </w:rPr>
        <w:t xml:space="preserve">nt </w:t>
      </w:r>
      <w:r w:rsidR="00D57146">
        <w:rPr>
          <w:szCs w:val="24"/>
        </w:rPr>
        <w:t xml:space="preserve">que </w:t>
      </w:r>
      <w:r>
        <w:rPr>
          <w:szCs w:val="24"/>
        </w:rPr>
        <w:t xml:space="preserve">la créance </w:t>
      </w:r>
      <w:r w:rsidR="00D57146">
        <w:rPr>
          <w:szCs w:val="24"/>
        </w:rPr>
        <w:t xml:space="preserve">était valide </w:t>
      </w:r>
      <w:r>
        <w:rPr>
          <w:szCs w:val="24"/>
        </w:rPr>
        <w:t xml:space="preserve">au moment </w:t>
      </w:r>
      <w:r w:rsidR="002A2B9C">
        <w:rPr>
          <w:szCs w:val="24"/>
        </w:rPr>
        <w:t>du paiement </w:t>
      </w:r>
      <w:r w:rsidRPr="00C9719C">
        <w:rPr>
          <w:szCs w:val="24"/>
        </w:rPr>
        <w:t>;</w:t>
      </w:r>
    </w:p>
    <w:p w:rsidR="002427B0" w:rsidRDefault="002427B0" w:rsidP="00E67B05">
      <w:pPr>
        <w:pStyle w:val="PS"/>
        <w:tabs>
          <w:tab w:val="left" w:pos="5670"/>
        </w:tabs>
        <w:spacing w:after="600"/>
        <w:ind w:left="539"/>
        <w:rPr>
          <w:szCs w:val="24"/>
        </w:rPr>
      </w:pPr>
      <w:r>
        <w:rPr>
          <w:szCs w:val="24"/>
        </w:rPr>
        <w:t xml:space="preserve">Qu’en l’espèce, </w:t>
      </w:r>
      <w:r w:rsidR="004E622C">
        <w:rPr>
          <w:szCs w:val="24"/>
        </w:rPr>
        <w:t xml:space="preserve">ces </w:t>
      </w:r>
      <w:r w:rsidR="00BA08AE">
        <w:rPr>
          <w:szCs w:val="24"/>
        </w:rPr>
        <w:t>documents</w:t>
      </w:r>
      <w:r w:rsidR="004E622C">
        <w:rPr>
          <w:szCs w:val="24"/>
        </w:rPr>
        <w:t xml:space="preserve"> </w:t>
      </w:r>
      <w:r w:rsidR="00C21C51">
        <w:rPr>
          <w:szCs w:val="24"/>
        </w:rPr>
        <w:t>devraient</w:t>
      </w:r>
      <w:r>
        <w:rPr>
          <w:rFonts w:ascii="Times New Roman" w:hAnsi="Times New Roman"/>
        </w:rPr>
        <w:t xml:space="preserve">, pour chaque emprunt concerné, </w:t>
      </w:r>
      <w:r w:rsidR="00BA08AE">
        <w:rPr>
          <w:rFonts w:ascii="Times New Roman" w:hAnsi="Times New Roman"/>
        </w:rPr>
        <w:t xml:space="preserve">préciser les obligations de l’emprunteur </w:t>
      </w:r>
      <w:r>
        <w:rPr>
          <w:rFonts w:ascii="Times New Roman" w:hAnsi="Times New Roman"/>
        </w:rPr>
        <w:t xml:space="preserve">et attester </w:t>
      </w:r>
      <w:r w:rsidR="00BA08AE">
        <w:rPr>
          <w:rFonts w:ascii="Times New Roman" w:hAnsi="Times New Roman"/>
        </w:rPr>
        <w:t xml:space="preserve">sans ambiguïté la décision </w:t>
      </w:r>
      <w:r>
        <w:rPr>
          <w:rFonts w:ascii="Times New Roman" w:hAnsi="Times New Roman"/>
        </w:rPr>
        <w:t xml:space="preserve">de la </w:t>
      </w:r>
      <w:r w:rsidR="00C21C51">
        <w:rPr>
          <w:rFonts w:ascii="Times New Roman" w:hAnsi="Times New Roman"/>
        </w:rPr>
        <w:t xml:space="preserve">communauté d’agglomération </w:t>
      </w:r>
      <w:r w:rsidR="00BA08AE">
        <w:rPr>
          <w:rFonts w:ascii="Times New Roman" w:hAnsi="Times New Roman"/>
        </w:rPr>
        <w:t xml:space="preserve">d’y </w:t>
      </w:r>
      <w:r>
        <w:rPr>
          <w:rFonts w:ascii="Times New Roman" w:hAnsi="Times New Roman"/>
        </w:rPr>
        <w:t>consentir ;</w:t>
      </w:r>
      <w:r w:rsidR="003559A7">
        <w:rPr>
          <w:rFonts w:ascii="Times New Roman" w:hAnsi="Times New Roman"/>
        </w:rPr>
        <w:t xml:space="preserve"> </w:t>
      </w:r>
      <w:r w:rsidR="004E622C">
        <w:rPr>
          <w:rFonts w:ascii="Times New Roman" w:hAnsi="Times New Roman"/>
        </w:rPr>
        <w:t xml:space="preserve">que de surcroît </w:t>
      </w:r>
      <w:r w:rsidR="004E622C">
        <w:rPr>
          <w:szCs w:val="24"/>
        </w:rPr>
        <w:t xml:space="preserve">de tels </w:t>
      </w:r>
      <w:r w:rsidR="00BA08AE">
        <w:rPr>
          <w:szCs w:val="24"/>
        </w:rPr>
        <w:t xml:space="preserve">documents </w:t>
      </w:r>
      <w:r w:rsidR="004E622C">
        <w:rPr>
          <w:szCs w:val="24"/>
        </w:rPr>
        <w:t>devraient être antérieurs aux paiements litigieux ;</w:t>
      </w:r>
    </w:p>
    <w:p w:rsidR="00B3004C" w:rsidRDefault="00B3004C" w:rsidP="00B3004C">
      <w:pPr>
        <w:pStyle w:val="Corpsdetexte"/>
        <w:spacing w:before="0" w:after="480"/>
        <w:ind w:left="540" w:firstLine="1080"/>
      </w:pPr>
      <w:r>
        <w:lastRenderedPageBreak/>
        <w:t xml:space="preserve">Attendu que l’ouverture alléguée de crédits </w:t>
      </w:r>
      <w:r w:rsidR="001D72E8">
        <w:t xml:space="preserve">spécifiques </w:t>
      </w:r>
      <w:r w:rsidR="000A105B">
        <w:t>pour le</w:t>
      </w:r>
      <w:r w:rsidR="001D72E8">
        <w:t xml:space="preserve"> remboursement des emprunts </w:t>
      </w:r>
      <w:r>
        <w:t>au budget 2004 du conseil communautaire ne saurait</w:t>
      </w:r>
      <w:r w:rsidR="0049304D">
        <w:t>, eu</w:t>
      </w:r>
      <w:r w:rsidR="00702162">
        <w:t xml:space="preserve"> </w:t>
      </w:r>
      <w:r w:rsidR="0049304D">
        <w:t xml:space="preserve">égard à son caractère purement budgétaire, </w:t>
      </w:r>
      <w:r>
        <w:t xml:space="preserve">constituer </w:t>
      </w:r>
      <w:r w:rsidR="00BA08AE">
        <w:t>à lui seul un tel document</w:t>
      </w:r>
      <w:r w:rsidR="00110361">
        <w:t xml:space="preserve"> </w:t>
      </w:r>
      <w:r w:rsidR="007711B3">
        <w:t>;</w:t>
      </w:r>
      <w:r w:rsidR="00110361">
        <w:t xml:space="preserve"> qu’au surplus, cette allégation n’est prouvée par aucune pièce </w:t>
      </w:r>
      <w:r w:rsidR="00BA08AE">
        <w:t>produite par le comptable</w:t>
      </w:r>
      <w:r w:rsidR="00110361">
        <w:t> ;</w:t>
      </w:r>
    </w:p>
    <w:p w:rsidR="00633D2F" w:rsidRPr="004E622C" w:rsidRDefault="00B3004C" w:rsidP="004E622C">
      <w:pPr>
        <w:pStyle w:val="Corpsdetexte"/>
        <w:spacing w:before="0" w:after="480"/>
        <w:ind w:left="540" w:firstLine="1080"/>
      </w:pPr>
      <w:r>
        <w:t>Attendu que l’approbation</w:t>
      </w:r>
      <w:r w:rsidR="000D4A53">
        <w:t>,</w:t>
      </w:r>
      <w:r>
        <w:t xml:space="preserve"> </w:t>
      </w:r>
      <w:r w:rsidR="000D4A53">
        <w:t xml:space="preserve">le 15 décembre 2005, </w:t>
      </w:r>
      <w:r>
        <w:t>par l</w:t>
      </w:r>
      <w:r w:rsidR="000A105B">
        <w:t xml:space="preserve">e conseil </w:t>
      </w:r>
      <w:r w:rsidR="007711B3">
        <w:t xml:space="preserve">de la communauté d’agglomération, </w:t>
      </w:r>
      <w:r>
        <w:t xml:space="preserve">d’un rapport de la commission locale d’évaluation des charges transférées </w:t>
      </w:r>
      <w:r w:rsidR="007711B3">
        <w:t xml:space="preserve">qui faisait </w:t>
      </w:r>
      <w:r>
        <w:t>référence</w:t>
      </w:r>
      <w:r w:rsidR="007711B3">
        <w:t xml:space="preserve"> </w:t>
      </w:r>
      <w:r>
        <w:t xml:space="preserve">aux emprunts transférés au titre des déchetteries, est postérieure </w:t>
      </w:r>
      <w:r w:rsidR="001D72E8">
        <w:t>à tous l</w:t>
      </w:r>
      <w:r w:rsidR="000D4A53">
        <w:t xml:space="preserve">es </w:t>
      </w:r>
      <w:r w:rsidR="001D72E8">
        <w:t xml:space="preserve">mandats litigieux, </w:t>
      </w:r>
      <w:r w:rsidR="001D72E8">
        <w:rPr>
          <w:szCs w:val="24"/>
        </w:rPr>
        <w:t xml:space="preserve">dont </w:t>
      </w:r>
      <w:r w:rsidR="001D72E8">
        <w:t>les dates sont comprises entre le</w:t>
      </w:r>
      <w:r w:rsidR="00702162">
        <w:t xml:space="preserve"> </w:t>
      </w:r>
      <w:r w:rsidR="001D72E8">
        <w:t>2</w:t>
      </w:r>
      <w:r w:rsidR="00E67B05">
        <w:t> </w:t>
      </w:r>
      <w:r w:rsidR="001D72E8">
        <w:t>mars</w:t>
      </w:r>
      <w:r w:rsidR="00E67B05">
        <w:t> </w:t>
      </w:r>
      <w:r w:rsidR="001D72E8">
        <w:t xml:space="preserve">2004 et le 19 septembre 2005 </w:t>
      </w:r>
      <w:r>
        <w:t xml:space="preserve">; qu’il en va de même de la délibération </w:t>
      </w:r>
      <w:r w:rsidRPr="009851C3">
        <w:rPr>
          <w:szCs w:val="24"/>
        </w:rPr>
        <w:t>du</w:t>
      </w:r>
      <w:r w:rsidR="00702162">
        <w:rPr>
          <w:szCs w:val="24"/>
        </w:rPr>
        <w:t xml:space="preserve"> </w:t>
      </w:r>
      <w:r w:rsidRPr="009851C3">
        <w:rPr>
          <w:szCs w:val="24"/>
        </w:rPr>
        <w:t>26</w:t>
      </w:r>
      <w:r w:rsidR="00E67B05">
        <w:rPr>
          <w:szCs w:val="24"/>
        </w:rPr>
        <w:t> </w:t>
      </w:r>
      <w:r w:rsidRPr="009851C3">
        <w:rPr>
          <w:szCs w:val="24"/>
        </w:rPr>
        <w:t>juin</w:t>
      </w:r>
      <w:r w:rsidR="00E67B05">
        <w:rPr>
          <w:szCs w:val="24"/>
        </w:rPr>
        <w:t> </w:t>
      </w:r>
      <w:r w:rsidRPr="009851C3">
        <w:rPr>
          <w:szCs w:val="24"/>
        </w:rPr>
        <w:t xml:space="preserve">2008 </w:t>
      </w:r>
      <w:r w:rsidR="00720140">
        <w:rPr>
          <w:szCs w:val="24"/>
        </w:rPr>
        <w:t xml:space="preserve">de ce même </w:t>
      </w:r>
      <w:r w:rsidRPr="009851C3">
        <w:rPr>
          <w:szCs w:val="24"/>
        </w:rPr>
        <w:t xml:space="preserve">conseil </w:t>
      </w:r>
      <w:r w:rsidR="00720140">
        <w:rPr>
          <w:szCs w:val="24"/>
        </w:rPr>
        <w:t>communautaire</w:t>
      </w:r>
      <w:r w:rsidRPr="009851C3">
        <w:rPr>
          <w:szCs w:val="24"/>
        </w:rPr>
        <w:t xml:space="preserve"> </w:t>
      </w:r>
      <w:r>
        <w:rPr>
          <w:szCs w:val="24"/>
        </w:rPr>
        <w:t xml:space="preserve">qui organise la reprise </w:t>
      </w:r>
      <w:r w:rsidR="00740E41">
        <w:rPr>
          <w:szCs w:val="24"/>
        </w:rPr>
        <w:t xml:space="preserve">dans les comptes de la communauté d’agglomération </w:t>
      </w:r>
      <w:r>
        <w:rPr>
          <w:szCs w:val="24"/>
        </w:rPr>
        <w:t>des emprunts</w:t>
      </w:r>
      <w:r w:rsidR="00740E41">
        <w:rPr>
          <w:szCs w:val="24"/>
        </w:rPr>
        <w:t xml:space="preserve"> concernés ; qu’ainsi </w:t>
      </w:r>
      <w:r w:rsidR="004E622C">
        <w:rPr>
          <w:szCs w:val="24"/>
        </w:rPr>
        <w:t>l</w:t>
      </w:r>
      <w:r w:rsidR="00740E41">
        <w:rPr>
          <w:szCs w:val="24"/>
        </w:rPr>
        <w:t xml:space="preserve">es pièces </w:t>
      </w:r>
      <w:r w:rsidR="004E622C">
        <w:rPr>
          <w:szCs w:val="24"/>
        </w:rPr>
        <w:t xml:space="preserve">attestant de ces actes </w:t>
      </w:r>
      <w:r w:rsidR="00740E41">
        <w:rPr>
          <w:szCs w:val="24"/>
        </w:rPr>
        <w:t>ne peuvent être admises</w:t>
      </w:r>
      <w:r w:rsidR="00BA08AE">
        <w:rPr>
          <w:szCs w:val="24"/>
        </w:rPr>
        <w:t xml:space="preserve"> à décharge</w:t>
      </w:r>
      <w:r w:rsidR="00740E41">
        <w:rPr>
          <w:szCs w:val="24"/>
        </w:rPr>
        <w:t> ;</w:t>
      </w:r>
    </w:p>
    <w:p w:rsidR="00633D2F" w:rsidRPr="00633D2F" w:rsidRDefault="00740E41" w:rsidP="00633D2F">
      <w:pPr>
        <w:pStyle w:val="Corpsdetexte"/>
        <w:spacing w:before="0" w:after="480"/>
        <w:ind w:left="540" w:firstLine="1080"/>
        <w:rPr>
          <w:szCs w:val="24"/>
        </w:rPr>
      </w:pPr>
      <w:r>
        <w:t xml:space="preserve">Attendu que </w:t>
      </w:r>
      <w:r w:rsidR="00B3004C">
        <w:t xml:space="preserve">l’ensemble des délibérations et actes du SIVOM de Cancale </w:t>
      </w:r>
      <w:r>
        <w:t xml:space="preserve">faisant état </w:t>
      </w:r>
      <w:r w:rsidR="00B3004C">
        <w:t xml:space="preserve">du transfert des </w:t>
      </w:r>
      <w:r>
        <w:t xml:space="preserve">équipements </w:t>
      </w:r>
      <w:r w:rsidR="00B3004C">
        <w:t>et des emprunts</w:t>
      </w:r>
      <w:r w:rsidR="00752B91">
        <w:t>,</w:t>
      </w:r>
      <w:r>
        <w:t xml:space="preserve"> produits par le comptable</w:t>
      </w:r>
      <w:r w:rsidR="00752B91">
        <w:t>,</w:t>
      </w:r>
      <w:r>
        <w:t xml:space="preserve"> </w:t>
      </w:r>
      <w:r w:rsidR="00326B91">
        <w:t xml:space="preserve">ne peuvent disposer pour la </w:t>
      </w:r>
      <w:r>
        <w:t>communauté d’agglomération</w:t>
      </w:r>
      <w:r w:rsidR="00326B91">
        <w:t xml:space="preserve"> </w:t>
      </w:r>
      <w:r>
        <w:t>;</w:t>
      </w:r>
      <w:r w:rsidR="00633D2F">
        <w:t xml:space="preserve"> qu’il en va </w:t>
      </w:r>
      <w:r w:rsidR="00BA08AE">
        <w:t xml:space="preserve">ainsi </w:t>
      </w:r>
      <w:r w:rsidR="00633D2F">
        <w:t>de la lettre du président du SIVOM de Cancale du 23</w:t>
      </w:r>
      <w:r w:rsidR="00E67B05">
        <w:t> </w:t>
      </w:r>
      <w:r w:rsidR="00633D2F">
        <w:t>novembre</w:t>
      </w:r>
      <w:r w:rsidR="00E67B05">
        <w:t> </w:t>
      </w:r>
      <w:r w:rsidR="00633D2F">
        <w:t xml:space="preserve">2003 informant le Crédit </w:t>
      </w:r>
      <w:r w:rsidR="00702162">
        <w:t>l</w:t>
      </w:r>
      <w:r w:rsidR="00633D2F">
        <w:t xml:space="preserve">ocal de France que </w:t>
      </w:r>
      <w:r w:rsidR="00633D2F" w:rsidRPr="00633D2F">
        <w:rPr>
          <w:i/>
        </w:rPr>
        <w:t>« la dette du SIVOM affectée aux ordures ménagères relèvera au 1</w:t>
      </w:r>
      <w:r w:rsidR="00633D2F" w:rsidRPr="00633D2F">
        <w:rPr>
          <w:i/>
          <w:vertAlign w:val="superscript"/>
        </w:rPr>
        <w:t>er</w:t>
      </w:r>
      <w:r w:rsidR="00E67B05">
        <w:rPr>
          <w:i/>
          <w:vertAlign w:val="superscript"/>
        </w:rPr>
        <w:t> </w:t>
      </w:r>
      <w:r w:rsidR="00633D2F" w:rsidRPr="00633D2F">
        <w:rPr>
          <w:i/>
        </w:rPr>
        <w:t>janvier</w:t>
      </w:r>
      <w:r w:rsidR="00E67B05">
        <w:rPr>
          <w:i/>
        </w:rPr>
        <w:t> </w:t>
      </w:r>
      <w:r w:rsidR="00633D2F" w:rsidRPr="00633D2F">
        <w:rPr>
          <w:i/>
        </w:rPr>
        <w:t>2004</w:t>
      </w:r>
      <w:r w:rsidR="00702162">
        <w:rPr>
          <w:i/>
        </w:rPr>
        <w:t xml:space="preserve"> </w:t>
      </w:r>
      <w:r w:rsidR="00633D2F" w:rsidRPr="00633D2F">
        <w:rPr>
          <w:i/>
        </w:rPr>
        <w:t>de CAP Malo »</w:t>
      </w:r>
      <w:r w:rsidR="00633D2F">
        <w:t xml:space="preserve"> et l’invitant à </w:t>
      </w:r>
      <w:r w:rsidR="00633D2F" w:rsidRPr="00633D2F">
        <w:rPr>
          <w:i/>
        </w:rPr>
        <w:t>« prévoir un avenant substituant CAP Malo au SIVOM et [à] adresser les avis d’échéance à CAP Malo »</w:t>
      </w:r>
      <w:r w:rsidR="00633D2F">
        <w:t xml:space="preserve"> ;</w:t>
      </w:r>
      <w:r w:rsidR="00326B91">
        <w:t xml:space="preserve"> </w:t>
      </w:r>
      <w:r w:rsidR="00326B91">
        <w:rPr>
          <w:szCs w:val="24"/>
        </w:rPr>
        <w:t xml:space="preserve">qu’ainsi </w:t>
      </w:r>
      <w:r w:rsidR="004E622C">
        <w:rPr>
          <w:szCs w:val="24"/>
        </w:rPr>
        <w:t>l</w:t>
      </w:r>
      <w:r w:rsidR="00326B91">
        <w:rPr>
          <w:szCs w:val="24"/>
        </w:rPr>
        <w:t xml:space="preserve">es pièces </w:t>
      </w:r>
      <w:r w:rsidR="004E622C">
        <w:rPr>
          <w:szCs w:val="24"/>
        </w:rPr>
        <w:t xml:space="preserve">correspondantes </w:t>
      </w:r>
      <w:r w:rsidR="00326B91">
        <w:rPr>
          <w:szCs w:val="24"/>
        </w:rPr>
        <w:t>ne peuvent davantage être admises</w:t>
      </w:r>
      <w:r w:rsidR="00752B91">
        <w:rPr>
          <w:szCs w:val="24"/>
        </w:rPr>
        <w:t xml:space="preserve"> </w:t>
      </w:r>
      <w:r w:rsidR="00326B91">
        <w:rPr>
          <w:szCs w:val="24"/>
        </w:rPr>
        <w:t>à décharge ;</w:t>
      </w:r>
    </w:p>
    <w:p w:rsidR="00E401AA" w:rsidRDefault="00434D56" w:rsidP="00350A33">
      <w:pPr>
        <w:pStyle w:val="PS"/>
        <w:ind w:left="540"/>
        <w:rPr>
          <w:rFonts w:ascii="Times New Roman" w:hAnsi="Times New Roman"/>
        </w:rPr>
      </w:pPr>
      <w:r>
        <w:rPr>
          <w:rFonts w:ascii="Times New Roman" w:hAnsi="Times New Roman"/>
        </w:rPr>
        <w:t xml:space="preserve">Attendu </w:t>
      </w:r>
      <w:r w:rsidR="005D401B">
        <w:rPr>
          <w:rFonts w:ascii="Times New Roman" w:hAnsi="Times New Roman"/>
        </w:rPr>
        <w:t xml:space="preserve">toutefois </w:t>
      </w:r>
      <w:r w:rsidR="00BA08AE">
        <w:rPr>
          <w:rFonts w:ascii="Times New Roman" w:hAnsi="Times New Roman"/>
        </w:rPr>
        <w:t>qu’</w:t>
      </w:r>
      <w:r>
        <w:rPr>
          <w:rFonts w:ascii="Times New Roman" w:hAnsi="Times New Roman"/>
        </w:rPr>
        <w:t xml:space="preserve">un </w:t>
      </w:r>
      <w:r w:rsidR="005D401B">
        <w:rPr>
          <w:rFonts w:ascii="Times New Roman" w:hAnsi="Times New Roman"/>
        </w:rPr>
        <w:t xml:space="preserve">tableau </w:t>
      </w:r>
      <w:r w:rsidR="00326B91">
        <w:rPr>
          <w:rFonts w:ascii="Times New Roman" w:hAnsi="Times New Roman"/>
        </w:rPr>
        <w:t xml:space="preserve">intitulé </w:t>
      </w:r>
      <w:r>
        <w:rPr>
          <w:rFonts w:ascii="Times New Roman" w:hAnsi="Times New Roman"/>
        </w:rPr>
        <w:t>« état de la dette »</w:t>
      </w:r>
      <w:r w:rsidR="004E622C">
        <w:rPr>
          <w:rFonts w:ascii="Times New Roman" w:hAnsi="Times New Roman"/>
        </w:rPr>
        <w:t xml:space="preserve"> était </w:t>
      </w:r>
      <w:r>
        <w:rPr>
          <w:rFonts w:ascii="Times New Roman" w:hAnsi="Times New Roman"/>
        </w:rPr>
        <w:t>annexé au budget primitif pour 2005 de la communauté d’aggloméra</w:t>
      </w:r>
      <w:r w:rsidR="00350A33">
        <w:rPr>
          <w:rFonts w:ascii="Times New Roman" w:hAnsi="Times New Roman"/>
        </w:rPr>
        <w:t xml:space="preserve">tion </w:t>
      </w:r>
      <w:r>
        <w:rPr>
          <w:rFonts w:ascii="Times New Roman" w:hAnsi="Times New Roman"/>
        </w:rPr>
        <w:t>; que ce</w:t>
      </w:r>
      <w:r w:rsidR="00633D2F">
        <w:rPr>
          <w:rFonts w:ascii="Times New Roman" w:hAnsi="Times New Roman"/>
        </w:rPr>
        <w:t xml:space="preserve"> document</w:t>
      </w:r>
      <w:r w:rsidR="002427B0">
        <w:rPr>
          <w:rFonts w:ascii="Times New Roman" w:hAnsi="Times New Roman"/>
        </w:rPr>
        <w:t xml:space="preserve"> </w:t>
      </w:r>
      <w:r>
        <w:rPr>
          <w:rFonts w:ascii="Times New Roman" w:hAnsi="Times New Roman"/>
        </w:rPr>
        <w:t xml:space="preserve">mentionne </w:t>
      </w:r>
      <w:r w:rsidR="002A2B9C">
        <w:rPr>
          <w:rFonts w:ascii="Times New Roman" w:hAnsi="Times New Roman"/>
        </w:rPr>
        <w:t>explicitement</w:t>
      </w:r>
      <w:r w:rsidR="001D72E8">
        <w:rPr>
          <w:rFonts w:ascii="Times New Roman" w:hAnsi="Times New Roman"/>
        </w:rPr>
        <w:t>, pour chacun d</w:t>
      </w:r>
      <w:r>
        <w:rPr>
          <w:rFonts w:ascii="Times New Roman" w:hAnsi="Times New Roman"/>
        </w:rPr>
        <w:t>es trois emprunts concernés</w:t>
      </w:r>
      <w:r w:rsidR="005D401B">
        <w:rPr>
          <w:rFonts w:ascii="Times New Roman" w:hAnsi="Times New Roman"/>
        </w:rPr>
        <w:t xml:space="preserve">, </w:t>
      </w:r>
      <w:r w:rsidR="00D36B83">
        <w:rPr>
          <w:rFonts w:ascii="Times New Roman" w:hAnsi="Times New Roman"/>
        </w:rPr>
        <w:t>le nom du prêteur, le capital à rembourser, le montant de l’annuité, la durée de remboursement et l’équipement auquel l’emprunt est affecté</w:t>
      </w:r>
      <w:r w:rsidR="00C87EF4">
        <w:rPr>
          <w:rFonts w:ascii="Times New Roman" w:hAnsi="Times New Roman"/>
        </w:rPr>
        <w:t xml:space="preserve"> ; </w:t>
      </w:r>
      <w:r w:rsidR="00350A33">
        <w:rPr>
          <w:rFonts w:ascii="Times New Roman" w:hAnsi="Times New Roman"/>
        </w:rPr>
        <w:t xml:space="preserve">que </w:t>
      </w:r>
      <w:r w:rsidR="00137C18">
        <w:rPr>
          <w:rFonts w:ascii="Times New Roman" w:hAnsi="Times New Roman"/>
        </w:rPr>
        <w:t>leurs</w:t>
      </w:r>
      <w:r w:rsidR="00BA08AE">
        <w:rPr>
          <w:rFonts w:ascii="Times New Roman" w:hAnsi="Times New Roman"/>
        </w:rPr>
        <w:t xml:space="preserve"> caractéristiques sont les mêm</w:t>
      </w:r>
      <w:r w:rsidR="00752B91">
        <w:rPr>
          <w:rFonts w:ascii="Times New Roman" w:hAnsi="Times New Roman"/>
        </w:rPr>
        <w:t>e</w:t>
      </w:r>
      <w:r w:rsidR="00BA08AE">
        <w:rPr>
          <w:rFonts w:ascii="Times New Roman" w:hAnsi="Times New Roman"/>
        </w:rPr>
        <w:t xml:space="preserve">s que celles </w:t>
      </w:r>
      <w:r w:rsidR="00350A33">
        <w:rPr>
          <w:rFonts w:ascii="Times New Roman" w:hAnsi="Times New Roman"/>
        </w:rPr>
        <w:t xml:space="preserve"> des contrats d’emprunt </w:t>
      </w:r>
      <w:r w:rsidR="003559A7">
        <w:rPr>
          <w:rFonts w:ascii="Times New Roman" w:hAnsi="Times New Roman"/>
        </w:rPr>
        <w:t xml:space="preserve">conclus entre le SIVOM de Cancale et </w:t>
      </w:r>
      <w:r w:rsidR="00350A33">
        <w:rPr>
          <w:rFonts w:ascii="Times New Roman" w:hAnsi="Times New Roman"/>
        </w:rPr>
        <w:t xml:space="preserve">le Crédit </w:t>
      </w:r>
      <w:r w:rsidR="00702162">
        <w:rPr>
          <w:rFonts w:ascii="Times New Roman" w:hAnsi="Times New Roman"/>
        </w:rPr>
        <w:t>l</w:t>
      </w:r>
      <w:r w:rsidR="00350A33">
        <w:rPr>
          <w:rFonts w:ascii="Times New Roman" w:hAnsi="Times New Roman"/>
        </w:rPr>
        <w:t>ocal de France</w:t>
      </w:r>
      <w:r w:rsidR="00752B91">
        <w:rPr>
          <w:rFonts w:ascii="Times New Roman" w:hAnsi="Times New Roman"/>
        </w:rPr>
        <w:t xml:space="preserve"> ; que ce document </w:t>
      </w:r>
      <w:r w:rsidR="00350A33">
        <w:rPr>
          <w:rFonts w:ascii="Times New Roman" w:hAnsi="Times New Roman"/>
        </w:rPr>
        <w:t>traduit</w:t>
      </w:r>
      <w:r w:rsidR="003559A7">
        <w:rPr>
          <w:rFonts w:ascii="Times New Roman" w:hAnsi="Times New Roman"/>
        </w:rPr>
        <w:t xml:space="preserve"> </w:t>
      </w:r>
      <w:r w:rsidR="00752B91">
        <w:rPr>
          <w:rFonts w:ascii="Times New Roman" w:hAnsi="Times New Roman"/>
        </w:rPr>
        <w:t xml:space="preserve">donc </w:t>
      </w:r>
      <w:r w:rsidR="003559A7">
        <w:rPr>
          <w:rFonts w:ascii="Times New Roman" w:hAnsi="Times New Roman"/>
        </w:rPr>
        <w:t>en l’espèce</w:t>
      </w:r>
      <w:r w:rsidR="00350A33">
        <w:rPr>
          <w:rFonts w:ascii="Times New Roman" w:hAnsi="Times New Roman"/>
        </w:rPr>
        <w:t xml:space="preserve"> </w:t>
      </w:r>
      <w:r>
        <w:rPr>
          <w:rFonts w:ascii="Times New Roman" w:hAnsi="Times New Roman"/>
        </w:rPr>
        <w:t>la constatation par l</w:t>
      </w:r>
      <w:r w:rsidR="00110361">
        <w:rPr>
          <w:rFonts w:ascii="Times New Roman" w:hAnsi="Times New Roman"/>
        </w:rPr>
        <w:t>e conseil de la</w:t>
      </w:r>
      <w:r>
        <w:rPr>
          <w:rFonts w:ascii="Times New Roman" w:hAnsi="Times New Roman"/>
        </w:rPr>
        <w:t xml:space="preserve"> communauté d’agglomération qu</w:t>
      </w:r>
      <w:r w:rsidR="00110361">
        <w:rPr>
          <w:rFonts w:ascii="Times New Roman" w:hAnsi="Times New Roman"/>
        </w:rPr>
        <w:t xml:space="preserve">e cette dernière </w:t>
      </w:r>
      <w:r>
        <w:rPr>
          <w:rFonts w:ascii="Times New Roman" w:hAnsi="Times New Roman"/>
        </w:rPr>
        <w:t xml:space="preserve">est substituée au SIVOM </w:t>
      </w:r>
      <w:r w:rsidR="002144E2">
        <w:rPr>
          <w:rFonts w:ascii="Times New Roman" w:hAnsi="Times New Roman"/>
        </w:rPr>
        <w:t xml:space="preserve">de Cancale </w:t>
      </w:r>
      <w:r>
        <w:rPr>
          <w:rFonts w:ascii="Times New Roman" w:hAnsi="Times New Roman"/>
        </w:rPr>
        <w:t xml:space="preserve">dans </w:t>
      </w:r>
      <w:r w:rsidR="00BA08AE">
        <w:rPr>
          <w:rFonts w:ascii="Times New Roman" w:hAnsi="Times New Roman"/>
        </w:rPr>
        <w:t xml:space="preserve">toutes </w:t>
      </w:r>
      <w:r>
        <w:rPr>
          <w:rFonts w:ascii="Times New Roman" w:hAnsi="Times New Roman"/>
        </w:rPr>
        <w:t>les obligations nées de ces emprunts ;</w:t>
      </w:r>
      <w:r w:rsidR="002427B0">
        <w:rPr>
          <w:rFonts w:ascii="Times New Roman" w:hAnsi="Times New Roman"/>
        </w:rPr>
        <w:t xml:space="preserve"> </w:t>
      </w:r>
      <w:r w:rsidR="005D401B">
        <w:rPr>
          <w:rFonts w:ascii="Times New Roman" w:hAnsi="Times New Roman"/>
        </w:rPr>
        <w:t>qu</w:t>
      </w:r>
      <w:r w:rsidR="00350A33">
        <w:rPr>
          <w:rFonts w:ascii="Times New Roman" w:hAnsi="Times New Roman"/>
        </w:rPr>
        <w:t>e ce document</w:t>
      </w:r>
      <w:r w:rsidR="005D401B">
        <w:rPr>
          <w:rFonts w:ascii="Times New Roman" w:hAnsi="Times New Roman"/>
        </w:rPr>
        <w:t xml:space="preserve"> ne saurait toutefois valoir </w:t>
      </w:r>
      <w:r w:rsidR="00494003">
        <w:rPr>
          <w:rFonts w:ascii="Times New Roman" w:hAnsi="Times New Roman"/>
        </w:rPr>
        <w:t>comme justificati</w:t>
      </w:r>
      <w:r w:rsidR="00137C18">
        <w:rPr>
          <w:rFonts w:ascii="Times New Roman" w:hAnsi="Times New Roman"/>
        </w:rPr>
        <w:t>on</w:t>
      </w:r>
      <w:r w:rsidR="00752B91">
        <w:rPr>
          <w:rFonts w:ascii="Times New Roman" w:hAnsi="Times New Roman"/>
        </w:rPr>
        <w:t xml:space="preserve"> à décharge,</w:t>
      </w:r>
      <w:r w:rsidR="00BA08AE">
        <w:rPr>
          <w:rFonts w:ascii="Times New Roman" w:hAnsi="Times New Roman"/>
        </w:rPr>
        <w:t xml:space="preserve"> </w:t>
      </w:r>
      <w:r w:rsidR="005D401B">
        <w:rPr>
          <w:rFonts w:ascii="Times New Roman" w:hAnsi="Times New Roman"/>
        </w:rPr>
        <w:t>qu</w:t>
      </w:r>
      <w:r w:rsidR="00E401AA">
        <w:rPr>
          <w:rFonts w:ascii="Times New Roman" w:hAnsi="Times New Roman"/>
        </w:rPr>
        <w:t xml:space="preserve">’à partir du moment où </w:t>
      </w:r>
      <w:r w:rsidR="00752B91">
        <w:rPr>
          <w:rFonts w:ascii="Times New Roman" w:hAnsi="Times New Roman"/>
        </w:rPr>
        <w:t>le budget auquel il était annexé</w:t>
      </w:r>
      <w:r w:rsidR="00E401AA">
        <w:rPr>
          <w:rFonts w:ascii="Times New Roman" w:hAnsi="Times New Roman"/>
        </w:rPr>
        <w:t xml:space="preserve"> a été exécutoire ;</w:t>
      </w:r>
    </w:p>
    <w:p w:rsidR="000568CD" w:rsidRDefault="00E401AA" w:rsidP="00350A33">
      <w:pPr>
        <w:pStyle w:val="PS"/>
        <w:ind w:left="540"/>
        <w:rPr>
          <w:rFonts w:ascii="Times New Roman" w:hAnsi="Times New Roman"/>
        </w:rPr>
      </w:pPr>
      <w:r>
        <w:rPr>
          <w:rFonts w:ascii="Times New Roman" w:hAnsi="Times New Roman"/>
        </w:rPr>
        <w:t xml:space="preserve">Attendu que la délibération </w:t>
      </w:r>
      <w:r w:rsidR="00BC1346">
        <w:rPr>
          <w:rFonts w:ascii="Times New Roman" w:hAnsi="Times New Roman"/>
        </w:rPr>
        <w:t>du 24</w:t>
      </w:r>
      <w:r w:rsidR="00E67B05">
        <w:rPr>
          <w:rFonts w:ascii="Times New Roman" w:hAnsi="Times New Roman"/>
        </w:rPr>
        <w:t> </w:t>
      </w:r>
      <w:r w:rsidR="00BC1346">
        <w:rPr>
          <w:rFonts w:ascii="Times New Roman" w:hAnsi="Times New Roman"/>
        </w:rPr>
        <w:t>mars</w:t>
      </w:r>
      <w:r w:rsidR="00E67B05">
        <w:rPr>
          <w:rFonts w:ascii="Times New Roman" w:hAnsi="Times New Roman"/>
        </w:rPr>
        <w:t> </w:t>
      </w:r>
      <w:r w:rsidR="00BC1346">
        <w:rPr>
          <w:rFonts w:ascii="Times New Roman" w:hAnsi="Times New Roman"/>
        </w:rPr>
        <w:t xml:space="preserve">2005 par laquelle le conseil communautaire a adopté </w:t>
      </w:r>
      <w:r>
        <w:rPr>
          <w:rFonts w:ascii="Times New Roman" w:hAnsi="Times New Roman"/>
        </w:rPr>
        <w:t xml:space="preserve">le budget primitif pour 2005, reçue le 30 mars 2005 à la sous-préfecture de Saint-Malo, est devenue exécutoire au plus tôt à cette seconde date ; qu’il y a ainsi lieu de considérer que les mandats payés </w:t>
      </w:r>
      <w:r w:rsidR="00BC1346">
        <w:rPr>
          <w:rFonts w:ascii="Times New Roman" w:hAnsi="Times New Roman"/>
        </w:rPr>
        <w:t xml:space="preserve">avant le </w:t>
      </w:r>
      <w:r>
        <w:rPr>
          <w:rFonts w:ascii="Times New Roman" w:hAnsi="Times New Roman"/>
        </w:rPr>
        <w:t xml:space="preserve">30 mars 2005 </w:t>
      </w:r>
      <w:r w:rsidR="00BC1346">
        <w:rPr>
          <w:rFonts w:ascii="Times New Roman" w:hAnsi="Times New Roman"/>
        </w:rPr>
        <w:t>ne</w:t>
      </w:r>
      <w:r w:rsidR="00702162">
        <w:rPr>
          <w:rFonts w:ascii="Times New Roman" w:hAnsi="Times New Roman"/>
        </w:rPr>
        <w:t xml:space="preserve"> </w:t>
      </w:r>
      <w:r>
        <w:rPr>
          <w:rFonts w:ascii="Times New Roman" w:hAnsi="Times New Roman"/>
        </w:rPr>
        <w:t xml:space="preserve">peuvent être admis </w:t>
      </w:r>
      <w:r w:rsidR="000568CD">
        <w:rPr>
          <w:rFonts w:ascii="Times New Roman" w:hAnsi="Times New Roman"/>
        </w:rPr>
        <w:t>;</w:t>
      </w:r>
    </w:p>
    <w:p w:rsidR="00434D56" w:rsidRDefault="000568CD" w:rsidP="000568CD">
      <w:pPr>
        <w:pStyle w:val="PS"/>
        <w:ind w:left="540"/>
        <w:rPr>
          <w:rFonts w:ascii="Times New Roman" w:hAnsi="Times New Roman"/>
        </w:rPr>
      </w:pPr>
      <w:r>
        <w:rPr>
          <w:rFonts w:ascii="Times New Roman" w:hAnsi="Times New Roman"/>
        </w:rPr>
        <w:t xml:space="preserve">Qu’il y a donc lieu de lever l’injonction ; </w:t>
      </w:r>
      <w:r w:rsidR="00434D56">
        <w:rPr>
          <w:rFonts w:ascii="Times New Roman" w:hAnsi="Times New Roman"/>
        </w:rPr>
        <w:t>de constituer M.</w:t>
      </w:r>
      <w:r>
        <w:rPr>
          <w:rFonts w:ascii="Times New Roman" w:hAnsi="Times New Roman"/>
        </w:rPr>
        <w:t> </w:t>
      </w:r>
      <w:r w:rsidR="00875F69">
        <w:rPr>
          <w:rFonts w:ascii="Times New Roman" w:hAnsi="Times New Roman"/>
        </w:rPr>
        <w:t xml:space="preserve">X </w:t>
      </w:r>
      <w:r w:rsidR="00585666">
        <w:rPr>
          <w:rFonts w:ascii="Times New Roman" w:hAnsi="Times New Roman"/>
        </w:rPr>
        <w:t>débiteur de la communaut</w:t>
      </w:r>
      <w:r w:rsidR="00BC1346">
        <w:rPr>
          <w:rFonts w:ascii="Times New Roman" w:hAnsi="Times New Roman"/>
        </w:rPr>
        <w:t>é d’agglomération de Saint-M</w:t>
      </w:r>
      <w:r w:rsidR="00C87EF4">
        <w:rPr>
          <w:rFonts w:ascii="Times New Roman" w:hAnsi="Times New Roman"/>
        </w:rPr>
        <w:t>alo de la somme</w:t>
      </w:r>
      <w:r w:rsidR="00434D56">
        <w:rPr>
          <w:rFonts w:ascii="Times New Roman" w:hAnsi="Times New Roman"/>
        </w:rPr>
        <w:t xml:space="preserve"> de</w:t>
      </w:r>
      <w:r w:rsidR="00702162">
        <w:rPr>
          <w:rFonts w:ascii="Times New Roman" w:hAnsi="Times New Roman"/>
        </w:rPr>
        <w:t xml:space="preserve"> </w:t>
      </w:r>
      <w:bookmarkStart w:id="0" w:name="_GoBack"/>
      <w:bookmarkEnd w:id="0"/>
      <w:r w:rsidR="00E401AA">
        <w:rPr>
          <w:rFonts w:ascii="Times New Roman" w:hAnsi="Times New Roman"/>
        </w:rPr>
        <w:t>5</w:t>
      </w:r>
      <w:r w:rsidR="00434D56">
        <w:rPr>
          <w:rFonts w:ascii="Times New Roman" w:hAnsi="Times New Roman"/>
        </w:rPr>
        <w:t>8 </w:t>
      </w:r>
      <w:r w:rsidR="00E401AA">
        <w:rPr>
          <w:rFonts w:ascii="Times New Roman" w:hAnsi="Times New Roman"/>
        </w:rPr>
        <w:t>4</w:t>
      </w:r>
      <w:r w:rsidR="00434D56">
        <w:rPr>
          <w:rFonts w:ascii="Times New Roman" w:hAnsi="Times New Roman"/>
        </w:rPr>
        <w:t>5</w:t>
      </w:r>
      <w:r w:rsidR="00E401AA">
        <w:rPr>
          <w:rFonts w:ascii="Times New Roman" w:hAnsi="Times New Roman"/>
        </w:rPr>
        <w:t>1</w:t>
      </w:r>
      <w:r w:rsidR="00434D56">
        <w:rPr>
          <w:rFonts w:ascii="Times New Roman" w:hAnsi="Times New Roman"/>
        </w:rPr>
        <w:t>,</w:t>
      </w:r>
      <w:r w:rsidR="00E401AA">
        <w:rPr>
          <w:rFonts w:ascii="Times New Roman" w:hAnsi="Times New Roman"/>
        </w:rPr>
        <w:t>47</w:t>
      </w:r>
      <w:r w:rsidR="00925AE5">
        <w:rPr>
          <w:rFonts w:ascii="Times New Roman" w:hAnsi="Times New Roman"/>
        </w:rPr>
        <w:t> </w:t>
      </w:r>
      <w:r w:rsidR="00434D56">
        <w:rPr>
          <w:rFonts w:ascii="Times New Roman" w:hAnsi="Times New Roman"/>
        </w:rPr>
        <w:t xml:space="preserve">€ selon </w:t>
      </w:r>
      <w:r w:rsidR="00BC1346">
        <w:rPr>
          <w:rFonts w:ascii="Times New Roman" w:hAnsi="Times New Roman"/>
        </w:rPr>
        <w:t xml:space="preserve">le tableau </w:t>
      </w:r>
      <w:r w:rsidR="00434D56">
        <w:rPr>
          <w:rFonts w:ascii="Times New Roman" w:hAnsi="Times New Roman"/>
        </w:rPr>
        <w:t>annex</w:t>
      </w:r>
      <w:r w:rsidR="00BC1346">
        <w:rPr>
          <w:rFonts w:ascii="Times New Roman" w:hAnsi="Times New Roman"/>
        </w:rPr>
        <w:t>é</w:t>
      </w:r>
      <w:r w:rsidR="00434D56">
        <w:rPr>
          <w:rFonts w:ascii="Times New Roman" w:hAnsi="Times New Roman"/>
        </w:rPr>
        <w:t xml:space="preserve"> au présent arrêt ;</w:t>
      </w:r>
      <w:r w:rsidR="00BC1346">
        <w:rPr>
          <w:rFonts w:ascii="Times New Roman" w:hAnsi="Times New Roman"/>
        </w:rPr>
        <w:t xml:space="preserve"> de dire n’y avoir lieu à charge pour les autres paiements ;</w:t>
      </w:r>
    </w:p>
    <w:p w:rsidR="00585666" w:rsidRPr="00585666" w:rsidRDefault="00585666" w:rsidP="000568CD">
      <w:pPr>
        <w:pStyle w:val="PS"/>
        <w:ind w:left="540"/>
        <w:rPr>
          <w:rFonts w:ascii="Times New Roman" w:hAnsi="Times New Roman"/>
          <w:i/>
        </w:rPr>
      </w:pPr>
      <w:r w:rsidRPr="00585666">
        <w:rPr>
          <w:rFonts w:ascii="Times New Roman" w:hAnsi="Times New Roman"/>
          <w:i/>
        </w:rPr>
        <w:lastRenderedPageBreak/>
        <w:t>Sur le point de départ des intérêts légaux</w:t>
      </w:r>
    </w:p>
    <w:p w:rsidR="000568CD" w:rsidRDefault="000568CD" w:rsidP="000568CD">
      <w:pPr>
        <w:pStyle w:val="PS"/>
        <w:ind w:left="540"/>
        <w:rPr>
          <w:rFonts w:ascii="Times New Roman" w:hAnsi="Times New Roman"/>
        </w:rPr>
      </w:pPr>
      <w:r>
        <w:rPr>
          <w:rFonts w:ascii="Times New Roman" w:hAnsi="Times New Roman"/>
        </w:rPr>
        <w:t>Attendu que, compte tenu de la reprise de la procédure</w:t>
      </w:r>
      <w:r w:rsidR="002144E2">
        <w:rPr>
          <w:rFonts w:ascii="Times New Roman" w:hAnsi="Times New Roman"/>
        </w:rPr>
        <w:t xml:space="preserve"> par la Cour à un stade antérieur au jugement du 21 avril 2008 susvisé</w:t>
      </w:r>
      <w:r>
        <w:rPr>
          <w:rFonts w:ascii="Times New Roman" w:hAnsi="Times New Roman"/>
        </w:rPr>
        <w:t xml:space="preserve">, </w:t>
      </w:r>
      <w:r w:rsidR="003559A7">
        <w:rPr>
          <w:rFonts w:ascii="Times New Roman" w:hAnsi="Times New Roman"/>
        </w:rPr>
        <w:t xml:space="preserve">la charge est réputée avoir été prononcée pour la première fois par l’arrêt </w:t>
      </w:r>
      <w:r w:rsidR="003559A7">
        <w:t>n°</w:t>
      </w:r>
      <w:r w:rsidR="004269E7">
        <w:t> </w:t>
      </w:r>
      <w:r w:rsidR="003559A7">
        <w:t>64342</w:t>
      </w:r>
      <w:r w:rsidR="00BC36F7">
        <w:t xml:space="preserve"> </w:t>
      </w:r>
      <w:r w:rsidR="00110361">
        <w:t xml:space="preserve">précité </w:t>
      </w:r>
      <w:r w:rsidR="003559A7">
        <w:t xml:space="preserve">; qu’il </w:t>
      </w:r>
      <w:r>
        <w:rPr>
          <w:rFonts w:ascii="Times New Roman" w:hAnsi="Times New Roman"/>
        </w:rPr>
        <w:t xml:space="preserve">convient </w:t>
      </w:r>
      <w:r w:rsidR="003559A7">
        <w:rPr>
          <w:rFonts w:ascii="Times New Roman" w:hAnsi="Times New Roman"/>
        </w:rPr>
        <w:t xml:space="preserve">donc </w:t>
      </w:r>
      <w:r>
        <w:rPr>
          <w:rFonts w:ascii="Times New Roman" w:hAnsi="Times New Roman"/>
        </w:rPr>
        <w:t xml:space="preserve">de fixer le point de départ des intérêts </w:t>
      </w:r>
      <w:r w:rsidR="002144E2">
        <w:rPr>
          <w:rFonts w:ascii="Times New Roman" w:hAnsi="Times New Roman"/>
        </w:rPr>
        <w:t>à la date de réception par M.</w:t>
      </w:r>
      <w:r w:rsidR="00C87EF4">
        <w:rPr>
          <w:rFonts w:ascii="Times New Roman" w:hAnsi="Times New Roman"/>
        </w:rPr>
        <w:t> </w:t>
      </w:r>
      <w:r w:rsidR="00875F69">
        <w:rPr>
          <w:rFonts w:ascii="Times New Roman" w:hAnsi="Times New Roman"/>
        </w:rPr>
        <w:t xml:space="preserve">X </w:t>
      </w:r>
      <w:r w:rsidR="002144E2">
        <w:rPr>
          <w:rFonts w:ascii="Times New Roman" w:hAnsi="Times New Roman"/>
        </w:rPr>
        <w:t>d</w:t>
      </w:r>
      <w:r w:rsidR="003559A7">
        <w:rPr>
          <w:rFonts w:ascii="Times New Roman" w:hAnsi="Times New Roman"/>
        </w:rPr>
        <w:t>udit arrêt</w:t>
      </w:r>
      <w:r w:rsidR="002144E2">
        <w:t xml:space="preserve">, soit le </w:t>
      </w:r>
      <w:r w:rsidR="00052EEC">
        <w:t xml:space="preserve">25 </w:t>
      </w:r>
      <w:r w:rsidR="002144E2">
        <w:t>juillet 2012 ;</w:t>
      </w:r>
    </w:p>
    <w:p w:rsidR="004A0C0E" w:rsidRDefault="004A0C0E" w:rsidP="00D01785">
      <w:pPr>
        <w:pStyle w:val="Corpsdetexte"/>
        <w:spacing w:before="0" w:after="480"/>
        <w:ind w:left="540" w:firstLine="1080"/>
      </w:pPr>
      <w:r>
        <w:t>Par ces motifs,</w:t>
      </w:r>
    </w:p>
    <w:p w:rsidR="004A0C0E" w:rsidRDefault="004A0C0E" w:rsidP="00EE49C2">
      <w:pPr>
        <w:pStyle w:val="Corpsdetexte"/>
        <w:spacing w:before="0" w:after="480"/>
        <w:ind w:left="540" w:firstLine="1260"/>
        <w:jc w:val="center"/>
      </w:pPr>
      <w:r>
        <w:t xml:space="preserve">STATUANT </w:t>
      </w:r>
      <w:r w:rsidR="00FE2861">
        <w:t>DEFIN</w:t>
      </w:r>
      <w:r w:rsidR="00814F30">
        <w:t>I</w:t>
      </w:r>
      <w:r w:rsidR="00FE2861">
        <w:t>TIV</w:t>
      </w:r>
      <w:r w:rsidR="004840E1">
        <w:t>EMENT</w:t>
      </w:r>
      <w:r>
        <w:t>,</w:t>
      </w:r>
    </w:p>
    <w:p w:rsidR="004A0C0E" w:rsidRDefault="004A0C0E" w:rsidP="00EE49C2">
      <w:pPr>
        <w:pStyle w:val="Corpsdetexte"/>
        <w:spacing w:before="0" w:after="480"/>
        <w:ind w:left="540" w:firstLine="1260"/>
        <w:jc w:val="center"/>
      </w:pPr>
      <w:r>
        <w:t>ORDONNE :</w:t>
      </w:r>
    </w:p>
    <w:p w:rsidR="004A0C0E" w:rsidRDefault="0002354D" w:rsidP="00FE2861">
      <w:pPr>
        <w:pStyle w:val="Corpsdetexte"/>
        <w:spacing w:before="0" w:after="480"/>
        <w:ind w:left="540" w:firstLine="1080"/>
      </w:pPr>
      <w:r>
        <w:t xml:space="preserve">Article </w:t>
      </w:r>
      <w:r w:rsidR="000568CD">
        <w:t>1</w:t>
      </w:r>
      <w:r w:rsidR="000568CD" w:rsidRPr="000568CD">
        <w:rPr>
          <w:vertAlign w:val="superscript"/>
        </w:rPr>
        <w:t>er</w:t>
      </w:r>
      <w:r>
        <w:t>.</w:t>
      </w:r>
      <w:r w:rsidR="00C87EF4">
        <w:t> </w:t>
      </w:r>
      <w:r w:rsidR="00434D56">
        <w:t>–</w:t>
      </w:r>
      <w:r w:rsidR="00C87EF4">
        <w:t> </w:t>
      </w:r>
      <w:r w:rsidR="00434D56">
        <w:t xml:space="preserve">L’injonction prononcée par l’arrêt </w:t>
      </w:r>
      <w:r w:rsidR="000568CD">
        <w:t>n°</w:t>
      </w:r>
      <w:r w:rsidR="009E3EDB">
        <w:t> </w:t>
      </w:r>
      <w:r w:rsidR="000568CD">
        <w:t>64342 est levée</w:t>
      </w:r>
      <w:r w:rsidR="00DE3530">
        <w:t>.</w:t>
      </w:r>
    </w:p>
    <w:p w:rsidR="000568CD" w:rsidRDefault="000568CD" w:rsidP="00FE2861">
      <w:pPr>
        <w:pStyle w:val="Corpsdetexte"/>
        <w:spacing w:before="0" w:after="480"/>
        <w:ind w:left="540" w:firstLine="1080"/>
      </w:pPr>
      <w:r>
        <w:t xml:space="preserve">Article </w:t>
      </w:r>
      <w:r w:rsidR="00BC1346">
        <w:t>2</w:t>
      </w:r>
      <w:r>
        <w:t>.</w:t>
      </w:r>
      <w:r w:rsidR="004269E7">
        <w:t> </w:t>
      </w:r>
      <w:r>
        <w:t>–</w:t>
      </w:r>
      <w:r w:rsidR="004269E7">
        <w:t> </w:t>
      </w:r>
      <w:r>
        <w:t>M.</w:t>
      </w:r>
      <w:r w:rsidR="004269E7">
        <w:t> </w:t>
      </w:r>
      <w:r w:rsidR="00875F69">
        <w:t xml:space="preserve">X </w:t>
      </w:r>
      <w:r w:rsidR="002144E2">
        <w:t xml:space="preserve">est constitué débiteur des deniers de la communauté d’agglomération de Saint-Malo pour un montant de </w:t>
      </w:r>
      <w:r w:rsidR="00E401AA">
        <w:t>58 451,47</w:t>
      </w:r>
      <w:r w:rsidR="004269E7">
        <w:t> </w:t>
      </w:r>
      <w:r w:rsidR="00E401AA">
        <w:t>€</w:t>
      </w:r>
      <w:r w:rsidR="002144E2">
        <w:t xml:space="preserve">, augmenté des intérêts de droit à compter du </w:t>
      </w:r>
      <w:r w:rsidR="00052EEC">
        <w:t>25</w:t>
      </w:r>
      <w:r w:rsidR="004269E7">
        <w:t> </w:t>
      </w:r>
      <w:r w:rsidR="002144E2">
        <w:t>juillet</w:t>
      </w:r>
      <w:r w:rsidR="004269E7">
        <w:t> </w:t>
      </w:r>
      <w:r w:rsidR="002144E2">
        <w:t>2012</w:t>
      </w:r>
      <w:r w:rsidR="00BC1346">
        <w:t>, et correspondant aux mandats payés avant le 30 mars 2005</w:t>
      </w:r>
      <w:r w:rsidR="002144E2">
        <w:t>.</w:t>
      </w:r>
    </w:p>
    <w:p w:rsidR="00BC1346" w:rsidRDefault="00BC1346" w:rsidP="00BC1346">
      <w:pPr>
        <w:pStyle w:val="Corpsdetexte"/>
        <w:spacing w:before="0" w:after="480"/>
        <w:ind w:left="540" w:firstLine="1080"/>
      </w:pPr>
      <w:r>
        <w:t>Article 3.</w:t>
      </w:r>
      <w:r w:rsidR="00C87EF4">
        <w:t> </w:t>
      </w:r>
      <w:r>
        <w:t>–</w:t>
      </w:r>
      <w:r w:rsidR="00C87EF4">
        <w:t> </w:t>
      </w:r>
      <w:r>
        <w:t>Il n’y a pas lieu à charge pour les autres mandats.</w:t>
      </w:r>
    </w:p>
    <w:p w:rsidR="00736EB4" w:rsidRDefault="00736EB4" w:rsidP="00EE49C2">
      <w:pPr>
        <w:pStyle w:val="PS"/>
        <w:ind w:left="540" w:firstLine="1260"/>
        <w:jc w:val="center"/>
        <w:rPr>
          <w:rFonts w:ascii="Times New Roman" w:hAnsi="Times New Roman"/>
        </w:rPr>
      </w:pPr>
      <w:r>
        <w:rPr>
          <w:rFonts w:ascii="Times New Roman" w:hAnsi="Times New Roman"/>
        </w:rPr>
        <w:t>------------</w:t>
      </w:r>
    </w:p>
    <w:p w:rsidR="00F72DA5" w:rsidRDefault="00F72DA5" w:rsidP="00A2050D">
      <w:pPr>
        <w:pStyle w:val="PS"/>
        <w:spacing w:after="360"/>
        <w:ind w:left="539" w:firstLine="1077"/>
        <w:rPr>
          <w:rFonts w:ascii="Times New Roman" w:hAnsi="Times New Roman"/>
        </w:rPr>
      </w:pPr>
      <w:r w:rsidRPr="00660A6D">
        <w:rPr>
          <w:rFonts w:ascii="Times New Roman" w:hAnsi="Times New Roman"/>
        </w:rPr>
        <w:t>Fait et jugé en la Cour des comptes, quatrième chambre</w:t>
      </w:r>
      <w:r>
        <w:rPr>
          <w:rFonts w:ascii="Times New Roman" w:hAnsi="Times New Roman"/>
        </w:rPr>
        <w:t>, première section. Présents</w:t>
      </w:r>
      <w:r w:rsidR="0053422B">
        <w:rPr>
          <w:rFonts w:ascii="Times New Roman" w:hAnsi="Times New Roman"/>
        </w:rPr>
        <w:t> :</w:t>
      </w:r>
      <w:r>
        <w:rPr>
          <w:rFonts w:ascii="Times New Roman" w:hAnsi="Times New Roman"/>
        </w:rPr>
        <w:t xml:space="preserve"> M.</w:t>
      </w:r>
      <w:r w:rsidR="00896139">
        <w:rPr>
          <w:rFonts w:ascii="Times New Roman" w:hAnsi="Times New Roman"/>
        </w:rPr>
        <w:t> </w:t>
      </w:r>
      <w:r w:rsidR="00FE2861">
        <w:rPr>
          <w:rFonts w:ascii="Times New Roman" w:hAnsi="Times New Roman"/>
        </w:rPr>
        <w:t>Bayle</w:t>
      </w:r>
      <w:r w:rsidRPr="00660A6D">
        <w:rPr>
          <w:rFonts w:ascii="Times New Roman" w:hAnsi="Times New Roman"/>
        </w:rPr>
        <w:t xml:space="preserve">, </w:t>
      </w:r>
      <w:r w:rsidRPr="004D53E3">
        <w:rPr>
          <w:rFonts w:ascii="Times New Roman" w:hAnsi="Times New Roman"/>
        </w:rPr>
        <w:t xml:space="preserve">président, </w:t>
      </w:r>
      <w:r w:rsidR="006A6860" w:rsidRPr="004D53E3">
        <w:rPr>
          <w:rFonts w:ascii="Times New Roman" w:hAnsi="Times New Roman"/>
        </w:rPr>
        <w:t>M.</w:t>
      </w:r>
      <w:r w:rsidR="004269E7">
        <w:rPr>
          <w:rFonts w:ascii="Times New Roman" w:hAnsi="Times New Roman"/>
        </w:rPr>
        <w:t> </w:t>
      </w:r>
      <w:r w:rsidR="006A6860" w:rsidRPr="004D53E3">
        <w:rPr>
          <w:rFonts w:ascii="Times New Roman" w:hAnsi="Times New Roman"/>
        </w:rPr>
        <w:t>Ganser, Mme</w:t>
      </w:r>
      <w:r w:rsidR="004D53E3" w:rsidRPr="004D53E3">
        <w:rPr>
          <w:rFonts w:ascii="Times New Roman" w:hAnsi="Times New Roman"/>
        </w:rPr>
        <w:t>s</w:t>
      </w:r>
      <w:r w:rsidR="006A6860" w:rsidRPr="004D53E3">
        <w:rPr>
          <w:rFonts w:ascii="Times New Roman" w:hAnsi="Times New Roman"/>
        </w:rPr>
        <w:t xml:space="preserve"> </w:t>
      </w:r>
      <w:proofErr w:type="spellStart"/>
      <w:r w:rsidR="006A6860" w:rsidRPr="004D53E3">
        <w:rPr>
          <w:rFonts w:ascii="Times New Roman" w:hAnsi="Times New Roman"/>
        </w:rPr>
        <w:t>Gadriot</w:t>
      </w:r>
      <w:proofErr w:type="spellEnd"/>
      <w:r w:rsidR="006A6860" w:rsidRPr="004D53E3">
        <w:rPr>
          <w:rFonts w:ascii="Times New Roman" w:hAnsi="Times New Roman"/>
        </w:rPr>
        <w:t xml:space="preserve">-Renard et </w:t>
      </w:r>
      <w:proofErr w:type="spellStart"/>
      <w:r w:rsidR="006A6860" w:rsidRPr="004D53E3">
        <w:rPr>
          <w:rFonts w:ascii="Times New Roman" w:hAnsi="Times New Roman"/>
        </w:rPr>
        <w:t>Démier</w:t>
      </w:r>
      <w:proofErr w:type="spellEnd"/>
      <w:r w:rsidRPr="004D53E3">
        <w:rPr>
          <w:rFonts w:ascii="Times New Roman" w:hAnsi="Times New Roman"/>
        </w:rPr>
        <w:t xml:space="preserve">, </w:t>
      </w:r>
      <w:r w:rsidR="006A6860" w:rsidRPr="004D53E3">
        <w:rPr>
          <w:rFonts w:ascii="Times New Roman" w:hAnsi="Times New Roman"/>
        </w:rPr>
        <w:t>conseill</w:t>
      </w:r>
      <w:r w:rsidR="002776FB" w:rsidRPr="004D53E3">
        <w:rPr>
          <w:rFonts w:ascii="Times New Roman" w:hAnsi="Times New Roman"/>
        </w:rPr>
        <w:t>ers</w:t>
      </w:r>
      <w:r w:rsidR="006A6860" w:rsidRPr="004D53E3">
        <w:rPr>
          <w:rFonts w:ascii="Times New Roman" w:hAnsi="Times New Roman"/>
        </w:rPr>
        <w:t xml:space="preserve"> </w:t>
      </w:r>
      <w:r w:rsidRPr="004D53E3">
        <w:rPr>
          <w:rFonts w:ascii="Times New Roman" w:hAnsi="Times New Roman"/>
        </w:rPr>
        <w:t>maîtres.</w:t>
      </w:r>
    </w:p>
    <w:p w:rsidR="00904F75" w:rsidRDefault="00904F75" w:rsidP="00D01785">
      <w:pPr>
        <w:pStyle w:val="PS"/>
        <w:ind w:left="540" w:firstLine="1080"/>
        <w:rPr>
          <w:rFonts w:ascii="Times New Roman" w:hAnsi="Times New Roman"/>
        </w:rPr>
      </w:pPr>
      <w:r>
        <w:t xml:space="preserve">Signé : </w:t>
      </w:r>
      <w:r w:rsidR="00FE2861">
        <w:t>Bayle</w:t>
      </w:r>
      <w:r w:rsidR="008409BD">
        <w:t>, président</w:t>
      </w:r>
      <w:r>
        <w:t>, et</w:t>
      </w:r>
      <w:r w:rsidR="008409BD">
        <w:t xml:space="preserve"> Rey</w:t>
      </w:r>
      <w:r w:rsidR="001D2904">
        <w:t>nau</w:t>
      </w:r>
      <w:r w:rsidR="008409BD">
        <w:t>d, greffier</w:t>
      </w:r>
      <w:r w:rsidRPr="00660A6D">
        <w:rPr>
          <w:rFonts w:ascii="Times New Roman" w:hAnsi="Times New Roman"/>
        </w:rPr>
        <w:t>.</w:t>
      </w:r>
    </w:p>
    <w:p w:rsidR="00CE3434" w:rsidRDefault="00904F75" w:rsidP="00A2050D">
      <w:pPr>
        <w:pStyle w:val="PS"/>
        <w:spacing w:after="360"/>
        <w:ind w:left="539" w:firstLine="1077"/>
      </w:pPr>
      <w:r w:rsidRPr="00487D5F">
        <w:t>Collationné, certifié conforme à la minute étant au greffe de la Cour des comptes</w:t>
      </w:r>
      <w:r w:rsidR="00CE3434">
        <w:t>.</w:t>
      </w:r>
    </w:p>
    <w:p w:rsidR="00EE5173" w:rsidRDefault="0061182B" w:rsidP="00A2050D">
      <w:pPr>
        <w:pStyle w:val="PS"/>
        <w:spacing w:after="360"/>
        <w:ind w:left="539" w:firstLine="1077"/>
      </w:pPr>
      <w:r>
        <w:br w:type="page"/>
      </w:r>
      <w:r w:rsidR="00EE5173">
        <w:lastRenderedPageBreak/>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559A7" w:rsidRDefault="00CE3434" w:rsidP="00A2050D">
      <w:pPr>
        <w:pStyle w:val="PS"/>
        <w:spacing w:after="360"/>
        <w:ind w:left="539" w:firstLine="1077"/>
      </w:pPr>
      <w:r>
        <w:t>D</w:t>
      </w:r>
      <w:r w:rsidR="00904F75" w:rsidRPr="00487D5F">
        <w:t>éli</w:t>
      </w:r>
      <w:r w:rsidR="00904F75">
        <w:t>vré par moi, secrétaire général</w:t>
      </w:r>
      <w:r w:rsidR="003559A7">
        <w:t>.</w:t>
      </w:r>
    </w:p>
    <w:p w:rsidR="00C2258C" w:rsidRPr="00636BC8" w:rsidRDefault="00C2258C" w:rsidP="00C2258C">
      <w:pPr>
        <w:pStyle w:val="P0"/>
        <w:spacing w:before="0" w:after="0" w:line="0" w:lineRule="atLeast"/>
        <w:ind w:left="2268" w:firstLine="3402"/>
        <w:jc w:val="center"/>
        <w:rPr>
          <w:b/>
        </w:rPr>
      </w:pPr>
      <w:r w:rsidRPr="00636BC8">
        <w:rPr>
          <w:b/>
        </w:rPr>
        <w:t>Pour le Secrétaire général</w:t>
      </w:r>
    </w:p>
    <w:p w:rsidR="00C2258C" w:rsidRPr="00636BC8" w:rsidRDefault="00C2258C" w:rsidP="00C2258C">
      <w:pPr>
        <w:pStyle w:val="P0"/>
        <w:spacing w:before="0" w:after="0" w:line="0" w:lineRule="atLeast"/>
        <w:ind w:left="2268" w:firstLine="3402"/>
        <w:jc w:val="center"/>
        <w:rPr>
          <w:b/>
        </w:rPr>
      </w:pPr>
      <w:proofErr w:type="gramStart"/>
      <w:r w:rsidRPr="00636BC8">
        <w:rPr>
          <w:b/>
        </w:rPr>
        <w:t>et</w:t>
      </w:r>
      <w:proofErr w:type="gramEnd"/>
      <w:r w:rsidRPr="00636BC8">
        <w:rPr>
          <w:b/>
        </w:rPr>
        <w:t xml:space="preserve"> par délégation,</w:t>
      </w:r>
    </w:p>
    <w:p w:rsidR="00C2258C" w:rsidRPr="00636BC8" w:rsidRDefault="00C2258C" w:rsidP="00C2258C">
      <w:pPr>
        <w:pStyle w:val="P0"/>
        <w:spacing w:before="0" w:after="0" w:line="0" w:lineRule="atLeast"/>
        <w:ind w:left="2268" w:firstLine="3402"/>
        <w:jc w:val="center"/>
        <w:rPr>
          <w:b/>
        </w:rPr>
      </w:pPr>
      <w:proofErr w:type="gramStart"/>
      <w:r w:rsidRPr="00636BC8">
        <w:rPr>
          <w:b/>
        </w:rPr>
        <w:t>le</w:t>
      </w:r>
      <w:proofErr w:type="gramEnd"/>
      <w:r w:rsidRPr="00636BC8">
        <w:rPr>
          <w:b/>
        </w:rPr>
        <w:t xml:space="preserve"> </w:t>
      </w:r>
      <w:r w:rsidR="00CE3434">
        <w:rPr>
          <w:b/>
        </w:rPr>
        <w:t>C</w:t>
      </w:r>
      <w:r w:rsidRPr="00636BC8">
        <w:rPr>
          <w:b/>
        </w:rPr>
        <w:t>hef du greffe contentieux</w:t>
      </w:r>
    </w:p>
    <w:p w:rsidR="00C2258C" w:rsidRPr="00636BC8" w:rsidRDefault="00C2258C" w:rsidP="00C2258C">
      <w:pPr>
        <w:pStyle w:val="P0"/>
        <w:ind w:left="2268" w:firstLine="3402"/>
        <w:jc w:val="center"/>
        <w:rPr>
          <w:b/>
        </w:rPr>
      </w:pPr>
    </w:p>
    <w:p w:rsidR="00C2258C" w:rsidRPr="00636BC8" w:rsidRDefault="00C2258C" w:rsidP="00C2258C">
      <w:pPr>
        <w:pStyle w:val="P0"/>
        <w:ind w:left="2268" w:firstLine="3402"/>
        <w:jc w:val="center"/>
        <w:rPr>
          <w:b/>
        </w:rPr>
      </w:pPr>
    </w:p>
    <w:p w:rsidR="00C2258C" w:rsidRPr="00636BC8" w:rsidRDefault="00C2258C" w:rsidP="00C2258C">
      <w:pPr>
        <w:pStyle w:val="P0"/>
        <w:ind w:left="2268" w:firstLine="3402"/>
        <w:jc w:val="center"/>
        <w:rPr>
          <w:b/>
        </w:rPr>
      </w:pPr>
    </w:p>
    <w:p w:rsidR="00C2258C" w:rsidRPr="00636BC8" w:rsidRDefault="00C2258C" w:rsidP="0061623C">
      <w:pPr>
        <w:pStyle w:val="P0"/>
        <w:ind w:left="2268" w:firstLine="3686"/>
        <w:jc w:val="center"/>
        <w:rPr>
          <w:b/>
        </w:rPr>
      </w:pPr>
      <w:r w:rsidRPr="00636BC8">
        <w:rPr>
          <w:b/>
        </w:rPr>
        <w:t>Daniel FEREZ</w:t>
      </w:r>
    </w:p>
    <w:p w:rsidR="00E401AA" w:rsidRDefault="00875F69" w:rsidP="0061623C">
      <w:pPr>
        <w:pStyle w:val="Titretableau"/>
        <w:numPr>
          <w:ilvl w:val="0"/>
          <w:numId w:val="0"/>
        </w:numPr>
        <w:spacing w:before="0"/>
      </w:pPr>
      <w:r>
        <w:br w:type="page"/>
      </w:r>
      <w:r w:rsidR="00E401AA">
        <w:lastRenderedPageBreak/>
        <w:t>ANNEXE</w:t>
      </w:r>
    </w:p>
    <w:tbl>
      <w:tblPr>
        <w:tblW w:w="0" w:type="auto"/>
        <w:tblInd w:w="55" w:type="dxa"/>
        <w:tblLayout w:type="fixed"/>
        <w:tblCellMar>
          <w:left w:w="70" w:type="dxa"/>
          <w:right w:w="70" w:type="dxa"/>
        </w:tblCellMar>
        <w:tblLook w:val="04A0" w:firstRow="1" w:lastRow="0" w:firstColumn="1" w:lastColumn="0" w:noHBand="0" w:noVBand="1"/>
      </w:tblPr>
      <w:tblGrid>
        <w:gridCol w:w="799"/>
        <w:gridCol w:w="776"/>
        <w:gridCol w:w="1134"/>
        <w:gridCol w:w="958"/>
        <w:gridCol w:w="1274"/>
        <w:gridCol w:w="967"/>
        <w:gridCol w:w="1955"/>
      </w:tblGrid>
      <w:tr w:rsidR="00E401AA" w:rsidRPr="007F540B" w:rsidTr="002150FD">
        <w:trPr>
          <w:trHeight w:val="255"/>
        </w:trPr>
        <w:tc>
          <w:tcPr>
            <w:tcW w:w="7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01AA" w:rsidRPr="007F540B" w:rsidRDefault="00E401AA" w:rsidP="002150FD">
            <w:pPr>
              <w:spacing w:before="0" w:after="0"/>
              <w:ind w:firstLine="0"/>
              <w:jc w:val="center"/>
              <w:rPr>
                <w:rFonts w:ascii="Arial" w:hAnsi="Arial" w:cs="Arial"/>
                <w:b/>
                <w:bCs/>
                <w:sz w:val="16"/>
                <w:szCs w:val="16"/>
              </w:rPr>
            </w:pPr>
            <w:r w:rsidRPr="007F540B">
              <w:rPr>
                <w:rFonts w:ascii="Arial" w:hAnsi="Arial" w:cs="Arial"/>
                <w:b/>
                <w:bCs/>
                <w:sz w:val="16"/>
                <w:szCs w:val="16"/>
              </w:rPr>
              <w:t>Exercice</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E401AA" w:rsidRPr="007F540B" w:rsidRDefault="00E401AA" w:rsidP="002150FD">
            <w:pPr>
              <w:spacing w:before="0" w:after="0"/>
              <w:ind w:firstLine="0"/>
              <w:jc w:val="center"/>
              <w:rPr>
                <w:rFonts w:ascii="Arial" w:hAnsi="Arial" w:cs="Arial"/>
                <w:b/>
                <w:bCs/>
                <w:sz w:val="16"/>
                <w:szCs w:val="16"/>
              </w:rPr>
            </w:pPr>
            <w:r w:rsidRPr="007F540B">
              <w:rPr>
                <w:rFonts w:ascii="Arial" w:hAnsi="Arial" w:cs="Arial"/>
                <w:b/>
                <w:bCs/>
                <w:sz w:val="16"/>
                <w:szCs w:val="16"/>
              </w:rPr>
              <w:t>N</w:t>
            </w:r>
            <w:r>
              <w:rPr>
                <w:rFonts w:ascii="Arial" w:hAnsi="Arial" w:cs="Arial"/>
                <w:b/>
                <w:bCs/>
                <w:sz w:val="16"/>
                <w:szCs w:val="16"/>
              </w:rPr>
              <w: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E401AA" w:rsidRPr="007F540B" w:rsidRDefault="002150FD" w:rsidP="002150FD">
            <w:pPr>
              <w:spacing w:before="0" w:after="0"/>
              <w:ind w:firstLine="0"/>
              <w:jc w:val="center"/>
              <w:rPr>
                <w:rFonts w:ascii="Arial" w:hAnsi="Arial" w:cs="Arial"/>
                <w:b/>
                <w:bCs/>
                <w:sz w:val="16"/>
                <w:szCs w:val="16"/>
              </w:rPr>
            </w:pPr>
            <w:r>
              <w:rPr>
                <w:rFonts w:ascii="Arial" w:hAnsi="Arial" w:cs="Arial"/>
                <w:b/>
                <w:bCs/>
                <w:sz w:val="16"/>
                <w:szCs w:val="16"/>
              </w:rPr>
              <w:t xml:space="preserve">Dates de </w:t>
            </w:r>
            <w:r w:rsidRPr="007F540B">
              <w:rPr>
                <w:rFonts w:ascii="Arial" w:hAnsi="Arial" w:cs="Arial"/>
                <w:b/>
                <w:bCs/>
                <w:sz w:val="16"/>
                <w:szCs w:val="16"/>
              </w:rPr>
              <w:t>paiem</w:t>
            </w:r>
            <w:r>
              <w:rPr>
                <w:rFonts w:ascii="Arial" w:hAnsi="Arial" w:cs="Arial"/>
                <w:b/>
                <w:bCs/>
                <w:sz w:val="16"/>
                <w:szCs w:val="16"/>
              </w:rPr>
              <w:t>en</w:t>
            </w:r>
            <w:r w:rsidRPr="007F540B">
              <w:rPr>
                <w:rFonts w:ascii="Arial" w:hAnsi="Arial" w:cs="Arial"/>
                <w:b/>
                <w:bCs/>
                <w:sz w:val="16"/>
                <w:szCs w:val="16"/>
              </w:rPr>
              <w:t>t</w:t>
            </w:r>
          </w:p>
        </w:tc>
        <w:tc>
          <w:tcPr>
            <w:tcW w:w="958" w:type="dxa"/>
            <w:tcBorders>
              <w:top w:val="single" w:sz="4" w:space="0" w:color="auto"/>
              <w:left w:val="nil"/>
              <w:bottom w:val="single" w:sz="4" w:space="0" w:color="auto"/>
              <w:right w:val="single" w:sz="4" w:space="0" w:color="auto"/>
            </w:tcBorders>
            <w:shd w:val="clear" w:color="auto" w:fill="auto"/>
            <w:noWrap/>
            <w:vAlign w:val="center"/>
            <w:hideMark/>
          </w:tcPr>
          <w:p w:rsidR="00E401AA" w:rsidRPr="007F540B" w:rsidRDefault="00E401AA" w:rsidP="002150FD">
            <w:pPr>
              <w:spacing w:before="0" w:after="0"/>
              <w:ind w:firstLine="0"/>
              <w:jc w:val="center"/>
              <w:rPr>
                <w:rFonts w:ascii="Arial" w:hAnsi="Arial" w:cs="Arial"/>
                <w:b/>
                <w:bCs/>
                <w:sz w:val="16"/>
                <w:szCs w:val="16"/>
              </w:rPr>
            </w:pPr>
            <w:r w:rsidRPr="007F540B">
              <w:rPr>
                <w:rFonts w:ascii="Arial" w:hAnsi="Arial" w:cs="Arial"/>
                <w:b/>
                <w:bCs/>
                <w:sz w:val="16"/>
                <w:szCs w:val="16"/>
              </w:rPr>
              <w:t>imputation</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rsidR="00E401AA" w:rsidRPr="007F540B" w:rsidRDefault="006A6860" w:rsidP="002150FD">
            <w:pPr>
              <w:spacing w:before="0" w:after="0"/>
              <w:ind w:firstLine="0"/>
              <w:jc w:val="center"/>
              <w:rPr>
                <w:rFonts w:ascii="Arial" w:hAnsi="Arial" w:cs="Arial"/>
                <w:b/>
                <w:bCs/>
                <w:sz w:val="16"/>
                <w:szCs w:val="16"/>
              </w:rPr>
            </w:pPr>
            <w:r w:rsidRPr="007F540B">
              <w:rPr>
                <w:rFonts w:ascii="Arial" w:hAnsi="Arial" w:cs="Arial"/>
                <w:b/>
                <w:bCs/>
                <w:sz w:val="16"/>
                <w:szCs w:val="16"/>
              </w:rPr>
              <w:t>M</w:t>
            </w:r>
            <w:r w:rsidR="00E401AA" w:rsidRPr="007F540B">
              <w:rPr>
                <w:rFonts w:ascii="Arial" w:hAnsi="Arial" w:cs="Arial"/>
                <w:b/>
                <w:bCs/>
                <w:sz w:val="16"/>
                <w:szCs w:val="16"/>
              </w:rPr>
              <w:t>ontant</w:t>
            </w:r>
          </w:p>
        </w:tc>
        <w:tc>
          <w:tcPr>
            <w:tcW w:w="967" w:type="dxa"/>
            <w:tcBorders>
              <w:top w:val="single" w:sz="4" w:space="0" w:color="auto"/>
              <w:left w:val="nil"/>
              <w:bottom w:val="single" w:sz="4" w:space="0" w:color="auto"/>
              <w:right w:val="single" w:sz="4" w:space="0" w:color="auto"/>
            </w:tcBorders>
            <w:shd w:val="clear" w:color="auto" w:fill="auto"/>
            <w:noWrap/>
            <w:vAlign w:val="center"/>
            <w:hideMark/>
          </w:tcPr>
          <w:p w:rsidR="00E401AA" w:rsidRPr="007F540B" w:rsidRDefault="00E401AA" w:rsidP="002150FD">
            <w:pPr>
              <w:spacing w:before="0" w:after="0"/>
              <w:ind w:firstLine="0"/>
              <w:jc w:val="center"/>
              <w:rPr>
                <w:rFonts w:ascii="Arial" w:hAnsi="Arial" w:cs="Arial"/>
                <w:b/>
                <w:bCs/>
                <w:sz w:val="16"/>
                <w:szCs w:val="16"/>
              </w:rPr>
            </w:pPr>
            <w:r w:rsidRPr="007F540B">
              <w:rPr>
                <w:rFonts w:ascii="Arial" w:hAnsi="Arial" w:cs="Arial"/>
                <w:b/>
                <w:bCs/>
                <w:sz w:val="16"/>
                <w:szCs w:val="16"/>
              </w:rPr>
              <w:t>créancier</w:t>
            </w:r>
          </w:p>
        </w:tc>
        <w:tc>
          <w:tcPr>
            <w:tcW w:w="1955" w:type="dxa"/>
            <w:tcBorders>
              <w:top w:val="single" w:sz="4" w:space="0" w:color="auto"/>
              <w:left w:val="nil"/>
              <w:bottom w:val="single" w:sz="4" w:space="0" w:color="auto"/>
              <w:right w:val="single" w:sz="4" w:space="0" w:color="auto"/>
            </w:tcBorders>
            <w:shd w:val="clear" w:color="auto" w:fill="auto"/>
            <w:noWrap/>
            <w:vAlign w:val="center"/>
            <w:hideMark/>
          </w:tcPr>
          <w:p w:rsidR="00E401AA" w:rsidRPr="007F540B" w:rsidRDefault="00E401AA" w:rsidP="002150FD">
            <w:pPr>
              <w:spacing w:before="0" w:after="0"/>
              <w:ind w:firstLine="0"/>
              <w:jc w:val="center"/>
              <w:rPr>
                <w:rFonts w:ascii="Arial" w:hAnsi="Arial" w:cs="Arial"/>
                <w:b/>
                <w:bCs/>
                <w:sz w:val="16"/>
                <w:szCs w:val="16"/>
              </w:rPr>
            </w:pPr>
            <w:r w:rsidRPr="007F540B">
              <w:rPr>
                <w:rFonts w:ascii="Arial" w:hAnsi="Arial" w:cs="Arial"/>
                <w:b/>
                <w:bCs/>
                <w:sz w:val="16"/>
                <w:szCs w:val="16"/>
              </w:rPr>
              <w:t>référence du prêt</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143</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02/03/2004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2 417,26</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143</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02/03/2004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222,72</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144</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02/03/2004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2 389,74</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144</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02/03/2004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206,72</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144</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02/03/2004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666</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4,32</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145</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02/03/2004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1 909,75</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145</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02/03/2004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2 458,97</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145</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02/03/2004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666</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3,46</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246</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19/03/2004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2 440,22</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246</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19/03/2004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205,51</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248</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19/03/2004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1 932,77</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248</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19/03/2004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2 405,29</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621</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17/05/2004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2 404,34</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621</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17/05/2004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200,16</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824</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23/06/2004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2 463,40</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824</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23/06/2004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177,98</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825</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23/06/2004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2 419,02</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825</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23/06/2004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200,16</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825</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23/06/2004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666</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59,98</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826</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23/06/2004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1 956,05</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826</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23/06/2004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2 467,93</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826</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23/06/2004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666</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48,50</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1757</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26/10/2004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2 486,80</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1757</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26/10/2004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177,44</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1758</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26/10/2004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2 433,80</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1758</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26/10/2004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254,79</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1758</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26/10/2004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666</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15,81</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1759</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26/10/2004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1 979,63</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1759</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26/10/2004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2 400,14</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2004</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1759</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26/10/2004</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666</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12,85</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3667"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401AA" w:rsidRPr="007F540B" w:rsidRDefault="00E401AA" w:rsidP="00A53C05">
            <w:pPr>
              <w:spacing w:before="0" w:after="0"/>
              <w:ind w:firstLine="0"/>
              <w:jc w:val="center"/>
              <w:rPr>
                <w:rFonts w:ascii="Arial" w:hAnsi="Arial" w:cs="Arial"/>
                <w:b/>
                <w:bCs/>
                <w:sz w:val="16"/>
                <w:szCs w:val="16"/>
              </w:rPr>
            </w:pPr>
            <w:r w:rsidRPr="007F540B">
              <w:rPr>
                <w:rFonts w:ascii="Arial" w:hAnsi="Arial" w:cs="Arial"/>
                <w:b/>
                <w:bCs/>
                <w:sz w:val="16"/>
                <w:szCs w:val="16"/>
              </w:rPr>
              <w:t>Total 2004</w:t>
            </w:r>
          </w:p>
        </w:tc>
        <w:tc>
          <w:tcPr>
            <w:tcW w:w="1274" w:type="dxa"/>
            <w:tcBorders>
              <w:top w:val="single" w:sz="4" w:space="0" w:color="auto"/>
              <w:left w:val="nil"/>
              <w:bottom w:val="single" w:sz="4" w:space="0" w:color="auto"/>
              <w:right w:val="single" w:sz="4" w:space="0" w:color="auto"/>
            </w:tcBorders>
            <w:shd w:val="clear" w:color="auto" w:fill="auto"/>
            <w:noWrap/>
            <w:vAlign w:val="bottom"/>
            <w:hideMark/>
          </w:tcPr>
          <w:p w:rsidR="00E401AA" w:rsidRPr="007F540B" w:rsidRDefault="00E401AA" w:rsidP="00D769F4">
            <w:pPr>
              <w:spacing w:before="0" w:after="0"/>
              <w:ind w:firstLineChars="100" w:firstLine="161"/>
              <w:jc w:val="right"/>
              <w:rPr>
                <w:rFonts w:ascii="Arial" w:hAnsi="Arial" w:cs="Arial"/>
                <w:b/>
                <w:bCs/>
                <w:sz w:val="16"/>
                <w:szCs w:val="16"/>
              </w:rPr>
            </w:pPr>
            <w:r w:rsidRPr="007F540B">
              <w:rPr>
                <w:rFonts w:ascii="Arial" w:hAnsi="Arial" w:cs="Arial"/>
                <w:b/>
                <w:bCs/>
                <w:sz w:val="16"/>
                <w:szCs w:val="16"/>
              </w:rPr>
              <w:t>38 755,51</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b/>
                <w:bCs/>
                <w:sz w:val="16"/>
                <w:szCs w:val="16"/>
              </w:rPr>
            </w:pPr>
            <w:r w:rsidRPr="007F540B">
              <w:rPr>
                <w:rFonts w:ascii="Arial" w:hAnsi="Arial" w:cs="Arial"/>
                <w:b/>
                <w:bCs/>
                <w:sz w:val="16"/>
                <w:szCs w:val="16"/>
              </w:rPr>
              <w:t> </w:t>
            </w:r>
          </w:p>
        </w:tc>
        <w:tc>
          <w:tcPr>
            <w:tcW w:w="1955" w:type="dxa"/>
            <w:tcBorders>
              <w:top w:val="single" w:sz="4" w:space="0" w:color="auto"/>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b/>
                <w:bCs/>
                <w:sz w:val="16"/>
                <w:szCs w:val="16"/>
              </w:rPr>
            </w:pPr>
            <w:r w:rsidRPr="007F540B">
              <w:rPr>
                <w:rFonts w:ascii="Arial" w:hAnsi="Arial" w:cs="Arial"/>
                <w:b/>
                <w:bCs/>
                <w:sz w:val="16"/>
                <w:szCs w:val="16"/>
              </w:rPr>
              <w:t> </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88</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01/02/2005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2 510,42</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88</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01/02/2005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164,07</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89</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01/02/2005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2 448,67</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89</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01/02/2005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311,44</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89</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01/02/2005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666</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24,41</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90</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01/02/2005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2 003,48</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90</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01/02/2005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2 384,34</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90</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01/02/2005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666</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19,97</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568</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24/03/2005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2 534,27</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568</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24/03/2005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145,72</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MON217210EUR</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569</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24/03/2005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2 463,63</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569</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24/03/2005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6611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326,38</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MON217187CHF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570</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24/03/2005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1643</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2 027,62</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2005</w:t>
            </w:r>
          </w:p>
        </w:tc>
        <w:tc>
          <w:tcPr>
            <w:tcW w:w="776"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570</w:t>
            </w:r>
          </w:p>
        </w:tc>
        <w:tc>
          <w:tcPr>
            <w:tcW w:w="113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24/03/2005</w:t>
            </w:r>
          </w:p>
        </w:tc>
        <w:tc>
          <w:tcPr>
            <w:tcW w:w="958"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right"/>
              <w:rPr>
                <w:rFonts w:ascii="Arial" w:hAnsi="Arial" w:cs="Arial"/>
                <w:sz w:val="16"/>
                <w:szCs w:val="16"/>
              </w:rPr>
            </w:pPr>
            <w:r w:rsidRPr="007F540B">
              <w:rPr>
                <w:rFonts w:ascii="Arial" w:hAnsi="Arial" w:cs="Arial"/>
                <w:sz w:val="16"/>
                <w:szCs w:val="16"/>
              </w:rPr>
              <w:t>1641</w:t>
            </w:r>
          </w:p>
        </w:tc>
        <w:tc>
          <w:tcPr>
            <w:tcW w:w="1274"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Chars="100" w:firstLine="160"/>
              <w:jc w:val="right"/>
              <w:rPr>
                <w:rFonts w:ascii="Arial" w:hAnsi="Arial" w:cs="Arial"/>
                <w:sz w:val="16"/>
                <w:szCs w:val="16"/>
              </w:rPr>
            </w:pPr>
            <w:r w:rsidRPr="007F540B">
              <w:rPr>
                <w:rFonts w:ascii="Arial" w:hAnsi="Arial" w:cs="Arial"/>
                <w:sz w:val="16"/>
                <w:szCs w:val="16"/>
              </w:rPr>
              <w:t>2 331,54</w:t>
            </w:r>
          </w:p>
        </w:tc>
        <w:tc>
          <w:tcPr>
            <w:tcW w:w="967"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DEXIA CLF</w:t>
            </w:r>
          </w:p>
        </w:tc>
        <w:tc>
          <w:tcPr>
            <w:tcW w:w="1955" w:type="dxa"/>
            <w:tcBorders>
              <w:top w:val="nil"/>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sz w:val="16"/>
                <w:szCs w:val="16"/>
              </w:rPr>
            </w:pPr>
            <w:r w:rsidRPr="007F540B">
              <w:rPr>
                <w:rFonts w:ascii="Arial" w:hAnsi="Arial" w:cs="Arial"/>
                <w:sz w:val="16"/>
                <w:szCs w:val="16"/>
              </w:rPr>
              <w:t>Contrat MON216570CHF</w:t>
            </w:r>
          </w:p>
        </w:tc>
      </w:tr>
      <w:tr w:rsidR="00E401AA" w:rsidRPr="007F540B" w:rsidTr="00A53C05">
        <w:trPr>
          <w:trHeight w:val="255"/>
        </w:trPr>
        <w:tc>
          <w:tcPr>
            <w:tcW w:w="3667"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401AA" w:rsidRPr="007F540B" w:rsidRDefault="00E401AA" w:rsidP="00A53C05">
            <w:pPr>
              <w:spacing w:before="0" w:after="0"/>
              <w:ind w:firstLine="0"/>
              <w:jc w:val="center"/>
              <w:rPr>
                <w:rFonts w:ascii="Arial" w:hAnsi="Arial" w:cs="Arial"/>
                <w:b/>
                <w:bCs/>
                <w:sz w:val="16"/>
                <w:szCs w:val="16"/>
              </w:rPr>
            </w:pPr>
            <w:r w:rsidRPr="007F540B">
              <w:rPr>
                <w:rFonts w:ascii="Arial" w:hAnsi="Arial" w:cs="Arial"/>
                <w:b/>
                <w:bCs/>
                <w:sz w:val="16"/>
                <w:szCs w:val="16"/>
              </w:rPr>
              <w:t>Total 2005</w:t>
            </w:r>
          </w:p>
        </w:tc>
        <w:tc>
          <w:tcPr>
            <w:tcW w:w="1274" w:type="dxa"/>
            <w:tcBorders>
              <w:top w:val="single" w:sz="4" w:space="0" w:color="auto"/>
              <w:left w:val="nil"/>
              <w:bottom w:val="single" w:sz="4" w:space="0" w:color="auto"/>
              <w:right w:val="single" w:sz="4" w:space="0" w:color="auto"/>
            </w:tcBorders>
            <w:shd w:val="clear" w:color="auto" w:fill="auto"/>
            <w:noWrap/>
            <w:vAlign w:val="bottom"/>
            <w:hideMark/>
          </w:tcPr>
          <w:p w:rsidR="00E401AA" w:rsidRPr="007F540B" w:rsidRDefault="00E401AA" w:rsidP="00D769F4">
            <w:pPr>
              <w:spacing w:before="0" w:after="0"/>
              <w:ind w:firstLineChars="100" w:firstLine="161"/>
              <w:jc w:val="right"/>
              <w:rPr>
                <w:rFonts w:ascii="Arial" w:hAnsi="Arial" w:cs="Arial"/>
                <w:b/>
                <w:bCs/>
                <w:sz w:val="16"/>
                <w:szCs w:val="16"/>
              </w:rPr>
            </w:pPr>
            <w:r w:rsidRPr="007F540B">
              <w:rPr>
                <w:rFonts w:ascii="Arial" w:hAnsi="Arial" w:cs="Arial"/>
                <w:b/>
                <w:bCs/>
                <w:sz w:val="16"/>
                <w:szCs w:val="16"/>
              </w:rPr>
              <w:t>19 695,96</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b/>
                <w:bCs/>
                <w:sz w:val="16"/>
                <w:szCs w:val="16"/>
              </w:rPr>
            </w:pPr>
            <w:r w:rsidRPr="007F540B">
              <w:rPr>
                <w:rFonts w:ascii="Arial" w:hAnsi="Arial" w:cs="Arial"/>
                <w:b/>
                <w:bCs/>
                <w:sz w:val="16"/>
                <w:szCs w:val="16"/>
              </w:rPr>
              <w:t> </w:t>
            </w:r>
          </w:p>
        </w:tc>
        <w:tc>
          <w:tcPr>
            <w:tcW w:w="1955" w:type="dxa"/>
            <w:tcBorders>
              <w:top w:val="single" w:sz="4" w:space="0" w:color="auto"/>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b/>
                <w:bCs/>
                <w:sz w:val="16"/>
                <w:szCs w:val="16"/>
              </w:rPr>
            </w:pPr>
            <w:r w:rsidRPr="007F540B">
              <w:rPr>
                <w:rFonts w:ascii="Arial" w:hAnsi="Arial" w:cs="Arial"/>
                <w:b/>
                <w:bCs/>
                <w:sz w:val="16"/>
                <w:szCs w:val="16"/>
              </w:rPr>
              <w:t> </w:t>
            </w:r>
          </w:p>
        </w:tc>
      </w:tr>
      <w:tr w:rsidR="00E401AA" w:rsidRPr="007F540B" w:rsidTr="00A53C05">
        <w:trPr>
          <w:trHeight w:val="255"/>
        </w:trPr>
        <w:tc>
          <w:tcPr>
            <w:tcW w:w="3667"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401AA" w:rsidRPr="007F540B" w:rsidRDefault="00E401AA" w:rsidP="00A53C05">
            <w:pPr>
              <w:spacing w:before="0" w:after="0"/>
              <w:ind w:firstLine="0"/>
              <w:jc w:val="center"/>
              <w:rPr>
                <w:rFonts w:ascii="Arial" w:hAnsi="Arial" w:cs="Arial"/>
                <w:b/>
                <w:bCs/>
                <w:sz w:val="16"/>
                <w:szCs w:val="16"/>
              </w:rPr>
            </w:pPr>
            <w:r w:rsidRPr="007F540B">
              <w:rPr>
                <w:rFonts w:ascii="Arial" w:hAnsi="Arial" w:cs="Arial"/>
                <w:b/>
                <w:bCs/>
                <w:sz w:val="16"/>
                <w:szCs w:val="16"/>
              </w:rPr>
              <w:t>Total 2005 + 2004</w:t>
            </w:r>
          </w:p>
        </w:tc>
        <w:tc>
          <w:tcPr>
            <w:tcW w:w="1274" w:type="dxa"/>
            <w:tcBorders>
              <w:top w:val="single" w:sz="4" w:space="0" w:color="auto"/>
              <w:left w:val="nil"/>
              <w:bottom w:val="single" w:sz="4" w:space="0" w:color="auto"/>
              <w:right w:val="single" w:sz="4" w:space="0" w:color="auto"/>
            </w:tcBorders>
            <w:shd w:val="clear" w:color="auto" w:fill="auto"/>
            <w:noWrap/>
            <w:vAlign w:val="bottom"/>
            <w:hideMark/>
          </w:tcPr>
          <w:p w:rsidR="00E401AA" w:rsidRPr="007F540B" w:rsidRDefault="00E401AA" w:rsidP="00D769F4">
            <w:pPr>
              <w:spacing w:before="0" w:after="0"/>
              <w:ind w:firstLineChars="100" w:firstLine="161"/>
              <w:jc w:val="right"/>
              <w:rPr>
                <w:rFonts w:ascii="Arial" w:hAnsi="Arial" w:cs="Arial"/>
                <w:b/>
                <w:bCs/>
                <w:sz w:val="16"/>
                <w:szCs w:val="16"/>
              </w:rPr>
            </w:pPr>
            <w:r w:rsidRPr="007F540B">
              <w:rPr>
                <w:rFonts w:ascii="Arial" w:hAnsi="Arial" w:cs="Arial"/>
                <w:b/>
                <w:bCs/>
                <w:sz w:val="16"/>
                <w:szCs w:val="16"/>
              </w:rPr>
              <w:t>58 451,47</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b/>
                <w:bCs/>
                <w:sz w:val="16"/>
                <w:szCs w:val="16"/>
              </w:rPr>
            </w:pPr>
            <w:r w:rsidRPr="007F540B">
              <w:rPr>
                <w:rFonts w:ascii="Arial" w:hAnsi="Arial" w:cs="Arial"/>
                <w:b/>
                <w:bCs/>
                <w:sz w:val="16"/>
                <w:szCs w:val="16"/>
              </w:rPr>
              <w:t> </w:t>
            </w:r>
          </w:p>
        </w:tc>
        <w:tc>
          <w:tcPr>
            <w:tcW w:w="1955" w:type="dxa"/>
            <w:tcBorders>
              <w:top w:val="single" w:sz="4" w:space="0" w:color="auto"/>
              <w:left w:val="nil"/>
              <w:bottom w:val="single" w:sz="4" w:space="0" w:color="auto"/>
              <w:right w:val="single" w:sz="4" w:space="0" w:color="auto"/>
            </w:tcBorders>
            <w:shd w:val="clear" w:color="auto" w:fill="auto"/>
            <w:noWrap/>
            <w:vAlign w:val="bottom"/>
            <w:hideMark/>
          </w:tcPr>
          <w:p w:rsidR="00E401AA" w:rsidRPr="007F540B" w:rsidRDefault="00E401AA" w:rsidP="00A53C05">
            <w:pPr>
              <w:spacing w:before="0" w:after="0"/>
              <w:ind w:firstLine="0"/>
              <w:jc w:val="left"/>
              <w:rPr>
                <w:rFonts w:ascii="Arial" w:hAnsi="Arial" w:cs="Arial"/>
                <w:b/>
                <w:bCs/>
                <w:sz w:val="16"/>
                <w:szCs w:val="16"/>
              </w:rPr>
            </w:pPr>
            <w:r w:rsidRPr="007F540B">
              <w:rPr>
                <w:rFonts w:ascii="Arial" w:hAnsi="Arial" w:cs="Arial"/>
                <w:b/>
                <w:bCs/>
                <w:sz w:val="16"/>
                <w:szCs w:val="16"/>
              </w:rPr>
              <w:t> </w:t>
            </w:r>
          </w:p>
        </w:tc>
      </w:tr>
    </w:tbl>
    <w:p w:rsidR="00624288" w:rsidRPr="00D45135" w:rsidRDefault="00624288" w:rsidP="00875F69">
      <w:pPr>
        <w:pStyle w:val="PS"/>
        <w:ind w:left="0" w:firstLine="0"/>
        <w:rPr>
          <w:rFonts w:ascii="Times New Roman Gras" w:hAnsi="Times New Roman Gras"/>
          <w:b/>
          <w:bCs/>
          <w:vanish/>
        </w:rPr>
      </w:pPr>
    </w:p>
    <w:sectPr w:rsidR="00624288" w:rsidRPr="00D45135" w:rsidSect="00B66FF4">
      <w:headerReference w:type="even" r:id="rId9"/>
      <w:headerReference w:type="default" r:id="rId10"/>
      <w:footerReference w:type="even"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AB0" w:rsidRDefault="00A87AB0">
      <w:pPr>
        <w:spacing w:before="0" w:after="0"/>
      </w:pPr>
      <w:r>
        <w:separator/>
      </w:r>
    </w:p>
  </w:endnote>
  <w:endnote w:type="continuationSeparator" w:id="0">
    <w:p w:rsidR="00A87AB0" w:rsidRDefault="00A87A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Gras">
    <w:altName w:val="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77" w:rsidRDefault="00B21D77" w:rsidP="00B66FF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21D77" w:rsidRDefault="00B21D77" w:rsidP="00B66FF4">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77" w:rsidRDefault="00B21D77" w:rsidP="00B66FF4">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AB0" w:rsidRDefault="00A87AB0">
      <w:pPr>
        <w:spacing w:before="0" w:after="0"/>
      </w:pPr>
      <w:r>
        <w:separator/>
      </w:r>
    </w:p>
  </w:footnote>
  <w:footnote w:type="continuationSeparator" w:id="0">
    <w:p w:rsidR="00A87AB0" w:rsidRDefault="00A87AB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77" w:rsidRDefault="00B21D77" w:rsidP="00F510C4">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21D77" w:rsidRDefault="00B21D77" w:rsidP="00F510C4">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77" w:rsidRDefault="00B21D77" w:rsidP="00F510C4">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02162">
      <w:rPr>
        <w:rStyle w:val="Numrodepage"/>
        <w:noProof/>
      </w:rPr>
      <w:t>9</w:t>
    </w:r>
    <w:r>
      <w:rPr>
        <w:rStyle w:val="Numrodepage"/>
      </w:rPr>
      <w:fldChar w:fldCharType="end"/>
    </w:r>
  </w:p>
  <w:p w:rsidR="00B21D77" w:rsidRDefault="00B21D77" w:rsidP="00F510C4">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23283"/>
    <w:multiLevelType w:val="multilevel"/>
    <w:tmpl w:val="196E061C"/>
    <w:lvl w:ilvl="0">
      <w:start w:val="1"/>
      <w:numFmt w:val="decimal"/>
      <w:pStyle w:val="Titretableau"/>
      <w:suff w:val="nothing"/>
      <w:lvlText w:val="Tableau n° %1 : "/>
      <w:lvlJc w:val="left"/>
      <w:pPr>
        <w:ind w:left="1544" w:hanging="284"/>
      </w:pPr>
      <w:rPr>
        <w:sz w:val="20"/>
        <w:szCs w:val="20"/>
      </w:r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cs="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strike w:val="0"/>
        <w:dstrike w:val="0"/>
        <w:u w:val="none"/>
        <w:effect w:val="none"/>
      </w:rPr>
    </w:lvl>
    <w:lvl w:ilvl="4">
      <w:start w:val="1"/>
      <w:numFmt w:val="lowerLetter"/>
      <w:pStyle w:val="Titre5"/>
      <w:lvlText w:val="%5."/>
      <w:lvlJc w:val="left"/>
      <w:pPr>
        <w:tabs>
          <w:tab w:val="num" w:pos="992"/>
        </w:tabs>
        <w:ind w:left="992" w:hanging="992"/>
      </w:pPr>
      <w:rPr>
        <w:strike w:val="0"/>
        <w:dstrike w:val="0"/>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C4A5FDB"/>
    <w:multiLevelType w:val="hybridMultilevel"/>
    <w:tmpl w:val="966EA400"/>
    <w:lvl w:ilvl="0" w:tplc="BABEBFE0">
      <w:start w:val="13"/>
      <w:numFmt w:val="bullet"/>
      <w:lvlText w:val="-"/>
      <w:lvlJc w:val="left"/>
      <w:pPr>
        <w:ind w:left="1069" w:hanging="360"/>
      </w:pPr>
      <w:rPr>
        <w:rFonts w:ascii="Times New Roman" w:eastAsia="Times New Roma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6EC82FD4"/>
    <w:multiLevelType w:val="hybridMultilevel"/>
    <w:tmpl w:val="46965524"/>
    <w:lvl w:ilvl="0" w:tplc="6B343060">
      <w:start w:val="2"/>
      <w:numFmt w:val="bullet"/>
      <w:lvlText w:val="-"/>
      <w:lvlJc w:val="left"/>
      <w:pPr>
        <w:tabs>
          <w:tab w:val="num" w:pos="1620"/>
        </w:tabs>
        <w:ind w:left="1620" w:hanging="90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5245"/>
    <w:rsid w:val="000165FB"/>
    <w:rsid w:val="0002354D"/>
    <w:rsid w:val="00050445"/>
    <w:rsid w:val="00052EEC"/>
    <w:rsid w:val="000568CD"/>
    <w:rsid w:val="00056903"/>
    <w:rsid w:val="00096D3F"/>
    <w:rsid w:val="000A105B"/>
    <w:rsid w:val="000D3571"/>
    <w:rsid w:val="000D394C"/>
    <w:rsid w:val="000D4A53"/>
    <w:rsid w:val="000D5E5E"/>
    <w:rsid w:val="00110361"/>
    <w:rsid w:val="00121447"/>
    <w:rsid w:val="00122C4B"/>
    <w:rsid w:val="00137C18"/>
    <w:rsid w:val="0014287E"/>
    <w:rsid w:val="00146A75"/>
    <w:rsid w:val="00147306"/>
    <w:rsid w:val="00150251"/>
    <w:rsid w:val="001542A3"/>
    <w:rsid w:val="0016255E"/>
    <w:rsid w:val="0017129C"/>
    <w:rsid w:val="0017440F"/>
    <w:rsid w:val="0018223D"/>
    <w:rsid w:val="00182C36"/>
    <w:rsid w:val="001903FE"/>
    <w:rsid w:val="001A0B38"/>
    <w:rsid w:val="001D19E5"/>
    <w:rsid w:val="001D2904"/>
    <w:rsid w:val="001D72E8"/>
    <w:rsid w:val="001F7C87"/>
    <w:rsid w:val="002144E2"/>
    <w:rsid w:val="002150FD"/>
    <w:rsid w:val="002427B0"/>
    <w:rsid w:val="00246C8B"/>
    <w:rsid w:val="00252650"/>
    <w:rsid w:val="002776FB"/>
    <w:rsid w:val="002902B9"/>
    <w:rsid w:val="002A0C14"/>
    <w:rsid w:val="002A2B9C"/>
    <w:rsid w:val="002A62C6"/>
    <w:rsid w:val="002B3C3D"/>
    <w:rsid w:val="002F6A0F"/>
    <w:rsid w:val="00326B91"/>
    <w:rsid w:val="00331230"/>
    <w:rsid w:val="00346D7F"/>
    <w:rsid w:val="00350A33"/>
    <w:rsid w:val="003559A7"/>
    <w:rsid w:val="00365245"/>
    <w:rsid w:val="00370628"/>
    <w:rsid w:val="00371508"/>
    <w:rsid w:val="00380DB2"/>
    <w:rsid w:val="003816ED"/>
    <w:rsid w:val="0039541F"/>
    <w:rsid w:val="003B4861"/>
    <w:rsid w:val="003C6BC3"/>
    <w:rsid w:val="003E1811"/>
    <w:rsid w:val="004168F9"/>
    <w:rsid w:val="004269E7"/>
    <w:rsid w:val="00434D56"/>
    <w:rsid w:val="00444605"/>
    <w:rsid w:val="00450CEE"/>
    <w:rsid w:val="004531CD"/>
    <w:rsid w:val="00455394"/>
    <w:rsid w:val="00461154"/>
    <w:rsid w:val="00470401"/>
    <w:rsid w:val="00475470"/>
    <w:rsid w:val="00475DCF"/>
    <w:rsid w:val="004840E1"/>
    <w:rsid w:val="00484D21"/>
    <w:rsid w:val="0049304D"/>
    <w:rsid w:val="00494003"/>
    <w:rsid w:val="00494FAB"/>
    <w:rsid w:val="004A0C0E"/>
    <w:rsid w:val="004A11C0"/>
    <w:rsid w:val="004B452F"/>
    <w:rsid w:val="004B4821"/>
    <w:rsid w:val="004D53E3"/>
    <w:rsid w:val="004D630D"/>
    <w:rsid w:val="004E622C"/>
    <w:rsid w:val="004F515C"/>
    <w:rsid w:val="004F7240"/>
    <w:rsid w:val="0053065A"/>
    <w:rsid w:val="0053422B"/>
    <w:rsid w:val="00536809"/>
    <w:rsid w:val="0057392B"/>
    <w:rsid w:val="0058061C"/>
    <w:rsid w:val="00582343"/>
    <w:rsid w:val="00585666"/>
    <w:rsid w:val="00595099"/>
    <w:rsid w:val="005B2330"/>
    <w:rsid w:val="005D3260"/>
    <w:rsid w:val="005D401B"/>
    <w:rsid w:val="005E68E7"/>
    <w:rsid w:val="00604EA6"/>
    <w:rsid w:val="0061182B"/>
    <w:rsid w:val="006120ED"/>
    <w:rsid w:val="0061623C"/>
    <w:rsid w:val="00624288"/>
    <w:rsid w:val="00633D2F"/>
    <w:rsid w:val="006540ED"/>
    <w:rsid w:val="00656FD0"/>
    <w:rsid w:val="00661A02"/>
    <w:rsid w:val="006724D8"/>
    <w:rsid w:val="006878FD"/>
    <w:rsid w:val="00693F68"/>
    <w:rsid w:val="006A5DF1"/>
    <w:rsid w:val="006A6860"/>
    <w:rsid w:val="006A7EA8"/>
    <w:rsid w:val="006B6043"/>
    <w:rsid w:val="006D3C1D"/>
    <w:rsid w:val="006D70F4"/>
    <w:rsid w:val="00702162"/>
    <w:rsid w:val="00720140"/>
    <w:rsid w:val="00736186"/>
    <w:rsid w:val="00736EB4"/>
    <w:rsid w:val="00740E41"/>
    <w:rsid w:val="007422F6"/>
    <w:rsid w:val="00746E0E"/>
    <w:rsid w:val="0075233E"/>
    <w:rsid w:val="00752B91"/>
    <w:rsid w:val="00770D83"/>
    <w:rsid w:val="007711B3"/>
    <w:rsid w:val="007A4C12"/>
    <w:rsid w:val="007B2EE8"/>
    <w:rsid w:val="007C1344"/>
    <w:rsid w:val="00802826"/>
    <w:rsid w:val="00812202"/>
    <w:rsid w:val="00814AA7"/>
    <w:rsid w:val="00814F30"/>
    <w:rsid w:val="008409BD"/>
    <w:rsid w:val="0085070C"/>
    <w:rsid w:val="00864BCA"/>
    <w:rsid w:val="00875F69"/>
    <w:rsid w:val="00882428"/>
    <w:rsid w:val="00896139"/>
    <w:rsid w:val="008A33F9"/>
    <w:rsid w:val="008A6570"/>
    <w:rsid w:val="008C306F"/>
    <w:rsid w:val="008C6183"/>
    <w:rsid w:val="008D49D1"/>
    <w:rsid w:val="00904F75"/>
    <w:rsid w:val="00925AE5"/>
    <w:rsid w:val="009347E8"/>
    <w:rsid w:val="0095105C"/>
    <w:rsid w:val="00957E8D"/>
    <w:rsid w:val="009615E4"/>
    <w:rsid w:val="00962ABD"/>
    <w:rsid w:val="00975962"/>
    <w:rsid w:val="009B3601"/>
    <w:rsid w:val="009E0427"/>
    <w:rsid w:val="009E239F"/>
    <w:rsid w:val="009E3EDB"/>
    <w:rsid w:val="009F58C5"/>
    <w:rsid w:val="009F604A"/>
    <w:rsid w:val="00A05CE2"/>
    <w:rsid w:val="00A1556F"/>
    <w:rsid w:val="00A15C44"/>
    <w:rsid w:val="00A2050D"/>
    <w:rsid w:val="00A31BC4"/>
    <w:rsid w:val="00A343BC"/>
    <w:rsid w:val="00A53C05"/>
    <w:rsid w:val="00A62787"/>
    <w:rsid w:val="00A7515D"/>
    <w:rsid w:val="00A777A9"/>
    <w:rsid w:val="00A87AB0"/>
    <w:rsid w:val="00AE1E15"/>
    <w:rsid w:val="00AE4D94"/>
    <w:rsid w:val="00B0531E"/>
    <w:rsid w:val="00B17BFD"/>
    <w:rsid w:val="00B21D77"/>
    <w:rsid w:val="00B22A37"/>
    <w:rsid w:val="00B25F8D"/>
    <w:rsid w:val="00B3004C"/>
    <w:rsid w:val="00B333FA"/>
    <w:rsid w:val="00B37357"/>
    <w:rsid w:val="00B427C1"/>
    <w:rsid w:val="00B55328"/>
    <w:rsid w:val="00B60C16"/>
    <w:rsid w:val="00B66FF4"/>
    <w:rsid w:val="00B87533"/>
    <w:rsid w:val="00BA08AE"/>
    <w:rsid w:val="00BC1346"/>
    <w:rsid w:val="00BC36F7"/>
    <w:rsid w:val="00BF1E67"/>
    <w:rsid w:val="00BF338A"/>
    <w:rsid w:val="00BF386C"/>
    <w:rsid w:val="00BF39B8"/>
    <w:rsid w:val="00C03AE3"/>
    <w:rsid w:val="00C16194"/>
    <w:rsid w:val="00C21C51"/>
    <w:rsid w:val="00C2258C"/>
    <w:rsid w:val="00C4706B"/>
    <w:rsid w:val="00C63FA1"/>
    <w:rsid w:val="00C72A6D"/>
    <w:rsid w:val="00C87EF4"/>
    <w:rsid w:val="00C90349"/>
    <w:rsid w:val="00C9719C"/>
    <w:rsid w:val="00CD65DA"/>
    <w:rsid w:val="00CE3434"/>
    <w:rsid w:val="00CE5A7C"/>
    <w:rsid w:val="00D01785"/>
    <w:rsid w:val="00D02EBC"/>
    <w:rsid w:val="00D053C4"/>
    <w:rsid w:val="00D076A6"/>
    <w:rsid w:val="00D36B83"/>
    <w:rsid w:val="00D40213"/>
    <w:rsid w:val="00D536B2"/>
    <w:rsid w:val="00D57146"/>
    <w:rsid w:val="00D637E0"/>
    <w:rsid w:val="00D769F4"/>
    <w:rsid w:val="00D874D6"/>
    <w:rsid w:val="00D92F59"/>
    <w:rsid w:val="00DB541F"/>
    <w:rsid w:val="00DC5087"/>
    <w:rsid w:val="00DD4549"/>
    <w:rsid w:val="00DE3530"/>
    <w:rsid w:val="00DE3A6D"/>
    <w:rsid w:val="00DE68CF"/>
    <w:rsid w:val="00DF286C"/>
    <w:rsid w:val="00E34E7E"/>
    <w:rsid w:val="00E401AA"/>
    <w:rsid w:val="00E5179E"/>
    <w:rsid w:val="00E67B05"/>
    <w:rsid w:val="00E7082C"/>
    <w:rsid w:val="00E90C77"/>
    <w:rsid w:val="00E976A2"/>
    <w:rsid w:val="00EA3ABF"/>
    <w:rsid w:val="00EC2038"/>
    <w:rsid w:val="00EC5B67"/>
    <w:rsid w:val="00EE49C2"/>
    <w:rsid w:val="00EE4E4C"/>
    <w:rsid w:val="00EE5173"/>
    <w:rsid w:val="00EF0142"/>
    <w:rsid w:val="00F0264F"/>
    <w:rsid w:val="00F3062E"/>
    <w:rsid w:val="00F41144"/>
    <w:rsid w:val="00F47439"/>
    <w:rsid w:val="00F504DC"/>
    <w:rsid w:val="00F510C4"/>
    <w:rsid w:val="00F5120B"/>
    <w:rsid w:val="00F56637"/>
    <w:rsid w:val="00F72DA5"/>
    <w:rsid w:val="00F9579D"/>
    <w:rsid w:val="00F96A52"/>
    <w:rsid w:val="00FA0485"/>
    <w:rsid w:val="00FA2932"/>
    <w:rsid w:val="00FB4E0E"/>
    <w:rsid w:val="00FB66E6"/>
    <w:rsid w:val="00FD159B"/>
    <w:rsid w:val="00FD71CD"/>
    <w:rsid w:val="00FE28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736EB4"/>
    <w:pPr>
      <w:spacing w:before="120" w:after="120"/>
      <w:ind w:firstLine="709"/>
      <w:jc w:val="both"/>
    </w:pPr>
    <w:rPr>
      <w:sz w:val="24"/>
    </w:rPr>
  </w:style>
  <w:style w:type="paragraph" w:styleId="Titre1">
    <w:name w:val="heading 1"/>
    <w:basedOn w:val="Normal"/>
    <w:next w:val="Corpsdetexte"/>
    <w:qFormat/>
    <w:rsid w:val="00736EB4"/>
    <w:pPr>
      <w:keepNext/>
      <w:numPr>
        <w:numId w:val="1"/>
      </w:numPr>
      <w:spacing w:before="480" w:after="480"/>
      <w:jc w:val="left"/>
      <w:outlineLvl w:val="0"/>
    </w:pPr>
    <w:rPr>
      <w:b/>
      <w:caps/>
      <w:kern w:val="28"/>
      <w:sz w:val="28"/>
    </w:rPr>
  </w:style>
  <w:style w:type="paragraph" w:styleId="Titre2">
    <w:name w:val="heading 2"/>
    <w:basedOn w:val="Normal"/>
    <w:next w:val="Corpsdetexte"/>
    <w:qFormat/>
    <w:rsid w:val="00736EB4"/>
    <w:pPr>
      <w:keepNext/>
      <w:keepLines/>
      <w:numPr>
        <w:ilvl w:val="1"/>
        <w:numId w:val="1"/>
      </w:numPr>
      <w:spacing w:before="360" w:after="360"/>
      <w:jc w:val="left"/>
      <w:outlineLvl w:val="1"/>
    </w:pPr>
    <w:rPr>
      <w:b/>
      <w:caps/>
    </w:rPr>
  </w:style>
  <w:style w:type="paragraph" w:styleId="Titre3">
    <w:name w:val="heading 3"/>
    <w:basedOn w:val="Normal"/>
    <w:next w:val="Corpsdetexte"/>
    <w:qFormat/>
    <w:rsid w:val="00736EB4"/>
    <w:pPr>
      <w:keepNext/>
      <w:keepLines/>
      <w:numPr>
        <w:ilvl w:val="2"/>
        <w:numId w:val="1"/>
      </w:numPr>
      <w:spacing w:before="240" w:after="240"/>
      <w:jc w:val="left"/>
      <w:outlineLvl w:val="2"/>
    </w:pPr>
    <w:rPr>
      <w:b/>
      <w:smallCaps/>
    </w:rPr>
  </w:style>
  <w:style w:type="paragraph" w:styleId="Titre4">
    <w:name w:val="heading 4"/>
    <w:basedOn w:val="Normal"/>
    <w:next w:val="Corpsdetexte"/>
    <w:qFormat/>
    <w:rsid w:val="00736EB4"/>
    <w:pPr>
      <w:keepNext/>
      <w:keepLines/>
      <w:numPr>
        <w:ilvl w:val="3"/>
        <w:numId w:val="1"/>
      </w:numPr>
      <w:spacing w:before="240"/>
      <w:jc w:val="left"/>
      <w:outlineLvl w:val="3"/>
    </w:pPr>
    <w:rPr>
      <w:b/>
    </w:rPr>
  </w:style>
  <w:style w:type="paragraph" w:styleId="Titre5">
    <w:name w:val="heading 5"/>
    <w:basedOn w:val="Normal"/>
    <w:next w:val="Corpsdetexte"/>
    <w:qFormat/>
    <w:rsid w:val="00736EB4"/>
    <w:pPr>
      <w:keepNext/>
      <w:keepLines/>
      <w:numPr>
        <w:ilvl w:val="4"/>
        <w:numId w:val="1"/>
      </w:numPr>
      <w:spacing w:before="240"/>
      <w:jc w:val="left"/>
      <w:outlineLvl w:val="4"/>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Corps de texte Car2 Car,Corps de texte Car1 Car Car1,Corps de texte Car Car Car Car1,Corps de texte Car2 Car Car Car,Corps de texte Car1 Car Car Car Car Car Car,Corps de texte Car Car Car Car Car Car Car Car,Car Car Car"/>
    <w:basedOn w:val="Normal"/>
    <w:rsid w:val="00736EB4"/>
  </w:style>
  <w:style w:type="character" w:customStyle="1" w:styleId="PSCar">
    <w:name w:val="PS Car"/>
    <w:link w:val="PS"/>
    <w:rsid w:val="00736EB4"/>
    <w:rPr>
      <w:rFonts w:ascii="CG Times (WN)" w:hAnsi="CG Times (WN)"/>
      <w:sz w:val="24"/>
      <w:lang w:val="fr-FR" w:eastAsia="fr-FR" w:bidi="ar-SA"/>
    </w:rPr>
  </w:style>
  <w:style w:type="paragraph" w:customStyle="1" w:styleId="PS">
    <w:name w:val="PS"/>
    <w:basedOn w:val="Normal"/>
    <w:link w:val="PSCar"/>
    <w:rsid w:val="00736EB4"/>
    <w:pPr>
      <w:spacing w:before="0" w:after="480"/>
      <w:ind w:left="1701" w:firstLine="1134"/>
    </w:pPr>
    <w:rPr>
      <w:rFonts w:ascii="CG Times (WN)" w:hAnsi="CG Times (WN)"/>
    </w:rPr>
  </w:style>
  <w:style w:type="paragraph" w:styleId="Notedebasdepage">
    <w:name w:val="footnote text"/>
    <w:basedOn w:val="Normal"/>
    <w:semiHidden/>
    <w:rsid w:val="00736EB4"/>
    <w:pPr>
      <w:spacing w:before="0" w:after="0"/>
      <w:ind w:firstLine="0"/>
      <w:jc w:val="left"/>
    </w:pPr>
    <w:rPr>
      <w:sz w:val="20"/>
    </w:rPr>
  </w:style>
  <w:style w:type="character" w:styleId="Appelnotedebasdep">
    <w:name w:val="footnote reference"/>
    <w:semiHidden/>
    <w:rsid w:val="00736EB4"/>
    <w:rPr>
      <w:vertAlign w:val="superscript"/>
    </w:rPr>
  </w:style>
  <w:style w:type="table" w:styleId="Grilledutableau">
    <w:name w:val="Table Grid"/>
    <w:basedOn w:val="TableauNormal"/>
    <w:rsid w:val="00736E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BF1E67"/>
    <w:rPr>
      <w:rFonts w:ascii="Tahoma" w:hAnsi="Tahoma" w:cs="Tahoma"/>
      <w:sz w:val="16"/>
      <w:szCs w:val="16"/>
    </w:rPr>
  </w:style>
  <w:style w:type="paragraph" w:styleId="Pieddepage">
    <w:name w:val="footer"/>
    <w:basedOn w:val="Normal"/>
    <w:rsid w:val="00B66FF4"/>
    <w:pPr>
      <w:tabs>
        <w:tab w:val="center" w:pos="4536"/>
        <w:tab w:val="right" w:pos="9072"/>
      </w:tabs>
    </w:pPr>
  </w:style>
  <w:style w:type="character" w:styleId="Numrodepage">
    <w:name w:val="page number"/>
    <w:basedOn w:val="Policepardfaut"/>
    <w:rsid w:val="00B66FF4"/>
  </w:style>
  <w:style w:type="paragraph" w:customStyle="1" w:styleId="StylepsNoirPremireligne222cmAvantAutomatiqueApr">
    <w:name w:val="Style ps + Noir Première ligne : 2.22 cm Avant : Automatique Apr..."/>
    <w:basedOn w:val="PS"/>
    <w:rsid w:val="00E34E7E"/>
    <w:pPr>
      <w:spacing w:before="100" w:beforeAutospacing="1" w:after="100" w:afterAutospacing="1"/>
      <w:ind w:left="0" w:firstLine="1259"/>
    </w:pPr>
    <w:rPr>
      <w:rFonts w:ascii="Times New Roman" w:hAnsi="Times New Roman"/>
      <w:color w:val="000000"/>
    </w:rPr>
  </w:style>
  <w:style w:type="paragraph" w:customStyle="1" w:styleId="CarCar1CarCarCarCarCarCar">
    <w:name w:val="Car Car1 Car Car Car Car Car Car"/>
    <w:basedOn w:val="Normal"/>
    <w:rsid w:val="00F72DA5"/>
    <w:pPr>
      <w:spacing w:before="0" w:after="160" w:line="240" w:lineRule="exact"/>
      <w:ind w:firstLine="0"/>
      <w:jc w:val="left"/>
    </w:pPr>
    <w:rPr>
      <w:rFonts w:ascii="Tahoma" w:hAnsi="Tahoma"/>
      <w:sz w:val="20"/>
      <w:lang w:val="en-US" w:eastAsia="en-US"/>
    </w:rPr>
  </w:style>
  <w:style w:type="paragraph" w:styleId="En-tte">
    <w:name w:val="header"/>
    <w:basedOn w:val="Normal"/>
    <w:rsid w:val="00F510C4"/>
    <w:pPr>
      <w:tabs>
        <w:tab w:val="center" w:pos="4536"/>
        <w:tab w:val="right" w:pos="9072"/>
      </w:tabs>
    </w:pPr>
  </w:style>
  <w:style w:type="paragraph" w:customStyle="1" w:styleId="CarCar1">
    <w:name w:val="Car Car1"/>
    <w:basedOn w:val="Normal"/>
    <w:rsid w:val="00624288"/>
    <w:pPr>
      <w:spacing w:before="0" w:after="160" w:line="240" w:lineRule="exact"/>
      <w:ind w:firstLine="0"/>
      <w:jc w:val="left"/>
    </w:pPr>
    <w:rPr>
      <w:rFonts w:ascii="Tahoma" w:hAnsi="Tahoma"/>
      <w:sz w:val="20"/>
      <w:lang w:val="en-US" w:eastAsia="en-US"/>
    </w:rPr>
  </w:style>
  <w:style w:type="paragraph" w:customStyle="1" w:styleId="P0">
    <w:name w:val="P0"/>
    <w:basedOn w:val="Normal"/>
    <w:link w:val="P0Car"/>
    <w:rsid w:val="00624288"/>
    <w:pPr>
      <w:spacing w:before="240" w:after="240" w:line="240" w:lineRule="atLeast"/>
      <w:ind w:left="1701" w:firstLine="567"/>
    </w:pPr>
    <w:rPr>
      <w:szCs w:val="24"/>
    </w:rPr>
  </w:style>
  <w:style w:type="character" w:customStyle="1" w:styleId="P0Car">
    <w:name w:val="P0 Car"/>
    <w:link w:val="P0"/>
    <w:rsid w:val="00624288"/>
    <w:rPr>
      <w:sz w:val="24"/>
      <w:szCs w:val="24"/>
      <w:lang w:val="fr-FR" w:eastAsia="fr-FR" w:bidi="ar-SA"/>
    </w:rPr>
  </w:style>
  <w:style w:type="paragraph" w:styleId="Paragraphedeliste">
    <w:name w:val="List Paragraph"/>
    <w:basedOn w:val="Normal"/>
    <w:uiPriority w:val="34"/>
    <w:qFormat/>
    <w:rsid w:val="005D3260"/>
    <w:pPr>
      <w:ind w:left="708"/>
    </w:pPr>
  </w:style>
  <w:style w:type="paragraph" w:styleId="NormalWeb">
    <w:name w:val="Normal (Web)"/>
    <w:basedOn w:val="Normal"/>
    <w:uiPriority w:val="99"/>
    <w:semiHidden/>
    <w:unhideWhenUsed/>
    <w:rsid w:val="00AE4D94"/>
    <w:pPr>
      <w:spacing w:before="100" w:beforeAutospacing="1" w:after="100" w:afterAutospacing="1"/>
      <w:ind w:firstLine="0"/>
      <w:jc w:val="left"/>
    </w:pPr>
    <w:rPr>
      <w:szCs w:val="24"/>
    </w:rPr>
  </w:style>
  <w:style w:type="paragraph" w:customStyle="1" w:styleId="Titretableau">
    <w:name w:val="Titre tableau"/>
    <w:basedOn w:val="Corpsdetexte"/>
    <w:next w:val="Corpsdetexte"/>
    <w:rsid w:val="00E401AA"/>
    <w:pPr>
      <w:numPr>
        <w:numId w:val="4"/>
      </w:numPr>
      <w:tabs>
        <w:tab w:val="num" w:pos="360"/>
      </w:tabs>
      <w:spacing w:before="480" w:after="240"/>
      <w:ind w:left="0" w:firstLine="709"/>
      <w:jc w:val="center"/>
    </w:pPr>
    <w:rPr>
      <w:b/>
    </w:rPr>
  </w:style>
  <w:style w:type="character" w:styleId="Marquedecommentaire">
    <w:name w:val="annotation reference"/>
    <w:uiPriority w:val="99"/>
    <w:semiHidden/>
    <w:unhideWhenUsed/>
    <w:rsid w:val="000D394C"/>
    <w:rPr>
      <w:sz w:val="16"/>
      <w:szCs w:val="16"/>
    </w:rPr>
  </w:style>
  <w:style w:type="paragraph" w:styleId="Commentaire">
    <w:name w:val="annotation text"/>
    <w:basedOn w:val="Normal"/>
    <w:link w:val="CommentaireCar"/>
    <w:uiPriority w:val="99"/>
    <w:semiHidden/>
    <w:unhideWhenUsed/>
    <w:rsid w:val="000D394C"/>
    <w:rPr>
      <w:sz w:val="20"/>
    </w:rPr>
  </w:style>
  <w:style w:type="character" w:customStyle="1" w:styleId="CommentaireCar">
    <w:name w:val="Commentaire Car"/>
    <w:basedOn w:val="Policepardfaut"/>
    <w:link w:val="Commentaire"/>
    <w:uiPriority w:val="99"/>
    <w:semiHidden/>
    <w:rsid w:val="000D394C"/>
  </w:style>
  <w:style w:type="paragraph" w:styleId="Objetducommentaire">
    <w:name w:val="annotation subject"/>
    <w:basedOn w:val="Commentaire"/>
    <w:next w:val="Commentaire"/>
    <w:link w:val="ObjetducommentaireCar"/>
    <w:uiPriority w:val="99"/>
    <w:semiHidden/>
    <w:unhideWhenUsed/>
    <w:rsid w:val="000D394C"/>
    <w:rPr>
      <w:b/>
      <w:bCs/>
    </w:rPr>
  </w:style>
  <w:style w:type="character" w:customStyle="1" w:styleId="ObjetducommentaireCar">
    <w:name w:val="Objet du commentaire Car"/>
    <w:link w:val="Objetducommentaire"/>
    <w:uiPriority w:val="99"/>
    <w:semiHidden/>
    <w:rsid w:val="000D394C"/>
    <w:rPr>
      <w:b/>
      <w:bCs/>
    </w:rPr>
  </w:style>
  <w:style w:type="paragraph" w:customStyle="1" w:styleId="ps0">
    <w:name w:val="ps"/>
    <w:basedOn w:val="Normal"/>
    <w:rsid w:val="00C16194"/>
    <w:pPr>
      <w:spacing w:before="100" w:beforeAutospacing="1" w:after="100" w:afterAutospacing="1"/>
      <w:ind w:firstLine="0"/>
      <w:jc w:val="left"/>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56814">
      <w:bodyDiv w:val="1"/>
      <w:marLeft w:val="0"/>
      <w:marRight w:val="0"/>
      <w:marTop w:val="0"/>
      <w:marBottom w:val="0"/>
      <w:divBdr>
        <w:top w:val="none" w:sz="0" w:space="0" w:color="auto"/>
        <w:left w:val="none" w:sz="0" w:space="0" w:color="auto"/>
        <w:bottom w:val="none" w:sz="0" w:space="0" w:color="auto"/>
        <w:right w:val="none" w:sz="0" w:space="0" w:color="auto"/>
      </w:divBdr>
    </w:div>
    <w:div w:id="421412560">
      <w:bodyDiv w:val="1"/>
      <w:marLeft w:val="0"/>
      <w:marRight w:val="0"/>
      <w:marTop w:val="0"/>
      <w:marBottom w:val="0"/>
      <w:divBdr>
        <w:top w:val="none" w:sz="0" w:space="0" w:color="auto"/>
        <w:left w:val="none" w:sz="0" w:space="0" w:color="auto"/>
        <w:bottom w:val="none" w:sz="0" w:space="0" w:color="auto"/>
        <w:right w:val="none" w:sz="0" w:space="0" w:color="auto"/>
      </w:divBdr>
      <w:divsChild>
        <w:div w:id="658114204">
          <w:marLeft w:val="0"/>
          <w:marRight w:val="0"/>
          <w:marTop w:val="0"/>
          <w:marBottom w:val="0"/>
          <w:divBdr>
            <w:top w:val="none" w:sz="0" w:space="0" w:color="auto"/>
            <w:left w:val="none" w:sz="0" w:space="0" w:color="auto"/>
            <w:bottom w:val="none" w:sz="0" w:space="0" w:color="auto"/>
            <w:right w:val="none" w:sz="0" w:space="0" w:color="auto"/>
          </w:divBdr>
          <w:divsChild>
            <w:div w:id="912471061">
              <w:marLeft w:val="0"/>
              <w:marRight w:val="0"/>
              <w:marTop w:val="0"/>
              <w:marBottom w:val="0"/>
              <w:divBdr>
                <w:top w:val="none" w:sz="0" w:space="0" w:color="auto"/>
                <w:left w:val="none" w:sz="0" w:space="0" w:color="auto"/>
                <w:bottom w:val="none" w:sz="0" w:space="0" w:color="auto"/>
                <w:right w:val="none" w:sz="0" w:space="0" w:color="auto"/>
              </w:divBdr>
              <w:divsChild>
                <w:div w:id="1991789234">
                  <w:marLeft w:val="0"/>
                  <w:marRight w:val="0"/>
                  <w:marTop w:val="0"/>
                  <w:marBottom w:val="0"/>
                  <w:divBdr>
                    <w:top w:val="none" w:sz="0" w:space="0" w:color="auto"/>
                    <w:left w:val="none" w:sz="0" w:space="0" w:color="auto"/>
                    <w:bottom w:val="none" w:sz="0" w:space="0" w:color="auto"/>
                    <w:right w:val="none" w:sz="0" w:space="0" w:color="auto"/>
                  </w:divBdr>
                  <w:divsChild>
                    <w:div w:id="39478529">
                      <w:marLeft w:val="0"/>
                      <w:marRight w:val="0"/>
                      <w:marTop w:val="0"/>
                      <w:marBottom w:val="0"/>
                      <w:divBdr>
                        <w:top w:val="none" w:sz="0" w:space="0" w:color="auto"/>
                        <w:left w:val="none" w:sz="0" w:space="0" w:color="auto"/>
                        <w:bottom w:val="none" w:sz="0" w:space="0" w:color="auto"/>
                        <w:right w:val="none" w:sz="0" w:space="0" w:color="auto"/>
                      </w:divBdr>
                      <w:divsChild>
                        <w:div w:id="617300002">
                          <w:marLeft w:val="0"/>
                          <w:marRight w:val="0"/>
                          <w:marTop w:val="0"/>
                          <w:marBottom w:val="0"/>
                          <w:divBdr>
                            <w:top w:val="none" w:sz="0" w:space="0" w:color="auto"/>
                            <w:left w:val="none" w:sz="0" w:space="0" w:color="auto"/>
                            <w:bottom w:val="none" w:sz="0" w:space="0" w:color="auto"/>
                            <w:right w:val="none" w:sz="0" w:space="0" w:color="auto"/>
                          </w:divBdr>
                          <w:divsChild>
                            <w:div w:id="2138449403">
                              <w:marLeft w:val="0"/>
                              <w:marRight w:val="0"/>
                              <w:marTop w:val="0"/>
                              <w:marBottom w:val="0"/>
                              <w:divBdr>
                                <w:top w:val="none" w:sz="0" w:space="0" w:color="auto"/>
                                <w:left w:val="none" w:sz="0" w:space="0" w:color="auto"/>
                                <w:bottom w:val="none" w:sz="0" w:space="0" w:color="auto"/>
                                <w:right w:val="none" w:sz="0" w:space="0" w:color="auto"/>
                              </w:divBdr>
                              <w:divsChild>
                                <w:div w:id="13628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825360901">
      <w:bodyDiv w:val="1"/>
      <w:marLeft w:val="0"/>
      <w:marRight w:val="0"/>
      <w:marTop w:val="0"/>
      <w:marBottom w:val="0"/>
      <w:divBdr>
        <w:top w:val="none" w:sz="0" w:space="0" w:color="auto"/>
        <w:left w:val="none" w:sz="0" w:space="0" w:color="auto"/>
        <w:bottom w:val="none" w:sz="0" w:space="0" w:color="auto"/>
        <w:right w:val="none" w:sz="0" w:space="0" w:color="auto"/>
      </w:divBdr>
    </w:div>
    <w:div w:id="17097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3391D-7EAF-47A3-9ADA-C2DF5882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3253</Words>
  <Characters>17892</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21103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cdemier</dc:creator>
  <cp:keywords/>
  <cp:lastModifiedBy>jpbonin</cp:lastModifiedBy>
  <cp:revision>3</cp:revision>
  <cp:lastPrinted>2012-12-10T13:54:00Z</cp:lastPrinted>
  <dcterms:created xsi:type="dcterms:W3CDTF">2013-02-28T16:10:00Z</dcterms:created>
  <dcterms:modified xsi:type="dcterms:W3CDTF">2013-03-01T17:48:00Z</dcterms:modified>
</cp:coreProperties>
</file>