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2127"/>
        <w:gridCol w:w="4677"/>
      </w:tblGrid>
      <w:tr w:rsidR="00007DC5" w:rsidTr="00C4154A">
        <w:tc>
          <w:tcPr>
            <w:tcW w:w="3544" w:type="dxa"/>
            <w:vAlign w:val="center"/>
          </w:tcPr>
          <w:p w:rsidR="00007DC5" w:rsidRPr="00B772D6" w:rsidRDefault="00007DC5" w:rsidP="00C4154A">
            <w:pPr>
              <w:pStyle w:val="1pageCour"/>
              <w:ind w:left="355" w:right="-496"/>
            </w:pPr>
            <w:r w:rsidRPr="00B772D6">
              <w:t>Cour des comptes</w:t>
            </w:r>
          </w:p>
        </w:tc>
        <w:tc>
          <w:tcPr>
            <w:tcW w:w="2127" w:type="dxa"/>
            <w:vAlign w:val="center"/>
          </w:tcPr>
          <w:p w:rsidR="00007DC5" w:rsidRDefault="00007DC5" w:rsidP="00C4154A">
            <w:pPr>
              <w:pStyle w:val="1pageCour"/>
              <w:ind w:left="355" w:right="-496"/>
            </w:pPr>
          </w:p>
        </w:tc>
        <w:tc>
          <w:tcPr>
            <w:tcW w:w="4677" w:type="dxa"/>
            <w:vAlign w:val="center"/>
          </w:tcPr>
          <w:p w:rsidR="00007DC5" w:rsidRDefault="00007DC5" w:rsidP="00E5738C">
            <w:pPr>
              <w:pStyle w:val="1pageCour"/>
            </w:pPr>
          </w:p>
        </w:tc>
      </w:tr>
      <w:tr w:rsidR="00007DC5" w:rsidRPr="00C176ED" w:rsidTr="00C4154A">
        <w:tc>
          <w:tcPr>
            <w:tcW w:w="3544" w:type="dxa"/>
            <w:vAlign w:val="center"/>
          </w:tcPr>
          <w:p w:rsidR="00007DC5" w:rsidRPr="00C176ED" w:rsidRDefault="00007DC5" w:rsidP="00C4154A">
            <w:pPr>
              <w:pStyle w:val="1pageCour"/>
              <w:ind w:left="355" w:right="-496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007DC5" w:rsidRPr="00C176ED" w:rsidRDefault="00007DC5" w:rsidP="00C4154A">
            <w:pPr>
              <w:pStyle w:val="1pageCour"/>
              <w:ind w:left="355" w:right="-496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007DC5" w:rsidRPr="00C176ED" w:rsidRDefault="00007DC5" w:rsidP="00E5738C">
            <w:pPr>
              <w:pStyle w:val="1pageCour"/>
              <w:rPr>
                <w:sz w:val="16"/>
                <w:szCs w:val="16"/>
              </w:rPr>
            </w:pPr>
          </w:p>
        </w:tc>
      </w:tr>
      <w:tr w:rsidR="00007DC5" w:rsidTr="00C4154A">
        <w:trPr>
          <w:trHeight w:val="498"/>
        </w:trPr>
        <w:tc>
          <w:tcPr>
            <w:tcW w:w="3544" w:type="dxa"/>
            <w:vAlign w:val="center"/>
          </w:tcPr>
          <w:p w:rsidR="00007DC5" w:rsidRDefault="00007DC5" w:rsidP="00C4154A">
            <w:pPr>
              <w:pStyle w:val="1pageChambre"/>
              <w:ind w:left="355" w:right="-496"/>
            </w:pPr>
            <w:r>
              <w:t>Quatrième chambre</w:t>
            </w:r>
          </w:p>
        </w:tc>
        <w:tc>
          <w:tcPr>
            <w:tcW w:w="2127" w:type="dxa"/>
            <w:vAlign w:val="center"/>
          </w:tcPr>
          <w:p w:rsidR="00007DC5" w:rsidRDefault="00007DC5" w:rsidP="00C4154A">
            <w:pPr>
              <w:pStyle w:val="1pageCour"/>
              <w:ind w:left="355" w:right="-496"/>
            </w:pPr>
          </w:p>
        </w:tc>
        <w:tc>
          <w:tcPr>
            <w:tcW w:w="4677" w:type="dxa"/>
            <w:vAlign w:val="center"/>
          </w:tcPr>
          <w:p w:rsidR="00007DC5" w:rsidRDefault="00007DC5" w:rsidP="00E5738C">
            <w:pPr>
              <w:pStyle w:val="1pageCour"/>
            </w:pPr>
          </w:p>
        </w:tc>
      </w:tr>
      <w:tr w:rsidR="00007DC5" w:rsidRPr="00C176ED" w:rsidTr="00C4154A">
        <w:tc>
          <w:tcPr>
            <w:tcW w:w="3544" w:type="dxa"/>
            <w:vAlign w:val="center"/>
          </w:tcPr>
          <w:p w:rsidR="00007DC5" w:rsidRPr="00C176ED" w:rsidRDefault="00007DC5" w:rsidP="00C4154A">
            <w:pPr>
              <w:pStyle w:val="1pageChambre"/>
              <w:ind w:left="355" w:right="-496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007DC5" w:rsidRPr="00C176ED" w:rsidRDefault="00007DC5" w:rsidP="00C4154A">
            <w:pPr>
              <w:pStyle w:val="1pageCour"/>
              <w:ind w:left="355" w:right="-496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007DC5" w:rsidRPr="00C176ED" w:rsidRDefault="00007DC5" w:rsidP="00E5738C">
            <w:pPr>
              <w:pStyle w:val="1pageCour"/>
              <w:rPr>
                <w:sz w:val="16"/>
                <w:szCs w:val="16"/>
              </w:rPr>
            </w:pPr>
          </w:p>
        </w:tc>
      </w:tr>
      <w:tr w:rsidR="00007DC5" w:rsidRPr="00BE69A2" w:rsidTr="00C4154A">
        <w:tc>
          <w:tcPr>
            <w:tcW w:w="3544" w:type="dxa"/>
            <w:vAlign w:val="center"/>
          </w:tcPr>
          <w:p w:rsidR="00007DC5" w:rsidRPr="00F30C3C" w:rsidRDefault="00007DC5" w:rsidP="00C4154A">
            <w:pPr>
              <w:pStyle w:val="1pageChambre"/>
              <w:ind w:left="355" w:right="-496"/>
            </w:pPr>
            <w:r w:rsidRPr="00F30C3C">
              <w:t>Première section</w:t>
            </w:r>
          </w:p>
        </w:tc>
        <w:tc>
          <w:tcPr>
            <w:tcW w:w="2127" w:type="dxa"/>
            <w:vAlign w:val="center"/>
          </w:tcPr>
          <w:p w:rsidR="00007DC5" w:rsidRPr="00BE69A2" w:rsidRDefault="00007DC5" w:rsidP="00C4154A">
            <w:pPr>
              <w:pStyle w:val="1pageCour"/>
              <w:ind w:left="355" w:right="-496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007DC5" w:rsidRPr="00BE69A2" w:rsidRDefault="00007DC5" w:rsidP="00E5738C">
            <w:pPr>
              <w:pStyle w:val="1pageCour"/>
              <w:rPr>
                <w:sz w:val="16"/>
                <w:szCs w:val="16"/>
              </w:rPr>
            </w:pPr>
          </w:p>
        </w:tc>
      </w:tr>
      <w:tr w:rsidR="00007DC5" w:rsidRPr="00C176ED" w:rsidTr="00C4154A">
        <w:tc>
          <w:tcPr>
            <w:tcW w:w="3544" w:type="dxa"/>
            <w:vAlign w:val="center"/>
          </w:tcPr>
          <w:p w:rsidR="00007DC5" w:rsidRPr="00C176ED" w:rsidRDefault="00007DC5" w:rsidP="00C4154A">
            <w:pPr>
              <w:pStyle w:val="1pageCour"/>
              <w:spacing w:after="120"/>
              <w:ind w:left="355" w:right="-496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127" w:type="dxa"/>
            <w:vAlign w:val="center"/>
          </w:tcPr>
          <w:p w:rsidR="00007DC5" w:rsidRPr="00C176ED" w:rsidRDefault="00007DC5" w:rsidP="00C4154A">
            <w:pPr>
              <w:pStyle w:val="1pageCour"/>
              <w:ind w:left="355" w:right="-496"/>
              <w:rPr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007DC5" w:rsidRPr="00C176ED" w:rsidRDefault="00007DC5" w:rsidP="00E5738C">
            <w:pPr>
              <w:pStyle w:val="1pageCour"/>
              <w:rPr>
                <w:sz w:val="16"/>
                <w:szCs w:val="16"/>
              </w:rPr>
            </w:pPr>
          </w:p>
        </w:tc>
      </w:tr>
      <w:tr w:rsidR="00007DC5" w:rsidRPr="00DA003C" w:rsidTr="00C4154A">
        <w:tc>
          <w:tcPr>
            <w:tcW w:w="3544" w:type="dxa"/>
            <w:vAlign w:val="center"/>
          </w:tcPr>
          <w:p w:rsidR="00007DC5" w:rsidRPr="00007DC5" w:rsidRDefault="00007DC5" w:rsidP="00A01FF7">
            <w:pPr>
              <w:pStyle w:val="Corpsdetexte"/>
              <w:spacing w:before="0" w:after="240"/>
              <w:ind w:left="357" w:right="-493" w:firstLine="0"/>
              <w:jc w:val="center"/>
              <w:rPr>
                <w:b/>
                <w:i/>
                <w:sz w:val="22"/>
                <w:szCs w:val="22"/>
              </w:rPr>
            </w:pPr>
            <w:r w:rsidRPr="00007DC5">
              <w:rPr>
                <w:b/>
                <w:i/>
                <w:sz w:val="22"/>
                <w:szCs w:val="22"/>
              </w:rPr>
              <w:t>Arrêt n° 66997</w:t>
            </w:r>
          </w:p>
        </w:tc>
        <w:tc>
          <w:tcPr>
            <w:tcW w:w="2127" w:type="dxa"/>
            <w:vAlign w:val="center"/>
          </w:tcPr>
          <w:p w:rsidR="00007DC5" w:rsidRPr="00DA003C" w:rsidRDefault="00007DC5" w:rsidP="00C4154A">
            <w:pPr>
              <w:pStyle w:val="Corpsdetexte"/>
              <w:spacing w:before="0" w:after="0"/>
              <w:ind w:left="355" w:right="-496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677" w:type="dxa"/>
            <w:vAlign w:val="center"/>
          </w:tcPr>
          <w:p w:rsidR="00007DC5" w:rsidRPr="00DA003C" w:rsidRDefault="00007DC5" w:rsidP="00E5738C">
            <w:pPr>
              <w:pStyle w:val="Corpsdetexte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007DC5" w:rsidRDefault="00007DC5" w:rsidP="00007DC5">
      <w:pPr>
        <w:pStyle w:val="OR"/>
        <w:rPr>
          <w:caps/>
        </w:rPr>
      </w:pPr>
      <w:r>
        <w:rPr>
          <w:caps/>
        </w:rPr>
        <w:t>Commune de Fabrezan (AUDE)</w:t>
      </w:r>
    </w:p>
    <w:p w:rsidR="00007DC5" w:rsidRDefault="00007DC5" w:rsidP="00007DC5">
      <w:pPr>
        <w:pStyle w:val="OR"/>
        <w:rPr>
          <w:caps/>
        </w:rPr>
      </w:pPr>
    </w:p>
    <w:p w:rsidR="00007DC5" w:rsidRDefault="00007DC5" w:rsidP="00007DC5">
      <w:pPr>
        <w:pStyle w:val="OR"/>
        <w:rPr>
          <w:caps/>
        </w:rPr>
      </w:pPr>
    </w:p>
    <w:p w:rsidR="00007DC5" w:rsidRDefault="00007DC5" w:rsidP="00007DC5">
      <w:pPr>
        <w:pStyle w:val="OR"/>
      </w:pPr>
      <w:r>
        <w:t>Appel d’un jugement de la chambre régionale des comptes de Languedoc</w:t>
      </w:r>
      <w:r w:rsidR="00EA28B4">
        <w:t>-</w:t>
      </w:r>
      <w:r>
        <w:t>Roussillon</w:t>
      </w:r>
    </w:p>
    <w:p w:rsidR="00007DC5" w:rsidRDefault="00007DC5" w:rsidP="00007DC5">
      <w:pPr>
        <w:pStyle w:val="OR"/>
      </w:pPr>
    </w:p>
    <w:p w:rsidR="00007DC5" w:rsidRDefault="00007DC5" w:rsidP="00007DC5">
      <w:pPr>
        <w:pStyle w:val="OR"/>
      </w:pPr>
    </w:p>
    <w:p w:rsidR="00007DC5" w:rsidRDefault="00007DC5" w:rsidP="00007DC5">
      <w:pPr>
        <w:pStyle w:val="OR"/>
      </w:pPr>
      <w:r>
        <w:t>Rapport n° 2013-224-0</w:t>
      </w:r>
    </w:p>
    <w:p w:rsidR="00007DC5" w:rsidRDefault="00007DC5" w:rsidP="00007DC5">
      <w:pPr>
        <w:pStyle w:val="OR"/>
      </w:pPr>
    </w:p>
    <w:p w:rsidR="00007DC5" w:rsidRDefault="00007DC5" w:rsidP="00007DC5">
      <w:pPr>
        <w:pStyle w:val="OR"/>
      </w:pPr>
      <w:r>
        <w:t>Audience publique et délibéré du 25 avril 2013</w:t>
      </w:r>
    </w:p>
    <w:p w:rsidR="00007DC5" w:rsidRDefault="00007DC5" w:rsidP="00007DC5">
      <w:pPr>
        <w:pStyle w:val="OR"/>
      </w:pPr>
    </w:p>
    <w:p w:rsidR="00007DC5" w:rsidRDefault="00007DC5" w:rsidP="00DD2C6F">
      <w:pPr>
        <w:pStyle w:val="OR"/>
        <w:spacing w:after="720"/>
      </w:pPr>
      <w:r>
        <w:t>Lecture publique du  30 mai 2013</w:t>
      </w:r>
    </w:p>
    <w:p w:rsidR="00DD2C6F" w:rsidRDefault="00DD2C6F" w:rsidP="00DD2C6F">
      <w:pPr>
        <w:pStyle w:val="PS"/>
        <w:spacing w:after="600"/>
      </w:pPr>
      <w:bookmarkStart w:id="0" w:name="_GoBack"/>
      <w:r>
        <w:t>LA COUR DES COMPTES a rendu l’arrêt suivant :</w:t>
      </w:r>
    </w:p>
    <w:p w:rsidR="00007DC5" w:rsidRDefault="00007DC5" w:rsidP="00007DC5">
      <w:pPr>
        <w:pStyle w:val="PS"/>
      </w:pPr>
      <w:r w:rsidRPr="00C176ED">
        <w:t>LA COUR,</w:t>
      </w:r>
    </w:p>
    <w:p w:rsidR="00007DC5" w:rsidRPr="00B8655C" w:rsidDel="00B63A15" w:rsidRDefault="00007DC5" w:rsidP="00007DC5">
      <w:pPr>
        <w:pStyle w:val="PS"/>
      </w:pPr>
      <w:r w:rsidRPr="00B8655C">
        <w:t xml:space="preserve">Vu la requête en date du 4 novembre 2011, enregistrée au greffe de la chambre régionale des comptes de </w:t>
      </w:r>
      <w:r>
        <w:t>Languedoc-</w:t>
      </w:r>
      <w:r w:rsidRPr="00B8655C">
        <w:t>Roussillon le 9 novembre 2011, par laquelle M. </w:t>
      </w:r>
      <w:r w:rsidR="00184280">
        <w:t>X</w:t>
      </w:r>
      <w:r w:rsidRPr="00B8655C">
        <w:t xml:space="preserve">, comptable de la </w:t>
      </w:r>
      <w:r w:rsidRPr="00007DC5">
        <w:rPr>
          <w:caps/>
        </w:rPr>
        <w:t>commune de Fabrezan</w:t>
      </w:r>
      <w:r w:rsidRPr="00B8655C">
        <w:t xml:space="preserve"> du 30 juin 2001 au 30</w:t>
      </w:r>
      <w:r w:rsidR="008126E5">
        <w:t xml:space="preserve">  </w:t>
      </w:r>
      <w:r w:rsidRPr="00B8655C">
        <w:t>juin 2003, a élevé appel des dispositions définitives du jugement n° 2011</w:t>
      </w:r>
      <w:r w:rsidRPr="00B8655C">
        <w:noBreakHyphen/>
        <w:t>0004 du 29 juin 2011</w:t>
      </w:r>
      <w:r>
        <w:t xml:space="preserve"> par lequel cette juridiction l’a constitué</w:t>
      </w:r>
      <w:r w:rsidRPr="00B8655C">
        <w:t xml:space="preserve"> débiteur de ladite commune </w:t>
      </w:r>
      <w:r>
        <w:t>de</w:t>
      </w:r>
      <w:r w:rsidRPr="00B8655C">
        <w:t xml:space="preserve"> la somme de 1 438,92 €</w:t>
      </w:r>
      <w:r>
        <w:t>,</w:t>
      </w:r>
      <w:r w:rsidRPr="00B8655C">
        <w:t xml:space="preserve"> augmentée des intérêts de droit ;</w:t>
      </w:r>
    </w:p>
    <w:p w:rsidR="00007DC5" w:rsidRPr="00DA003C" w:rsidDel="00B63A15" w:rsidRDefault="00007DC5" w:rsidP="00007DC5">
      <w:pPr>
        <w:pStyle w:val="PS"/>
      </w:pPr>
      <w:r w:rsidRPr="00DA003C">
        <w:t>Vu le réquisitoire du Procureur général</w:t>
      </w:r>
      <w:r w:rsidRPr="00B63A15">
        <w:t xml:space="preserve"> </w:t>
      </w:r>
      <w:r>
        <w:t xml:space="preserve">près la Cour des comptes n° 2012-4 </w:t>
      </w:r>
      <w:r w:rsidRPr="00DA003C">
        <w:t>du</w:t>
      </w:r>
      <w:r>
        <w:t xml:space="preserve"> 17 janvier 2012</w:t>
      </w:r>
      <w:r w:rsidRPr="00DA003C">
        <w:t xml:space="preserve"> transmettant </w:t>
      </w:r>
      <w:r>
        <w:t xml:space="preserve">à la Cour </w:t>
      </w:r>
      <w:r w:rsidRPr="00DA003C">
        <w:t>la requête précitée ;</w:t>
      </w:r>
    </w:p>
    <w:p w:rsidR="00007DC5" w:rsidRPr="00DA003C" w:rsidDel="00B63A15" w:rsidRDefault="00007DC5" w:rsidP="00007DC5">
      <w:pPr>
        <w:pStyle w:val="PS"/>
      </w:pPr>
      <w:r w:rsidRPr="00DA003C">
        <w:t>Vu les pièces de la procédure suivie en première instance</w:t>
      </w:r>
      <w:r>
        <w:t> ;</w:t>
      </w:r>
    </w:p>
    <w:p w:rsidR="00007DC5" w:rsidRDefault="00007DC5" w:rsidP="00007DC5">
      <w:pPr>
        <w:pStyle w:val="PS"/>
      </w:pPr>
      <w:r>
        <w:t>Vu le mémoire complémentaire transmis par l’appelant le 25 mars 2013 ;</w:t>
      </w:r>
    </w:p>
    <w:p w:rsidR="00007DC5" w:rsidRDefault="00007DC5" w:rsidP="00007DC5">
      <w:pPr>
        <w:pStyle w:val="PS"/>
      </w:pPr>
      <w:r w:rsidRPr="00DA003C">
        <w:t>Vu le code des juridictions financières ;</w:t>
      </w:r>
    </w:p>
    <w:p w:rsidR="00F94E8E" w:rsidRDefault="00F94E8E">
      <w:pPr>
        <w:pStyle w:val="PS"/>
      </w:pP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07DC5" w:rsidDel="00B63A15" w:rsidRDefault="00007DC5" w:rsidP="00007DC5">
      <w:pPr>
        <w:pStyle w:val="PS"/>
      </w:pPr>
      <w:r>
        <w:lastRenderedPageBreak/>
        <w:t>Vu le code général des impôts et notamment son article 1635</w:t>
      </w:r>
      <w:r w:rsidR="00A01FF7">
        <w:t> </w:t>
      </w:r>
      <w:r>
        <w:t>bis Q dans sa rédaction issue de l’article</w:t>
      </w:r>
      <w:r w:rsidR="00A01FF7">
        <w:t> </w:t>
      </w:r>
      <w:r>
        <w:t>54-II de la loi n° 2011-900 du 29 juillet 2011 de finances rectificative pour 2011 ;</w:t>
      </w:r>
    </w:p>
    <w:p w:rsidR="00007DC5" w:rsidRDefault="00007DC5" w:rsidP="00007DC5">
      <w:pPr>
        <w:pStyle w:val="PS"/>
      </w:pPr>
      <w:r w:rsidRPr="00DA003C">
        <w:t>Vu l’article 60 de la loi de finances n° 63-156 du 23 février 1963 modifiée</w:t>
      </w:r>
      <w:r w:rsidR="008126E5">
        <w:t> </w:t>
      </w:r>
      <w:r w:rsidRPr="00DA003C">
        <w:t>;</w:t>
      </w:r>
    </w:p>
    <w:p w:rsidR="00007DC5" w:rsidRPr="00DA003C" w:rsidRDefault="00007DC5" w:rsidP="00007DC5">
      <w:pPr>
        <w:pStyle w:val="PS"/>
      </w:pPr>
      <w:r>
        <w:t>Vu le décret n°</w:t>
      </w:r>
      <w:r w:rsidR="008126E5">
        <w:t xml:space="preserve"> </w:t>
      </w:r>
      <w:r>
        <w:t>2011-1202 du 28 septembre 2011 relatif au droit affecté au fonds d’indemnisation de la profession d’avoué près les cours d’appel et à la contribution pour l’aide juridique, notamment son article 18 ;</w:t>
      </w:r>
    </w:p>
    <w:p w:rsidR="00007DC5" w:rsidRPr="00DA003C" w:rsidDel="00B63A15" w:rsidRDefault="00007DC5" w:rsidP="00007DC5">
      <w:pPr>
        <w:pStyle w:val="PS"/>
      </w:pPr>
      <w:r w:rsidRPr="00DA003C">
        <w:t>Vu le rapport de M.</w:t>
      </w:r>
      <w:r>
        <w:t xml:space="preserve"> Omar </w:t>
      </w:r>
      <w:r w:rsidRPr="00DA003C">
        <w:t xml:space="preserve">Senhaji, conseiller </w:t>
      </w:r>
      <w:r>
        <w:t>maître</w:t>
      </w:r>
      <w:r w:rsidRPr="00DA003C">
        <w:t> ;</w:t>
      </w:r>
    </w:p>
    <w:p w:rsidR="00007DC5" w:rsidRPr="00DA003C" w:rsidDel="00B63A15" w:rsidRDefault="00007DC5" w:rsidP="00007DC5">
      <w:pPr>
        <w:pStyle w:val="PS"/>
      </w:pPr>
      <w:r w:rsidRPr="00DA003C">
        <w:t xml:space="preserve">Vu les conclusions du Procureur général </w:t>
      </w:r>
      <w:r>
        <w:t xml:space="preserve">n° 230 du 22 mars 2013 </w:t>
      </w:r>
      <w:r w:rsidRPr="00DA003C">
        <w:t>;</w:t>
      </w:r>
    </w:p>
    <w:p w:rsidR="00007DC5" w:rsidRPr="00DA003C" w:rsidDel="00B63A15" w:rsidRDefault="00007DC5" w:rsidP="00007DC5">
      <w:pPr>
        <w:pStyle w:val="PS"/>
      </w:pPr>
      <w:r w:rsidRPr="00DA003C">
        <w:t>Entendu, lors de l’audience publique de ce jour, M.</w:t>
      </w:r>
      <w:r>
        <w:t xml:space="preserve"> Omar </w:t>
      </w:r>
      <w:r w:rsidRPr="00DA003C">
        <w:t>Senhaji, rapporteur, en son rapport, M.</w:t>
      </w:r>
      <w:r>
        <w:t> Yves Perrin</w:t>
      </w:r>
      <w:r w:rsidRPr="00DA003C">
        <w:t xml:space="preserve">, </w:t>
      </w:r>
      <w:r>
        <w:t>avocat général</w:t>
      </w:r>
      <w:r w:rsidRPr="00DA003C">
        <w:t xml:space="preserve">, en </w:t>
      </w:r>
      <w:r>
        <w:t xml:space="preserve">les </w:t>
      </w:r>
      <w:r w:rsidRPr="00DA003C">
        <w:t>conclusions</w:t>
      </w:r>
      <w:r>
        <w:t xml:space="preserve"> du</w:t>
      </w:r>
      <w:r w:rsidR="008126E5">
        <w:t xml:space="preserve"> </w:t>
      </w:r>
      <w:r>
        <w:t>ministère public</w:t>
      </w:r>
      <w:r w:rsidRPr="00DA003C">
        <w:t>, l’appelant, informé de l’audience</w:t>
      </w:r>
      <w:r>
        <w:t>, n’étant ni présent</w:t>
      </w:r>
      <w:r w:rsidR="008126E5">
        <w:t xml:space="preserve"> </w:t>
      </w:r>
      <w:r>
        <w:t>ni représenté ;</w:t>
      </w:r>
    </w:p>
    <w:p w:rsidR="00007DC5" w:rsidRPr="00DA003C" w:rsidDel="00B63A15" w:rsidRDefault="00007DC5" w:rsidP="00007DC5">
      <w:pPr>
        <w:pStyle w:val="PS"/>
      </w:pPr>
      <w:r w:rsidRPr="00DA003C">
        <w:t>Entendu</w:t>
      </w:r>
      <w:r w:rsidR="00EA28B4">
        <w:t>e</w:t>
      </w:r>
      <w:r w:rsidRPr="00DA003C">
        <w:t xml:space="preserve"> en délibéré, </w:t>
      </w:r>
      <w:r w:rsidR="008126E5" w:rsidRPr="00934033">
        <w:t>M</w:t>
      </w:r>
      <w:r w:rsidR="008126E5" w:rsidRPr="00934033">
        <w:rPr>
          <w:vertAlign w:val="superscript"/>
        </w:rPr>
        <w:t>me</w:t>
      </w:r>
      <w:r w:rsidR="008126E5">
        <w:t xml:space="preserve"> </w:t>
      </w:r>
      <w:r w:rsidR="008E1A3E">
        <w:t xml:space="preserve">Hélène </w:t>
      </w:r>
      <w:r>
        <w:t>Gadriot-Renard</w:t>
      </w:r>
      <w:r w:rsidRPr="00DA003C">
        <w:t xml:space="preserve">, </w:t>
      </w:r>
      <w:r>
        <w:t>conseillère maître</w:t>
      </w:r>
      <w:r w:rsidRPr="00DA003C">
        <w:t>, en</w:t>
      </w:r>
      <w:r w:rsidR="008126E5">
        <w:t xml:space="preserve"> </w:t>
      </w:r>
      <w:r w:rsidRPr="00DA003C">
        <w:t>ses observations ;</w:t>
      </w:r>
    </w:p>
    <w:p w:rsidR="00007DC5" w:rsidRDefault="00007DC5" w:rsidP="00007DC5">
      <w:pPr>
        <w:pStyle w:val="PS"/>
      </w:pPr>
      <w:r>
        <w:t>Attendu que, par jugement définitif n°</w:t>
      </w:r>
      <w:r w:rsidR="008126E5">
        <w:t xml:space="preserve"> </w:t>
      </w:r>
      <w:r>
        <w:t>2011-0004 du 29 juin 2011, l</w:t>
      </w:r>
      <w:r w:rsidRPr="00513BB1">
        <w:t>a</w:t>
      </w:r>
      <w:r w:rsidR="008126E5">
        <w:t xml:space="preserve"> </w:t>
      </w:r>
      <w:r w:rsidRPr="00513BB1">
        <w:t>chambre régionale des comptes</w:t>
      </w:r>
      <w:r w:rsidRPr="0064781A">
        <w:t xml:space="preserve"> </w:t>
      </w:r>
      <w:r>
        <w:t>de Languedoc-</w:t>
      </w:r>
      <w:r w:rsidRPr="0064781A">
        <w:t>Roussillon</w:t>
      </w:r>
      <w:r w:rsidRPr="00513BB1">
        <w:t xml:space="preserve"> </w:t>
      </w:r>
      <w:r>
        <w:t>a</w:t>
      </w:r>
      <w:r w:rsidRPr="00513BB1">
        <w:t xml:space="preserve"> constitué M.</w:t>
      </w:r>
      <w:r w:rsidR="008E1A3E">
        <w:t> </w:t>
      </w:r>
      <w:r w:rsidR="00184280">
        <w:t>X</w:t>
      </w:r>
      <w:r w:rsidRPr="00513BB1">
        <w:t>, comptable de la commune de Fabrezan, débiteur de l</w:t>
      </w:r>
      <w:r>
        <w:t xml:space="preserve">adite commune de la somme de 1 438,92 €, </w:t>
      </w:r>
      <w:r w:rsidRPr="00513BB1">
        <w:t>à raison d’un défaut de diligences ayant conduit à l’irrécouvrabilité de créances détenues par la commune</w:t>
      </w:r>
      <w:r w:rsidR="008126E5">
        <w:t> </w:t>
      </w:r>
      <w:r>
        <w:t>; que le comptable conteste le jugement définitif, à lui notifié le 19 septembre</w:t>
      </w:r>
      <w:r w:rsidR="00C4154A">
        <w:t> </w:t>
      </w:r>
      <w:r>
        <w:t xml:space="preserve">2011, et en demande l’infirmation ; </w:t>
      </w:r>
    </w:p>
    <w:p w:rsidR="00007DC5" w:rsidRPr="00490CEC" w:rsidRDefault="00007DC5" w:rsidP="00007DC5">
      <w:pPr>
        <w:pStyle w:val="PS"/>
        <w:rPr>
          <w:rFonts w:cs="Arial"/>
          <w:szCs w:val="22"/>
        </w:rPr>
      </w:pPr>
      <w:r w:rsidRPr="00490CEC">
        <w:t>Considérant en premier lieu qu’il résulte des dispositions de l’article</w:t>
      </w:r>
      <w:r w:rsidR="008126E5">
        <w:t xml:space="preserve"> </w:t>
      </w:r>
      <w:r w:rsidRPr="00490CEC">
        <w:t>1635</w:t>
      </w:r>
      <w:r w:rsidR="00EA28B4">
        <w:t> </w:t>
      </w:r>
      <w:r w:rsidRPr="00490CEC">
        <w:t>bis</w:t>
      </w:r>
      <w:r w:rsidR="00EA28B4">
        <w:t> </w:t>
      </w:r>
      <w:r w:rsidRPr="00490CEC">
        <w:t>Q du code général des impôts que « </w:t>
      </w:r>
      <w:r w:rsidRPr="00490CEC">
        <w:rPr>
          <w:rFonts w:cs="Arial"/>
          <w:i/>
          <w:szCs w:val="22"/>
        </w:rPr>
        <w:t>I.</w:t>
      </w:r>
      <w:r w:rsidR="00C4154A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-</w:t>
      </w:r>
      <w:r w:rsidR="00C4154A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Par dérogation aux</w:t>
      </w:r>
      <w:r w:rsidR="00184280">
        <w:rPr>
          <w:rFonts w:cs="Arial"/>
          <w:i/>
          <w:szCs w:val="22"/>
        </w:rPr>
        <w:t xml:space="preserve"> </w:t>
      </w:r>
      <w:r w:rsidRPr="00490CEC">
        <w:rPr>
          <w:rFonts w:cs="Arial"/>
          <w:i/>
          <w:szCs w:val="22"/>
        </w:rPr>
        <w:t>articles</w:t>
      </w:r>
      <w:r w:rsidR="008126E5">
        <w:rPr>
          <w:rFonts w:cs="Arial"/>
          <w:i/>
          <w:szCs w:val="22"/>
        </w:rPr>
        <w:t xml:space="preserve"> </w:t>
      </w:r>
      <w:r w:rsidRPr="00490CEC">
        <w:rPr>
          <w:rFonts w:cs="Arial"/>
          <w:i/>
          <w:szCs w:val="22"/>
        </w:rPr>
        <w:t>1089 A et 1089 B, une contribution pour l'aide juridique de 35</w:t>
      </w:r>
      <w:r w:rsidR="00EA28B4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€ est perçue par instance introduite en matière civile, commerciale, prud'homale, sociale ou rurale devant une juridiction judiciaire ou par instance introduite devant une juridiction administrative.</w:t>
      </w:r>
      <w:r w:rsidR="008E1A3E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II.</w:t>
      </w:r>
      <w:r w:rsidR="00EA28B4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-</w:t>
      </w:r>
      <w:r w:rsidR="00EA28B4">
        <w:rPr>
          <w:rFonts w:cs="Arial"/>
          <w:i/>
          <w:szCs w:val="22"/>
        </w:rPr>
        <w:t> </w:t>
      </w:r>
      <w:r w:rsidRPr="00490CEC">
        <w:rPr>
          <w:rFonts w:cs="Arial"/>
          <w:i/>
          <w:szCs w:val="22"/>
        </w:rPr>
        <w:t>La contribution pour l'aide juridique est exigible lors de l'introduction de l'instance. Elle est due par la partie qui introduit une instance</w:t>
      </w:r>
      <w:r w:rsidR="008126E5">
        <w:rPr>
          <w:rFonts w:cs="Arial"/>
          <w:i/>
          <w:szCs w:val="22"/>
        </w:rPr>
        <w:t> </w:t>
      </w:r>
      <w:r w:rsidRPr="00490CEC">
        <w:rPr>
          <w:rFonts w:cs="Arial"/>
          <w:szCs w:val="22"/>
        </w:rPr>
        <w:t>» ; qu’en vertu du même article ces dispositions sont applicables « </w:t>
      </w:r>
      <w:r w:rsidRPr="00490CEC">
        <w:rPr>
          <w:rFonts w:cs="Arial"/>
          <w:i/>
          <w:szCs w:val="22"/>
        </w:rPr>
        <w:t>aux instances introduites à compter du 1</w:t>
      </w:r>
      <w:r w:rsidRPr="008126E5">
        <w:rPr>
          <w:rFonts w:cs="Arial"/>
          <w:i/>
          <w:szCs w:val="22"/>
          <w:vertAlign w:val="superscript"/>
        </w:rPr>
        <w:t>er</w:t>
      </w:r>
      <w:r w:rsidR="008126E5">
        <w:rPr>
          <w:rFonts w:cs="Arial"/>
          <w:i/>
          <w:szCs w:val="22"/>
        </w:rPr>
        <w:t xml:space="preserve"> </w:t>
      </w:r>
      <w:r w:rsidRPr="00490CEC">
        <w:rPr>
          <w:rFonts w:cs="Arial"/>
          <w:i/>
          <w:szCs w:val="22"/>
        </w:rPr>
        <w:t>octobre 2011. </w:t>
      </w:r>
      <w:r w:rsidRPr="00490CEC">
        <w:rPr>
          <w:rFonts w:cs="Arial"/>
          <w:szCs w:val="22"/>
        </w:rPr>
        <w:t>» ; qu’en conséquence la requête introduite par M.</w:t>
      </w:r>
      <w:r w:rsidR="008E1A3E">
        <w:rPr>
          <w:rFonts w:cs="Arial"/>
          <w:szCs w:val="22"/>
        </w:rPr>
        <w:t> </w:t>
      </w:r>
      <w:r w:rsidR="00184280">
        <w:rPr>
          <w:rFonts w:cs="Arial"/>
          <w:szCs w:val="22"/>
        </w:rPr>
        <w:t>X</w:t>
      </w:r>
      <w:r>
        <w:rPr>
          <w:rFonts w:cs="Arial"/>
          <w:szCs w:val="22"/>
        </w:rPr>
        <w:t xml:space="preserve">, </w:t>
      </w:r>
      <w:r w:rsidRPr="00490CEC">
        <w:rPr>
          <w:rFonts w:cs="Arial"/>
          <w:szCs w:val="22"/>
        </w:rPr>
        <w:t>datée du 4 novembre 2011 et</w:t>
      </w:r>
      <w:r>
        <w:rPr>
          <w:rFonts w:cs="Arial"/>
          <w:szCs w:val="22"/>
        </w:rPr>
        <w:t xml:space="preserve"> </w:t>
      </w:r>
      <w:r w:rsidRPr="00490CEC">
        <w:rPr>
          <w:rFonts w:cs="Arial"/>
          <w:szCs w:val="22"/>
        </w:rPr>
        <w:t>enregistrée au greffe de la</w:t>
      </w:r>
      <w:r w:rsidR="008126E5">
        <w:rPr>
          <w:rFonts w:cs="Arial"/>
          <w:szCs w:val="22"/>
        </w:rPr>
        <w:t xml:space="preserve"> </w:t>
      </w:r>
      <w:r w:rsidRPr="00490CEC">
        <w:rPr>
          <w:rFonts w:cs="Arial"/>
          <w:szCs w:val="22"/>
        </w:rPr>
        <w:t xml:space="preserve">chambre régionale des comptes </w:t>
      </w:r>
      <w:r w:rsidR="008E1A3E">
        <w:rPr>
          <w:rFonts w:cs="Arial"/>
          <w:szCs w:val="22"/>
        </w:rPr>
        <w:t xml:space="preserve">de Languedoc-Roussillon </w:t>
      </w:r>
      <w:r w:rsidRPr="00490CEC">
        <w:rPr>
          <w:rFonts w:cs="Arial"/>
          <w:szCs w:val="22"/>
        </w:rPr>
        <w:t>le 9 novembre 2011</w:t>
      </w:r>
      <w:r>
        <w:rPr>
          <w:rFonts w:cs="Arial"/>
          <w:szCs w:val="22"/>
        </w:rPr>
        <w:t>,</w:t>
      </w:r>
      <w:r w:rsidRPr="00490CEC">
        <w:rPr>
          <w:rFonts w:cs="Arial"/>
          <w:szCs w:val="22"/>
        </w:rPr>
        <w:t xml:space="preserve"> est</w:t>
      </w:r>
      <w:r w:rsidR="008E1A3E">
        <w:rPr>
          <w:rFonts w:cs="Arial"/>
          <w:szCs w:val="22"/>
        </w:rPr>
        <w:t> </w:t>
      </w:r>
      <w:r w:rsidRPr="00490CEC">
        <w:rPr>
          <w:rFonts w:cs="Arial"/>
          <w:szCs w:val="22"/>
        </w:rPr>
        <w:t>soumise à l’obligation de versement de la contribution précitée ;</w:t>
      </w:r>
    </w:p>
    <w:p w:rsidR="00007DC5" w:rsidRDefault="008E1A3E" w:rsidP="00007DC5">
      <w:pPr>
        <w:pStyle w:val="PS"/>
        <w:rPr>
          <w:rFonts w:cs="Arial"/>
          <w:szCs w:val="22"/>
        </w:rPr>
      </w:pPr>
      <w:r>
        <w:rPr>
          <w:rFonts w:cs="Arial"/>
          <w:szCs w:val="22"/>
        </w:rPr>
        <w:br w:type="page"/>
      </w:r>
      <w:r w:rsidR="00007DC5" w:rsidRPr="00490CEC">
        <w:rPr>
          <w:rFonts w:cs="Arial"/>
          <w:szCs w:val="22"/>
        </w:rPr>
        <w:lastRenderedPageBreak/>
        <w:t>Considérant en second lieu que l’article 18 du décret n°</w:t>
      </w:r>
      <w:r>
        <w:rPr>
          <w:rFonts w:cs="Arial"/>
          <w:szCs w:val="22"/>
        </w:rPr>
        <w:t> </w:t>
      </w:r>
      <w:r w:rsidR="00007DC5" w:rsidRPr="00490CEC">
        <w:rPr>
          <w:rFonts w:cs="Arial"/>
          <w:szCs w:val="22"/>
        </w:rPr>
        <w:t>2011-1202 susvisé précise que « </w:t>
      </w:r>
      <w:r w:rsidR="00007DC5" w:rsidRPr="00490CEC">
        <w:rPr>
          <w:rFonts w:cs="Arial"/>
          <w:i/>
          <w:szCs w:val="22"/>
        </w:rPr>
        <w:t>Pour l'application de l'</w:t>
      </w:r>
      <w:r w:rsidR="00007DC5" w:rsidRPr="00CA3094">
        <w:rPr>
          <w:rFonts w:cs="Arial"/>
          <w:i/>
          <w:szCs w:val="22"/>
          <w:u w:color="2E5387"/>
        </w:rPr>
        <w:t>article 1635 bis Q du code général des impôts</w:t>
      </w:r>
      <w:r w:rsidR="00007DC5" w:rsidRPr="00CA3094">
        <w:rPr>
          <w:rFonts w:cs="Arial"/>
          <w:i/>
          <w:szCs w:val="22"/>
        </w:rPr>
        <w:t xml:space="preserve">, </w:t>
      </w:r>
      <w:r w:rsidR="00007DC5" w:rsidRPr="00490CEC">
        <w:rPr>
          <w:rFonts w:cs="Arial"/>
          <w:i/>
          <w:szCs w:val="22"/>
        </w:rPr>
        <w:t>les dispositions des articles R.</w:t>
      </w:r>
      <w:r w:rsidR="00EA28B4">
        <w:rPr>
          <w:rFonts w:cs="Arial"/>
          <w:i/>
          <w:szCs w:val="22"/>
        </w:rPr>
        <w:t> </w:t>
      </w:r>
      <w:r w:rsidR="00007DC5" w:rsidRPr="00490CEC">
        <w:rPr>
          <w:rFonts w:cs="Arial"/>
          <w:i/>
          <w:szCs w:val="22"/>
        </w:rPr>
        <w:t>411-2, R.</w:t>
      </w:r>
      <w:r w:rsidR="00EA28B4">
        <w:rPr>
          <w:rFonts w:cs="Arial"/>
          <w:i/>
          <w:szCs w:val="22"/>
        </w:rPr>
        <w:t> </w:t>
      </w:r>
      <w:r w:rsidR="00007DC5" w:rsidRPr="00490CEC">
        <w:rPr>
          <w:rFonts w:cs="Arial"/>
          <w:i/>
          <w:szCs w:val="22"/>
        </w:rPr>
        <w:t>411-2-1, R.</w:t>
      </w:r>
      <w:r w:rsidR="00EA28B4">
        <w:rPr>
          <w:rFonts w:cs="Arial"/>
          <w:i/>
          <w:szCs w:val="22"/>
        </w:rPr>
        <w:t> </w:t>
      </w:r>
      <w:r w:rsidR="00007DC5" w:rsidRPr="00490CEC">
        <w:rPr>
          <w:rFonts w:cs="Arial"/>
          <w:i/>
          <w:szCs w:val="22"/>
        </w:rPr>
        <w:t>751-5 (deuxième alinéa) et R.</w:t>
      </w:r>
      <w:r w:rsidR="00EA28B4">
        <w:rPr>
          <w:rFonts w:cs="Arial"/>
          <w:i/>
          <w:szCs w:val="22"/>
        </w:rPr>
        <w:t> </w:t>
      </w:r>
      <w:r w:rsidR="00007DC5" w:rsidRPr="00490CEC">
        <w:rPr>
          <w:rFonts w:cs="Arial"/>
          <w:i/>
          <w:szCs w:val="22"/>
        </w:rPr>
        <w:t xml:space="preserve">761-1 du </w:t>
      </w:r>
      <w:r w:rsidR="00007DC5" w:rsidRPr="00CA3094">
        <w:rPr>
          <w:rFonts w:cs="Arial"/>
          <w:i/>
          <w:szCs w:val="22"/>
          <w:u w:color="2E5387"/>
        </w:rPr>
        <w:t>code de justice administrative</w:t>
      </w:r>
      <w:r w:rsidR="00007DC5" w:rsidRPr="00490CEC">
        <w:rPr>
          <w:rFonts w:cs="Arial"/>
          <w:i/>
          <w:szCs w:val="22"/>
        </w:rPr>
        <w:t xml:space="preserve"> sont applicables devant les juridictions relevant du Conseil d'Etat qui ne sont pas régies par le </w:t>
      </w:r>
      <w:r w:rsidR="00007DC5" w:rsidRPr="00CA3094">
        <w:rPr>
          <w:rFonts w:cs="Arial"/>
          <w:i/>
          <w:szCs w:val="22"/>
          <w:u w:color="2E5387"/>
        </w:rPr>
        <w:t>code de justice administrative</w:t>
      </w:r>
      <w:r w:rsidR="008126E5">
        <w:rPr>
          <w:rFonts w:cs="Arial"/>
          <w:szCs w:val="22"/>
        </w:rPr>
        <w:t> </w:t>
      </w:r>
      <w:r w:rsidR="00007DC5" w:rsidRPr="00CA3094">
        <w:rPr>
          <w:szCs w:val="22"/>
        </w:rPr>
        <w:t>» </w:t>
      </w:r>
      <w:r w:rsidR="00007DC5" w:rsidRPr="00490CEC">
        <w:rPr>
          <w:rFonts w:cs="Arial"/>
          <w:szCs w:val="22"/>
        </w:rPr>
        <w:t>; qu’il</w:t>
      </w:r>
      <w:r w:rsidR="008126E5">
        <w:rPr>
          <w:rFonts w:cs="Arial"/>
          <w:szCs w:val="22"/>
        </w:rPr>
        <w:t xml:space="preserve"> </w:t>
      </w:r>
      <w:r w:rsidR="00007DC5" w:rsidRPr="00490CEC">
        <w:rPr>
          <w:rFonts w:cs="Arial"/>
          <w:szCs w:val="22"/>
        </w:rPr>
        <w:t>résulte de l’article R.</w:t>
      </w:r>
      <w:r>
        <w:rPr>
          <w:rFonts w:cs="Arial"/>
          <w:szCs w:val="22"/>
        </w:rPr>
        <w:t> </w:t>
      </w:r>
      <w:r w:rsidR="00007DC5" w:rsidRPr="00490CEC">
        <w:rPr>
          <w:rFonts w:cs="Arial"/>
          <w:szCs w:val="22"/>
        </w:rPr>
        <w:t>411-2 du code de justice administrative que « </w:t>
      </w:r>
      <w:r w:rsidR="00007DC5" w:rsidRPr="00490CEC">
        <w:rPr>
          <w:rFonts w:cs="Arial"/>
          <w:i/>
          <w:szCs w:val="22"/>
        </w:rPr>
        <w:t xml:space="preserve">Lorsque la contribution pour l'aide juridique prévue à </w:t>
      </w:r>
      <w:r w:rsidR="00007DC5" w:rsidRPr="00CA3094">
        <w:rPr>
          <w:rFonts w:cs="Arial"/>
          <w:i/>
          <w:szCs w:val="22"/>
        </w:rPr>
        <w:t>l'</w:t>
      </w:r>
      <w:r w:rsidR="00007DC5" w:rsidRPr="00CA3094">
        <w:rPr>
          <w:rFonts w:cs="Arial"/>
          <w:i/>
          <w:szCs w:val="22"/>
          <w:u w:color="2E5387"/>
        </w:rPr>
        <w:t>article 1635 bis Q du code général des impôts</w:t>
      </w:r>
      <w:r w:rsidR="00007DC5" w:rsidRPr="00CA3094">
        <w:rPr>
          <w:rFonts w:cs="Arial"/>
          <w:i/>
          <w:color w:val="2E5387"/>
          <w:szCs w:val="22"/>
          <w:u w:color="2E5387"/>
        </w:rPr>
        <w:t xml:space="preserve"> </w:t>
      </w:r>
      <w:r w:rsidR="00007DC5" w:rsidRPr="00490CEC">
        <w:rPr>
          <w:rFonts w:cs="Arial"/>
          <w:i/>
          <w:szCs w:val="22"/>
        </w:rPr>
        <w:t>est due et n'a pas été acquittée, la requête est irrecevable.</w:t>
      </w:r>
      <w:r w:rsidR="00007DC5" w:rsidRPr="00490CEC">
        <w:rPr>
          <w:i/>
        </w:rPr>
        <w:t xml:space="preserve"> (…) </w:t>
      </w:r>
      <w:r w:rsidR="00007DC5" w:rsidRPr="00490CEC">
        <w:rPr>
          <w:rFonts w:cs="Arial"/>
          <w:i/>
          <w:szCs w:val="22"/>
        </w:rPr>
        <w:t xml:space="preserve">Par exception au premier alinéa de l'article </w:t>
      </w:r>
      <w:r w:rsidR="00007DC5" w:rsidRPr="00CA3094">
        <w:rPr>
          <w:rFonts w:cs="Arial"/>
          <w:i/>
          <w:szCs w:val="22"/>
          <w:u w:color="2E5387"/>
        </w:rPr>
        <w:t>R.</w:t>
      </w:r>
      <w:r>
        <w:rPr>
          <w:rFonts w:cs="Arial"/>
          <w:i/>
          <w:szCs w:val="22"/>
          <w:u w:color="2E5387"/>
        </w:rPr>
        <w:t> </w:t>
      </w:r>
      <w:r w:rsidR="00007DC5" w:rsidRPr="00CA3094">
        <w:rPr>
          <w:rFonts w:cs="Arial"/>
          <w:i/>
          <w:szCs w:val="22"/>
          <w:u w:color="2E5387"/>
        </w:rPr>
        <w:t>612-1</w:t>
      </w:r>
      <w:r w:rsidR="00007DC5" w:rsidRPr="00490CEC">
        <w:rPr>
          <w:rFonts w:cs="Arial"/>
          <w:i/>
          <w:szCs w:val="22"/>
        </w:rPr>
        <w:t>, la juridiction peut rejeter d'office une requête entachée d'une telle irrecevabilité sans demande de régularisation préalable, lorsque l'obligation d'acquitter la contribution ou, à défaut, de justifier du dépôt d'une demande d'aide juridictionnelle</w:t>
      </w:r>
      <w:r w:rsidR="008126E5">
        <w:rPr>
          <w:rFonts w:cs="Arial"/>
          <w:i/>
          <w:szCs w:val="22"/>
        </w:rPr>
        <w:t>,</w:t>
      </w:r>
      <w:r w:rsidR="00007DC5" w:rsidRPr="00490CEC">
        <w:rPr>
          <w:rFonts w:cs="Arial"/>
          <w:i/>
          <w:szCs w:val="22"/>
        </w:rPr>
        <w:t xml:space="preserve"> est mentionnée dans la notification de la décision attaquée ou lorsque la requ</w:t>
      </w:r>
      <w:r w:rsidR="008126E5">
        <w:rPr>
          <w:rFonts w:cs="Arial"/>
          <w:i/>
          <w:szCs w:val="22"/>
        </w:rPr>
        <w:t>ête est introduite par un avocat</w:t>
      </w:r>
      <w:r w:rsidR="00007DC5" w:rsidRPr="00490CEC">
        <w:rPr>
          <w:rFonts w:cs="Arial"/>
          <w:i/>
          <w:szCs w:val="22"/>
        </w:rPr>
        <w:t> </w:t>
      </w:r>
      <w:r w:rsidR="00007DC5" w:rsidRPr="00490CEC">
        <w:rPr>
          <w:rFonts w:cs="Arial"/>
          <w:szCs w:val="22"/>
        </w:rPr>
        <w:t>»</w:t>
      </w:r>
      <w:r w:rsidR="008126E5">
        <w:rPr>
          <w:rFonts w:cs="Arial"/>
          <w:szCs w:val="22"/>
        </w:rPr>
        <w:t> ;</w:t>
      </w:r>
    </w:p>
    <w:p w:rsidR="00007DC5" w:rsidRPr="00490CEC" w:rsidRDefault="00007DC5" w:rsidP="00007DC5">
      <w:pPr>
        <w:pStyle w:val="PS"/>
      </w:pPr>
      <w:r>
        <w:rPr>
          <w:rFonts w:cs="Arial"/>
          <w:szCs w:val="22"/>
        </w:rPr>
        <w:t>Considérant que, si la notification de la décision attaquée ne mentionnait pas l’obligation d’acquitter la contribution due, le greffe de la Cour a demandé au requérant de procéder à la régularisation de sa situation</w:t>
      </w:r>
      <w:r w:rsidR="008126E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avant que se tienne l’audience publique destinée à examiner sa requête</w:t>
      </w:r>
      <w:r w:rsidR="008126E5">
        <w:rPr>
          <w:rFonts w:cs="Arial"/>
          <w:szCs w:val="22"/>
        </w:rPr>
        <w:t> </w:t>
      </w:r>
      <w:r>
        <w:rPr>
          <w:rFonts w:cs="Arial"/>
          <w:szCs w:val="22"/>
        </w:rPr>
        <w:t>; qu’à la date de l’audience publique, l’intéressé n’avait pas procédé à la régularisation en question</w:t>
      </w:r>
      <w:r w:rsidR="008126E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en s’acquittant de la contribution due</w:t>
      </w:r>
      <w:r w:rsidR="008126E5">
        <w:rPr>
          <w:rFonts w:cs="Arial"/>
          <w:szCs w:val="22"/>
        </w:rPr>
        <w:t> </w:t>
      </w:r>
      <w:r>
        <w:rPr>
          <w:rFonts w:cs="Arial"/>
          <w:szCs w:val="22"/>
        </w:rPr>
        <w:t>; qu’ainsi la requête de M.</w:t>
      </w:r>
      <w:r w:rsidR="008E1A3E">
        <w:rPr>
          <w:rFonts w:cs="Arial"/>
          <w:szCs w:val="22"/>
        </w:rPr>
        <w:t> </w:t>
      </w:r>
      <w:r w:rsidR="00184280">
        <w:rPr>
          <w:rFonts w:cs="Arial"/>
          <w:szCs w:val="22"/>
        </w:rPr>
        <w:t>X</w:t>
      </w:r>
      <w:r w:rsidR="00EA0B78">
        <w:rPr>
          <w:rFonts w:cs="Arial"/>
          <w:szCs w:val="22"/>
        </w:rPr>
        <w:t xml:space="preserve"> est irrecevable ;</w:t>
      </w:r>
    </w:p>
    <w:p w:rsidR="00007DC5" w:rsidRDefault="00007DC5" w:rsidP="00007DC5">
      <w:pPr>
        <w:pStyle w:val="PS"/>
      </w:pPr>
      <w:r>
        <w:t>Par ces motifs,</w:t>
      </w:r>
    </w:p>
    <w:p w:rsidR="00007DC5" w:rsidRDefault="00007DC5" w:rsidP="008E1A3E">
      <w:pPr>
        <w:pStyle w:val="PS"/>
        <w:ind w:firstLine="0"/>
        <w:jc w:val="center"/>
      </w:pPr>
      <w:r>
        <w:t>D</w:t>
      </w:r>
      <w:r w:rsidR="008126E5" w:rsidRPr="008126E5">
        <w:rPr>
          <w:caps/>
        </w:rPr>
        <w:t>é</w:t>
      </w:r>
      <w:r>
        <w:t>CID</w:t>
      </w:r>
      <w:r w:rsidRPr="00660A6D">
        <w:t>E :</w:t>
      </w:r>
    </w:p>
    <w:p w:rsidR="00007DC5" w:rsidRPr="007C16BF" w:rsidRDefault="00007DC5" w:rsidP="00007DC5">
      <w:pPr>
        <w:pStyle w:val="PS"/>
      </w:pPr>
      <w:r w:rsidRPr="00CA3094">
        <w:t>Article unique</w:t>
      </w:r>
      <w:r w:rsidR="00EA28B4">
        <w:t> : l</w:t>
      </w:r>
      <w:r>
        <w:t>a requête de M.</w:t>
      </w:r>
      <w:r w:rsidR="00EA28B4">
        <w:t> </w:t>
      </w:r>
      <w:r w:rsidR="00184280">
        <w:t>X</w:t>
      </w:r>
      <w:r>
        <w:t xml:space="preserve"> est irrecevable</w:t>
      </w:r>
      <w:r w:rsidRPr="007C16BF">
        <w:t>.</w:t>
      </w:r>
    </w:p>
    <w:p w:rsidR="00007DC5" w:rsidRPr="00660A6D" w:rsidRDefault="00007DC5" w:rsidP="008E1A3E">
      <w:pPr>
        <w:pStyle w:val="PS"/>
        <w:ind w:firstLine="0"/>
        <w:jc w:val="center"/>
      </w:pPr>
      <w:r w:rsidRPr="00660A6D">
        <w:t>------------</w:t>
      </w:r>
    </w:p>
    <w:p w:rsidR="00007DC5" w:rsidRDefault="00007DC5" w:rsidP="00DD2C6F">
      <w:pPr>
        <w:pStyle w:val="PS"/>
      </w:pPr>
      <w:r w:rsidRPr="00257D6D">
        <w:t>Fait et jugé en la Cour des comptes, quatrième chambre, première section. Présents</w:t>
      </w:r>
      <w:r w:rsidR="008E1A3E">
        <w:t> : </w:t>
      </w:r>
      <w:r w:rsidRPr="00257D6D">
        <w:t xml:space="preserve">MM. Bayle, président, </w:t>
      </w:r>
      <w:r w:rsidR="008E1A3E">
        <w:t xml:space="preserve">Maistre, </w:t>
      </w:r>
      <w:r w:rsidRPr="00257D6D">
        <w:t xml:space="preserve">président de section, </w:t>
      </w:r>
      <w:r w:rsidR="008E1A3E">
        <w:t>Ganser, Lafaure,</w:t>
      </w:r>
      <w:r w:rsidRPr="00257D6D">
        <w:t xml:space="preserve"> </w:t>
      </w:r>
      <w:r w:rsidR="008E1A3E">
        <w:t xml:space="preserve">Vachia, </w:t>
      </w:r>
      <w:r w:rsidRPr="00257D6D">
        <w:t>M</w:t>
      </w:r>
      <w:r w:rsidRPr="008126E5">
        <w:rPr>
          <w:vertAlign w:val="superscript"/>
        </w:rPr>
        <w:t>me</w:t>
      </w:r>
      <w:r w:rsidR="008E1A3E" w:rsidRPr="008126E5">
        <w:rPr>
          <w:vertAlign w:val="superscript"/>
        </w:rPr>
        <w:t>s</w:t>
      </w:r>
      <w:r w:rsidRPr="00257D6D">
        <w:t> </w:t>
      </w:r>
      <w:r w:rsidR="008E1A3E">
        <w:t>Dos Reis</w:t>
      </w:r>
      <w:r w:rsidR="008126E5">
        <w:t xml:space="preserve"> et</w:t>
      </w:r>
      <w:r w:rsidR="008E1A3E">
        <w:t xml:space="preserve"> </w:t>
      </w:r>
      <w:r w:rsidRPr="00257D6D">
        <w:t>Gadriot-Renard,</w:t>
      </w:r>
      <w:r w:rsidR="008E1A3E">
        <w:t xml:space="preserve"> et </w:t>
      </w:r>
      <w:r w:rsidR="00EA28B4">
        <w:t>M. </w:t>
      </w:r>
      <w:r w:rsidR="008E1A3E">
        <w:t>Geoffroy,</w:t>
      </w:r>
      <w:r w:rsidRPr="00257D6D">
        <w:t xml:space="preserve"> conseillers maîtres.</w:t>
      </w:r>
    </w:p>
    <w:p w:rsidR="00A155F6" w:rsidRDefault="00DD2C6F" w:rsidP="00A155F6">
      <w:pPr>
        <w:pStyle w:val="PS"/>
      </w:pPr>
      <w:r>
        <w:br w:type="page"/>
      </w:r>
      <w:r w:rsidR="00A155F6" w:rsidRPr="00751084">
        <w:lastRenderedPageBreak/>
        <w:t xml:space="preserve">Signé : </w:t>
      </w:r>
      <w:r w:rsidR="00A155F6">
        <w:t>Bayle, président, et Le Baron, greffier.</w:t>
      </w:r>
    </w:p>
    <w:p w:rsidR="00A155F6" w:rsidRDefault="00A155F6" w:rsidP="00DD2C6F">
      <w:pPr>
        <w:pStyle w:val="PS"/>
        <w:spacing w:after="360"/>
      </w:pPr>
      <w:r w:rsidRPr="00751084">
        <w:t>Collationné, certifié conforme à la minute étant au greffe de la Cour des comptes et déli</w:t>
      </w:r>
      <w:r>
        <w:t>vré par moi, secrétaire général.</w:t>
      </w:r>
    </w:p>
    <w:p w:rsidR="00A155F6" w:rsidRPr="00742CE3" w:rsidRDefault="00A155F6" w:rsidP="00A155F6">
      <w:pPr>
        <w:ind w:left="540" w:firstLine="6264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Pour le Secrétaire général</w:t>
      </w:r>
    </w:p>
    <w:p w:rsidR="00A155F6" w:rsidRPr="00742CE3" w:rsidRDefault="00A155F6" w:rsidP="00A155F6">
      <w:pPr>
        <w:ind w:left="540" w:firstLine="6264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et par délégation,</w:t>
      </w:r>
    </w:p>
    <w:p w:rsidR="00A155F6" w:rsidRPr="00742CE3" w:rsidRDefault="00A155F6" w:rsidP="00A155F6">
      <w:pPr>
        <w:spacing w:after="2160"/>
        <w:ind w:left="539" w:firstLine="6264"/>
        <w:jc w:val="center"/>
        <w:rPr>
          <w:rFonts w:ascii="Times New Roman Gras" w:hAnsi="Times New Roman Gras"/>
          <w:b/>
          <w:bCs/>
          <w:sz w:val="24"/>
        </w:rPr>
      </w:pPr>
      <w:r>
        <w:rPr>
          <w:rFonts w:ascii="Times New Roman Gras" w:hAnsi="Times New Roman Gras"/>
          <w:b/>
          <w:bCs/>
          <w:sz w:val="24"/>
        </w:rPr>
        <w:t xml:space="preserve">le Chef du Greffe </w:t>
      </w:r>
      <w:r w:rsidRPr="00742CE3">
        <w:rPr>
          <w:rFonts w:ascii="Times New Roman Gras" w:hAnsi="Times New Roman Gras"/>
          <w:b/>
          <w:bCs/>
          <w:sz w:val="24"/>
        </w:rPr>
        <w:t>contentieux</w:t>
      </w:r>
    </w:p>
    <w:p w:rsidR="00A155F6" w:rsidRPr="00742CE3" w:rsidRDefault="00A155F6" w:rsidP="007E4655">
      <w:pPr>
        <w:spacing w:before="120" w:after="360"/>
        <w:ind w:left="540" w:firstLine="6548"/>
        <w:jc w:val="center"/>
        <w:rPr>
          <w:rFonts w:ascii="Times New Roman Gras" w:hAnsi="Times New Roman Gras"/>
          <w:b/>
          <w:bCs/>
          <w:sz w:val="24"/>
        </w:rPr>
      </w:pPr>
      <w:r w:rsidRPr="00742CE3">
        <w:rPr>
          <w:rFonts w:ascii="Times New Roman Gras" w:hAnsi="Times New Roman Gras"/>
          <w:b/>
          <w:bCs/>
          <w:sz w:val="24"/>
        </w:rPr>
        <w:t>Daniel FEREZ</w:t>
      </w:r>
      <w:bookmarkEnd w:id="0"/>
    </w:p>
    <w:sectPr w:rsidR="00A155F6" w:rsidRPr="00742CE3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E6" w:rsidRDefault="008A5DE6">
      <w:r>
        <w:separator/>
      </w:r>
    </w:p>
  </w:endnote>
  <w:endnote w:type="continuationSeparator" w:id="0">
    <w:p w:rsidR="008A5DE6" w:rsidRDefault="008A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Gras">
    <w:panose1 w:val="02020803070505020304"/>
    <w:charset w:val="00"/>
    <w:family w:val="roman"/>
    <w:notTrueType/>
    <w:pitch w:val="default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E6" w:rsidRDefault="008A5DE6">
      <w:r>
        <w:separator/>
      </w:r>
    </w:p>
  </w:footnote>
  <w:footnote w:type="continuationSeparator" w:id="0">
    <w:p w:rsidR="008A5DE6" w:rsidRDefault="008A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E55E4A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7DC5"/>
    <w:rsid w:val="000B48E4"/>
    <w:rsid w:val="00184280"/>
    <w:rsid w:val="001C26A4"/>
    <w:rsid w:val="00363A99"/>
    <w:rsid w:val="003B23D1"/>
    <w:rsid w:val="003D692B"/>
    <w:rsid w:val="003E02DA"/>
    <w:rsid w:val="00454BBA"/>
    <w:rsid w:val="00530700"/>
    <w:rsid w:val="0067260A"/>
    <w:rsid w:val="006E00DE"/>
    <w:rsid w:val="007046BF"/>
    <w:rsid w:val="007C5A15"/>
    <w:rsid w:val="007E4655"/>
    <w:rsid w:val="008126E5"/>
    <w:rsid w:val="008A5DE6"/>
    <w:rsid w:val="008E1A3E"/>
    <w:rsid w:val="009B1F3F"/>
    <w:rsid w:val="00A01FF7"/>
    <w:rsid w:val="00A11FC6"/>
    <w:rsid w:val="00A13EA8"/>
    <w:rsid w:val="00A155F6"/>
    <w:rsid w:val="00A40E26"/>
    <w:rsid w:val="00A50A15"/>
    <w:rsid w:val="00B33935"/>
    <w:rsid w:val="00B57151"/>
    <w:rsid w:val="00BF2E19"/>
    <w:rsid w:val="00C4154A"/>
    <w:rsid w:val="00C60C3C"/>
    <w:rsid w:val="00CE13A9"/>
    <w:rsid w:val="00D470B4"/>
    <w:rsid w:val="00D62C91"/>
    <w:rsid w:val="00DD0665"/>
    <w:rsid w:val="00DD2C6F"/>
    <w:rsid w:val="00E43996"/>
    <w:rsid w:val="00E55E4A"/>
    <w:rsid w:val="00E5738C"/>
    <w:rsid w:val="00E823A2"/>
    <w:rsid w:val="00E84A51"/>
    <w:rsid w:val="00EA0B78"/>
    <w:rsid w:val="00EA28B4"/>
    <w:rsid w:val="00EB68FE"/>
    <w:rsid w:val="00F214BF"/>
    <w:rsid w:val="00F94E8E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Corpsdetexte">
    <w:name w:val="Body Text"/>
    <w:basedOn w:val="Normal"/>
    <w:link w:val="CorpsdetexteCar"/>
    <w:rsid w:val="00007DC5"/>
    <w:pPr>
      <w:spacing w:before="200" w:after="200"/>
      <w:ind w:left="567" w:firstLine="1134"/>
      <w:jc w:val="both"/>
    </w:pPr>
  </w:style>
  <w:style w:type="character" w:customStyle="1" w:styleId="CorpsdetexteCar">
    <w:name w:val="Corps de texte Car"/>
    <w:basedOn w:val="Policepardfaut"/>
    <w:link w:val="Corpsdetexte"/>
    <w:rsid w:val="00007DC5"/>
  </w:style>
  <w:style w:type="paragraph" w:customStyle="1" w:styleId="1pageChambre">
    <w:name w:val="1°page Chambre"/>
    <w:basedOn w:val="Corpstextegauche"/>
    <w:rsid w:val="00007DC5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Corpstextegauche">
    <w:name w:val="Corps texte gauche"/>
    <w:basedOn w:val="Normal"/>
    <w:next w:val="Corpsdetexte"/>
    <w:rsid w:val="00007DC5"/>
    <w:pPr>
      <w:spacing w:before="60" w:after="60"/>
      <w:jc w:val="both"/>
    </w:pPr>
    <w:rPr>
      <w:sz w:val="24"/>
      <w:szCs w:val="24"/>
    </w:rPr>
  </w:style>
  <w:style w:type="paragraph" w:customStyle="1" w:styleId="1pageCour">
    <w:name w:val="1°page Cour"/>
    <w:basedOn w:val="Normal"/>
    <w:rsid w:val="00007DC5"/>
    <w:pPr>
      <w:jc w:val="center"/>
    </w:pPr>
    <w:rPr>
      <w:b/>
      <w:bCs/>
      <w:smallCaps/>
      <w:sz w:val="28"/>
      <w:szCs w:val="28"/>
    </w:rPr>
  </w:style>
  <w:style w:type="character" w:customStyle="1" w:styleId="PSCar">
    <w:name w:val="PS Car"/>
    <w:link w:val="PS"/>
    <w:rsid w:val="00007DC5"/>
    <w:rPr>
      <w:sz w:val="24"/>
      <w:szCs w:val="24"/>
    </w:rPr>
  </w:style>
  <w:style w:type="character" w:customStyle="1" w:styleId="P0Car">
    <w:name w:val="P0 Car"/>
    <w:link w:val="P0"/>
    <w:locked/>
    <w:rsid w:val="00A155F6"/>
    <w:rPr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6E00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E00DE"/>
  </w:style>
  <w:style w:type="character" w:customStyle="1" w:styleId="CommentaireCar">
    <w:name w:val="Commentaire Car"/>
    <w:basedOn w:val="Policepardfaut"/>
    <w:link w:val="Commentaire"/>
    <w:uiPriority w:val="99"/>
    <w:semiHidden/>
    <w:rsid w:val="006E00D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E00D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6E00DE"/>
    <w:rPr>
      <w:b/>
      <w:bCs/>
    </w:rPr>
  </w:style>
  <w:style w:type="paragraph" w:styleId="Rvision">
    <w:name w:val="Revision"/>
    <w:hidden/>
    <w:uiPriority w:val="99"/>
    <w:semiHidden/>
    <w:rsid w:val="006E00DE"/>
  </w:style>
  <w:style w:type="paragraph" w:styleId="Textedebulles">
    <w:name w:val="Balloon Text"/>
    <w:basedOn w:val="Normal"/>
    <w:link w:val="TextedebullesCar"/>
    <w:uiPriority w:val="99"/>
    <w:semiHidden/>
    <w:unhideWhenUsed/>
    <w:rsid w:val="006E00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E0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11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5614</CharactersWithSpaces>
  <SharedDoc>false</SharedDoc>
  <HLinks>
    <vt:vector size="24" baseType="variant">
      <vt:variant>
        <vt:i4>4653119</vt:i4>
      </vt:variant>
      <vt:variant>
        <vt:i4>11</vt:i4>
      </vt:variant>
      <vt:variant>
        <vt:i4>0</vt:i4>
      </vt:variant>
      <vt:variant>
        <vt:i4>5</vt:i4>
      </vt:variant>
      <vt:variant>
        <vt:lpwstr>http://www.legifrance.gouv.fr/affichCodeArticle.do;jsessionid=7938D6FA62A825C4148B3DE98030EC1B.tpdjo11v_2?cidTexte=LEGITEXT000006070933&amp;idArticle=LEGIARTI000006450090&amp;dateTexte=&amp;categorieLien=cid</vt:lpwstr>
      </vt:variant>
      <vt:variant>
        <vt:lpwstr/>
      </vt:variant>
      <vt:variant>
        <vt:i4>1507454</vt:i4>
      </vt:variant>
      <vt:variant>
        <vt:i4>8</vt:i4>
      </vt:variant>
      <vt:variant>
        <vt:i4>0</vt:i4>
      </vt:variant>
      <vt:variant>
        <vt:i4>5</vt:i4>
      </vt:variant>
      <vt:variant>
        <vt:lpwstr>http://www.legifrance.gouv.fr/affichCode.do;jsessionid=7938D6FA62A825C4148B3DE98030EC1B.tpdjo11v_2?cidTexte=LEGITEXT000006070933&amp;dateTexte=&amp;categorieLien=cid</vt:lpwstr>
      </vt:variant>
      <vt:variant>
        <vt:lpwstr/>
      </vt:variant>
      <vt:variant>
        <vt:i4>1507454</vt:i4>
      </vt:variant>
      <vt:variant>
        <vt:i4>5</vt:i4>
      </vt:variant>
      <vt:variant>
        <vt:i4>0</vt:i4>
      </vt:variant>
      <vt:variant>
        <vt:i4>5</vt:i4>
      </vt:variant>
      <vt:variant>
        <vt:lpwstr>http://www.legifrance.gouv.fr/affichCode.do;jsessionid=7938D6FA62A825C4148B3DE98030EC1B.tpdjo11v_2?cidTexte=LEGITEXT000006070933&amp;dateTexte=&amp;categorieLien=cid</vt:lpwstr>
      </vt:variant>
      <vt:variant>
        <vt:lpwstr/>
      </vt:variant>
      <vt:variant>
        <vt:i4>4325432</vt:i4>
      </vt:variant>
      <vt:variant>
        <vt:i4>2</vt:i4>
      </vt:variant>
      <vt:variant>
        <vt:i4>0</vt:i4>
      </vt:variant>
      <vt:variant>
        <vt:i4>5</vt:i4>
      </vt:variant>
      <vt:variant>
        <vt:lpwstr>http://www.legifrance.gouv.fr/affichCodeArticle.do;jsessionid=7938D6FA62A825C4148B3DE98030EC1B.tpdjo11v_2?cidTexte=LEGITEXT000006069577&amp;idArticle=LEGIARTI000024417927&amp;dateTexte=&amp;categorieLien=cid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mtlecroisey</cp:lastModifiedBy>
  <cp:revision>4</cp:revision>
  <cp:lastPrinted>2013-05-17T08:48:00Z</cp:lastPrinted>
  <dcterms:created xsi:type="dcterms:W3CDTF">2013-06-25T15:47:00Z</dcterms:created>
  <dcterms:modified xsi:type="dcterms:W3CDTF">2013-08-26T15:46:00Z</dcterms:modified>
</cp:coreProperties>
</file>