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tblGrid>
      <w:tr w:rsidR="00BA1E8A" w:rsidRPr="00CF5A80" w:rsidTr="00CF5A80">
        <w:tc>
          <w:tcPr>
            <w:tcW w:w="3085" w:type="dxa"/>
            <w:tcBorders>
              <w:top w:val="nil"/>
              <w:left w:val="nil"/>
              <w:bottom w:val="nil"/>
              <w:right w:val="nil"/>
            </w:tcBorders>
            <w:shd w:val="clear" w:color="auto" w:fill="auto"/>
          </w:tcPr>
          <w:p w:rsidR="00BA1E8A" w:rsidRPr="00CF5A80" w:rsidRDefault="00BA1E8A" w:rsidP="00CF5A80">
            <w:pPr>
              <w:jc w:val="center"/>
              <w:rPr>
                <w:b/>
                <w:caps/>
                <w:sz w:val="24"/>
              </w:rPr>
            </w:pPr>
            <w:r w:rsidRPr="00CF5A80">
              <w:rPr>
                <w:b/>
                <w:caps/>
                <w:sz w:val="24"/>
              </w:rPr>
              <w:t>COUR DES COMPTES</w:t>
            </w:r>
          </w:p>
          <w:p w:rsidR="00BA1E8A" w:rsidRPr="00CF5A80" w:rsidRDefault="00BA1E8A" w:rsidP="00CF5A80">
            <w:pPr>
              <w:jc w:val="center"/>
              <w:rPr>
                <w:b/>
                <w:caps/>
                <w:sz w:val="24"/>
              </w:rPr>
            </w:pPr>
            <w:r w:rsidRPr="00CF5A80">
              <w:rPr>
                <w:b/>
                <w:caps/>
                <w:sz w:val="24"/>
              </w:rPr>
              <w:t>--------</w:t>
            </w:r>
          </w:p>
          <w:p w:rsidR="00BA1E8A" w:rsidRPr="00CF5A80" w:rsidRDefault="00BA1E8A" w:rsidP="00CF5A80">
            <w:pPr>
              <w:jc w:val="center"/>
              <w:rPr>
                <w:b/>
                <w:caps/>
                <w:sz w:val="22"/>
                <w:szCs w:val="22"/>
              </w:rPr>
            </w:pPr>
            <w:r w:rsidRPr="00CF5A80">
              <w:rPr>
                <w:b/>
                <w:caps/>
                <w:sz w:val="22"/>
                <w:szCs w:val="22"/>
              </w:rPr>
              <w:t>QUATRIEME CHAMBRE</w:t>
            </w:r>
          </w:p>
          <w:p w:rsidR="00BA1E8A" w:rsidRPr="00CF5A80" w:rsidRDefault="00BA1E8A" w:rsidP="00CF5A80">
            <w:pPr>
              <w:jc w:val="center"/>
              <w:rPr>
                <w:b/>
                <w:caps/>
                <w:sz w:val="24"/>
              </w:rPr>
            </w:pPr>
            <w:r w:rsidRPr="00CF5A80">
              <w:rPr>
                <w:b/>
                <w:caps/>
                <w:sz w:val="24"/>
              </w:rPr>
              <w:t>--------</w:t>
            </w:r>
          </w:p>
          <w:p w:rsidR="00BA1E8A" w:rsidRPr="00CF5A80" w:rsidRDefault="00BA1E8A" w:rsidP="00CF5A80">
            <w:pPr>
              <w:jc w:val="center"/>
              <w:rPr>
                <w:b/>
                <w:caps/>
                <w:sz w:val="22"/>
                <w:szCs w:val="22"/>
              </w:rPr>
            </w:pPr>
            <w:r w:rsidRPr="00CF5A80">
              <w:rPr>
                <w:b/>
                <w:caps/>
                <w:sz w:val="22"/>
                <w:szCs w:val="22"/>
              </w:rPr>
              <w:t>PREMIERE SECTION</w:t>
            </w:r>
          </w:p>
          <w:p w:rsidR="00BA1E8A" w:rsidRPr="00CF5A80" w:rsidRDefault="00BA1E8A" w:rsidP="00CF5A80">
            <w:pPr>
              <w:jc w:val="center"/>
              <w:rPr>
                <w:b/>
                <w:caps/>
                <w:sz w:val="24"/>
              </w:rPr>
            </w:pPr>
            <w:r w:rsidRPr="00CF5A80">
              <w:rPr>
                <w:b/>
                <w:caps/>
                <w:sz w:val="24"/>
              </w:rPr>
              <w:t>--------</w:t>
            </w:r>
          </w:p>
          <w:p w:rsidR="00BA1E8A" w:rsidRPr="00CF5A80" w:rsidRDefault="00BA1E8A" w:rsidP="00CF5A80">
            <w:pPr>
              <w:pStyle w:val="Titre1"/>
              <w:jc w:val="center"/>
              <w:rPr>
                <w:b/>
                <w:i/>
                <w:sz w:val="22"/>
                <w:szCs w:val="22"/>
              </w:rPr>
            </w:pPr>
            <w:r w:rsidRPr="00CF5A80">
              <w:rPr>
                <w:b/>
                <w:i/>
                <w:sz w:val="22"/>
                <w:szCs w:val="22"/>
              </w:rPr>
              <w:t>Arrêt n° 67540</w:t>
            </w:r>
          </w:p>
          <w:p w:rsidR="00BA1E8A" w:rsidRPr="00CF5A80" w:rsidRDefault="00BA1E8A" w:rsidP="00CF5A80">
            <w:pPr>
              <w:jc w:val="center"/>
              <w:rPr>
                <w:b/>
                <w:caps/>
                <w:sz w:val="24"/>
              </w:rPr>
            </w:pPr>
          </w:p>
        </w:tc>
      </w:tr>
    </w:tbl>
    <w:p w:rsidR="005F641F" w:rsidRPr="006D4EDE" w:rsidRDefault="005F641F" w:rsidP="006D4EDE">
      <w:pPr>
        <w:jc w:val="both"/>
      </w:pPr>
    </w:p>
    <w:p w:rsidR="00042DE1" w:rsidRPr="006D4EDE" w:rsidRDefault="00042DE1" w:rsidP="006D4EDE">
      <w:pPr>
        <w:jc w:val="both"/>
      </w:pPr>
    </w:p>
    <w:p w:rsidR="0005418D" w:rsidRPr="00DF73BD" w:rsidRDefault="00813BCC" w:rsidP="006D4EDE">
      <w:pPr>
        <w:ind w:left="4395"/>
        <w:jc w:val="both"/>
        <w:rPr>
          <w:caps/>
          <w:sz w:val="24"/>
          <w:szCs w:val="24"/>
        </w:rPr>
      </w:pPr>
      <w:r w:rsidRPr="00DF73BD">
        <w:rPr>
          <w:caps/>
          <w:sz w:val="24"/>
          <w:szCs w:val="24"/>
        </w:rPr>
        <w:t>communaute urbaine</w:t>
      </w:r>
      <w:r w:rsidR="00964C16" w:rsidRPr="00DF73BD">
        <w:rPr>
          <w:caps/>
          <w:sz w:val="24"/>
          <w:szCs w:val="24"/>
        </w:rPr>
        <w:t xml:space="preserve"> DE NICE</w:t>
      </w:r>
      <w:r w:rsidR="000F5EA9">
        <w:rPr>
          <w:caps/>
          <w:sz w:val="24"/>
          <w:szCs w:val="24"/>
        </w:rPr>
        <w:t>-</w:t>
      </w:r>
      <w:r w:rsidR="00964C16" w:rsidRPr="00DF73BD">
        <w:rPr>
          <w:caps/>
          <w:sz w:val="24"/>
          <w:szCs w:val="24"/>
        </w:rPr>
        <w:t>C</w:t>
      </w:r>
      <w:r w:rsidR="00754A95">
        <w:rPr>
          <w:caps/>
          <w:sz w:val="24"/>
          <w:szCs w:val="24"/>
        </w:rPr>
        <w:t>ô</w:t>
      </w:r>
      <w:r w:rsidR="00964C16" w:rsidRPr="00DF73BD">
        <w:rPr>
          <w:caps/>
          <w:sz w:val="24"/>
          <w:szCs w:val="24"/>
        </w:rPr>
        <w:t>TE D’AZUR</w:t>
      </w:r>
    </w:p>
    <w:p w:rsidR="009A040B" w:rsidRPr="00DF73BD" w:rsidRDefault="009A040B" w:rsidP="006D4EDE">
      <w:pPr>
        <w:ind w:left="4395"/>
        <w:jc w:val="both"/>
        <w:rPr>
          <w:caps/>
          <w:sz w:val="24"/>
          <w:szCs w:val="24"/>
        </w:rPr>
      </w:pPr>
    </w:p>
    <w:p w:rsidR="00B30F64" w:rsidRPr="00DF73BD" w:rsidRDefault="00B30F64" w:rsidP="006D4EDE">
      <w:pPr>
        <w:pStyle w:val="Titre2"/>
        <w:ind w:left="4395"/>
        <w:jc w:val="both"/>
      </w:pPr>
      <w:r w:rsidRPr="00DF73BD">
        <w:t xml:space="preserve">Appel d’un jugement de la chambre régionale des comptes </w:t>
      </w:r>
      <w:r w:rsidR="00C11702" w:rsidRPr="00DF73BD">
        <w:t xml:space="preserve">de </w:t>
      </w:r>
      <w:r w:rsidR="00964C16" w:rsidRPr="00DF73BD">
        <w:rPr>
          <w:szCs w:val="24"/>
        </w:rPr>
        <w:t>Provence-Alp</w:t>
      </w:r>
      <w:r w:rsidR="004101BF" w:rsidRPr="00DF73BD">
        <w:rPr>
          <w:szCs w:val="24"/>
        </w:rPr>
        <w:t>es-Côte d’Azur</w:t>
      </w:r>
    </w:p>
    <w:p w:rsidR="00B30F64" w:rsidRPr="00DF73BD" w:rsidRDefault="00B30F64" w:rsidP="006D4EDE">
      <w:pPr>
        <w:ind w:left="4395"/>
        <w:jc w:val="both"/>
        <w:rPr>
          <w:sz w:val="24"/>
        </w:rPr>
      </w:pPr>
    </w:p>
    <w:p w:rsidR="00B30F64" w:rsidRPr="00DF73BD" w:rsidRDefault="00686BA5" w:rsidP="006D4EDE">
      <w:pPr>
        <w:pStyle w:val="Titre4"/>
        <w:ind w:left="4395"/>
      </w:pPr>
      <w:r w:rsidRPr="00DF73BD">
        <w:t>Rapport n</w:t>
      </w:r>
      <w:r w:rsidR="003F3436" w:rsidRPr="00DF73BD">
        <w:t>°</w:t>
      </w:r>
      <w:r w:rsidR="004101BF" w:rsidRPr="00DF73BD">
        <w:t xml:space="preserve"> 2013-437-0</w:t>
      </w:r>
    </w:p>
    <w:p w:rsidR="00B30F64" w:rsidRPr="00DF73BD" w:rsidRDefault="00B30F64" w:rsidP="006D4EDE">
      <w:pPr>
        <w:ind w:left="4395"/>
        <w:jc w:val="both"/>
        <w:rPr>
          <w:sz w:val="24"/>
        </w:rPr>
      </w:pPr>
    </w:p>
    <w:p w:rsidR="00EB6713" w:rsidRPr="00DF73BD" w:rsidRDefault="0039572C" w:rsidP="006D4EDE">
      <w:pPr>
        <w:ind w:left="4395"/>
        <w:jc w:val="both"/>
        <w:rPr>
          <w:sz w:val="24"/>
        </w:rPr>
      </w:pPr>
      <w:smartTag w:uri="urn:schemas-microsoft-com:office:smarttags" w:element="PersonName">
        <w:r w:rsidRPr="00DF73BD">
          <w:rPr>
            <w:sz w:val="24"/>
          </w:rPr>
          <w:t>A</w:t>
        </w:r>
      </w:smartTag>
      <w:r w:rsidRPr="00DF73BD">
        <w:rPr>
          <w:sz w:val="24"/>
        </w:rPr>
        <w:t>udience</w:t>
      </w:r>
      <w:r w:rsidR="00686BA5" w:rsidRPr="00DF73BD">
        <w:rPr>
          <w:sz w:val="24"/>
        </w:rPr>
        <w:t xml:space="preserve"> </w:t>
      </w:r>
      <w:r w:rsidR="00AF3493" w:rsidRPr="00DF73BD">
        <w:rPr>
          <w:sz w:val="24"/>
        </w:rPr>
        <w:t xml:space="preserve">publique et délibéré </w:t>
      </w:r>
      <w:r w:rsidR="00686BA5" w:rsidRPr="00DF73BD">
        <w:rPr>
          <w:sz w:val="24"/>
        </w:rPr>
        <w:t>du</w:t>
      </w:r>
      <w:r w:rsidR="004101BF" w:rsidRPr="00DF73BD">
        <w:rPr>
          <w:sz w:val="24"/>
        </w:rPr>
        <w:t xml:space="preserve"> 4 juillet 2013</w:t>
      </w:r>
    </w:p>
    <w:p w:rsidR="00EB6713" w:rsidRPr="00DF73BD" w:rsidRDefault="00EB6713" w:rsidP="006D4EDE">
      <w:pPr>
        <w:ind w:left="4395"/>
        <w:jc w:val="both"/>
        <w:rPr>
          <w:sz w:val="24"/>
        </w:rPr>
      </w:pPr>
    </w:p>
    <w:p w:rsidR="00B30F64" w:rsidRDefault="00EB6713" w:rsidP="006D4EDE">
      <w:pPr>
        <w:ind w:left="4395"/>
        <w:jc w:val="both"/>
        <w:rPr>
          <w:sz w:val="24"/>
        </w:rPr>
      </w:pPr>
      <w:r w:rsidRPr="00DF73BD">
        <w:rPr>
          <w:sz w:val="24"/>
        </w:rPr>
        <w:t>L</w:t>
      </w:r>
      <w:r w:rsidR="00FF14A8" w:rsidRPr="00DF73BD">
        <w:rPr>
          <w:sz w:val="24"/>
        </w:rPr>
        <w:t xml:space="preserve">ecture publique du </w:t>
      </w:r>
      <w:r w:rsidR="000F5EA9">
        <w:rPr>
          <w:sz w:val="24"/>
        </w:rPr>
        <w:t>25 juillet 2013</w:t>
      </w:r>
      <w:r w:rsidR="00FF14A8" w:rsidRPr="00DF73BD">
        <w:rPr>
          <w:sz w:val="24"/>
        </w:rPr>
        <w:t xml:space="preserve"> </w:t>
      </w:r>
    </w:p>
    <w:p w:rsidR="000F5EA9" w:rsidRDefault="000F5EA9" w:rsidP="000F5EA9">
      <w:pPr>
        <w:ind w:left="4395"/>
        <w:jc w:val="both"/>
        <w:rPr>
          <w:sz w:val="24"/>
        </w:rPr>
      </w:pPr>
    </w:p>
    <w:p w:rsidR="000F5EA9" w:rsidRDefault="000F5EA9" w:rsidP="000F5EA9">
      <w:pPr>
        <w:ind w:left="4395"/>
        <w:jc w:val="both"/>
        <w:rPr>
          <w:sz w:val="24"/>
        </w:rPr>
      </w:pPr>
    </w:p>
    <w:p w:rsidR="000F5EA9" w:rsidRPr="000F5EA9" w:rsidRDefault="000F5EA9" w:rsidP="00DF1118">
      <w:pPr>
        <w:ind w:left="3969" w:hanging="141"/>
        <w:jc w:val="both"/>
        <w:rPr>
          <w:b/>
          <w:sz w:val="24"/>
          <w:u w:val="single"/>
        </w:rPr>
      </w:pPr>
      <w:r w:rsidRPr="000F5EA9">
        <w:rPr>
          <w:b/>
          <w:sz w:val="24"/>
          <w:u w:val="single"/>
        </w:rPr>
        <w:t>A R R Ê T</w:t>
      </w:r>
    </w:p>
    <w:p w:rsidR="00B30F64" w:rsidRPr="00DF73BD" w:rsidRDefault="00B30F64" w:rsidP="000F5EA9">
      <w:pPr>
        <w:jc w:val="both"/>
        <w:rPr>
          <w:sz w:val="24"/>
        </w:rPr>
      </w:pPr>
    </w:p>
    <w:p w:rsidR="00B30F64" w:rsidRDefault="00B82C1D" w:rsidP="000F5EA9">
      <w:pPr>
        <w:pStyle w:val="PS"/>
        <w:spacing w:after="0"/>
        <w:ind w:left="0" w:firstLine="2835"/>
        <w:rPr>
          <w:rFonts w:ascii="Times New Roman" w:hAnsi="Times New Roman"/>
        </w:rPr>
      </w:pPr>
      <w:r w:rsidRPr="00DF73BD">
        <w:rPr>
          <w:rFonts w:ascii="Times New Roman" w:hAnsi="Times New Roman"/>
        </w:rPr>
        <w:t>L</w:t>
      </w:r>
      <w:r w:rsidR="000F5EA9">
        <w:rPr>
          <w:rFonts w:ascii="Times New Roman" w:hAnsi="Times New Roman"/>
        </w:rPr>
        <w:t>A</w:t>
      </w:r>
      <w:r w:rsidR="00B30F64" w:rsidRPr="00DF73BD">
        <w:rPr>
          <w:rFonts w:ascii="Times New Roman" w:hAnsi="Times New Roman"/>
        </w:rPr>
        <w:t xml:space="preserve"> COUR,</w:t>
      </w:r>
    </w:p>
    <w:p w:rsidR="000F5EA9" w:rsidRPr="00DF73BD" w:rsidRDefault="000F5EA9" w:rsidP="000F5EA9">
      <w:pPr>
        <w:pStyle w:val="PS"/>
        <w:spacing w:after="0"/>
        <w:ind w:left="0" w:firstLine="2835"/>
        <w:rPr>
          <w:rFonts w:ascii="Times New Roman" w:hAnsi="Times New Roman"/>
        </w:rPr>
      </w:pPr>
    </w:p>
    <w:p w:rsidR="008D665E" w:rsidRPr="00DF73BD" w:rsidRDefault="00B30F64" w:rsidP="008D665E">
      <w:pPr>
        <w:pStyle w:val="PS"/>
        <w:rPr>
          <w:rFonts w:ascii="Times New Roman" w:hAnsi="Times New Roman"/>
          <w:szCs w:val="24"/>
        </w:rPr>
      </w:pPr>
      <w:r w:rsidRPr="00DF73BD">
        <w:rPr>
          <w:rFonts w:ascii="Times New Roman" w:hAnsi="Times New Roman"/>
          <w:szCs w:val="24"/>
        </w:rPr>
        <w:t>Vu la requête</w:t>
      </w:r>
      <w:r w:rsidR="00497A94" w:rsidRPr="00DF73BD">
        <w:rPr>
          <w:rFonts w:ascii="Times New Roman" w:hAnsi="Times New Roman"/>
          <w:szCs w:val="24"/>
        </w:rPr>
        <w:t>,</w:t>
      </w:r>
      <w:r w:rsidRPr="00DF73BD">
        <w:rPr>
          <w:rFonts w:ascii="Times New Roman" w:hAnsi="Times New Roman"/>
          <w:szCs w:val="24"/>
        </w:rPr>
        <w:t xml:space="preserve"> enregistrée </w:t>
      </w:r>
      <w:r w:rsidR="00331626" w:rsidRPr="00DF73BD">
        <w:rPr>
          <w:rFonts w:ascii="Times New Roman" w:hAnsi="Times New Roman"/>
          <w:szCs w:val="24"/>
        </w:rPr>
        <w:t xml:space="preserve">le </w:t>
      </w:r>
      <w:r w:rsidR="00964C16" w:rsidRPr="00DF73BD">
        <w:rPr>
          <w:rFonts w:ascii="Times New Roman" w:hAnsi="Times New Roman"/>
          <w:szCs w:val="24"/>
        </w:rPr>
        <w:t xml:space="preserve">13 février 2013 </w:t>
      </w:r>
      <w:r w:rsidRPr="00DF73BD">
        <w:rPr>
          <w:rFonts w:ascii="Times New Roman" w:hAnsi="Times New Roman"/>
          <w:szCs w:val="24"/>
        </w:rPr>
        <w:t xml:space="preserve">au greffe de la chambre régionale des comptes </w:t>
      </w:r>
      <w:r w:rsidR="00C11702" w:rsidRPr="00DF73BD">
        <w:rPr>
          <w:rFonts w:ascii="Times New Roman" w:hAnsi="Times New Roman"/>
          <w:szCs w:val="24"/>
        </w:rPr>
        <w:t>de</w:t>
      </w:r>
      <w:r w:rsidR="00964C16" w:rsidRPr="00DF73BD">
        <w:rPr>
          <w:szCs w:val="24"/>
        </w:rPr>
        <w:t xml:space="preserve"> Provence-Alpes-Côte d’Azur</w:t>
      </w:r>
      <w:r w:rsidR="00ED5089" w:rsidRPr="00DF73BD">
        <w:rPr>
          <w:rFonts w:ascii="Times New Roman" w:hAnsi="Times New Roman"/>
          <w:szCs w:val="24"/>
        </w:rPr>
        <w:t>,</w:t>
      </w:r>
      <w:r w:rsidR="003201CD" w:rsidRPr="00DF73BD">
        <w:rPr>
          <w:rFonts w:ascii="Times New Roman" w:hAnsi="Times New Roman"/>
          <w:szCs w:val="24"/>
        </w:rPr>
        <w:t xml:space="preserve"> </w:t>
      </w:r>
      <w:r w:rsidR="00ED5089" w:rsidRPr="00DF73BD">
        <w:rPr>
          <w:rFonts w:ascii="Times New Roman" w:hAnsi="Times New Roman"/>
          <w:szCs w:val="24"/>
        </w:rPr>
        <w:t xml:space="preserve">par laquelle </w:t>
      </w:r>
      <w:r w:rsidR="003017C0">
        <w:rPr>
          <w:rFonts w:ascii="Times New Roman" w:hAnsi="Times New Roman"/>
          <w:szCs w:val="24"/>
        </w:rPr>
        <w:t>M. X</w:t>
      </w:r>
      <w:r w:rsidR="00C11702" w:rsidRPr="00DF73BD">
        <w:rPr>
          <w:rFonts w:ascii="Times New Roman" w:hAnsi="Times New Roman"/>
          <w:szCs w:val="24"/>
        </w:rPr>
        <w:t xml:space="preserve">, comptable de la </w:t>
      </w:r>
      <w:r w:rsidR="00964C16" w:rsidRPr="00DF73BD">
        <w:rPr>
          <w:rFonts w:ascii="Times New Roman" w:hAnsi="Times New Roman"/>
          <w:szCs w:val="24"/>
        </w:rPr>
        <w:t>communauté urbaine de Nice</w:t>
      </w:r>
      <w:r w:rsidR="00F21F07">
        <w:rPr>
          <w:rFonts w:ascii="Times New Roman" w:hAnsi="Times New Roman"/>
          <w:szCs w:val="24"/>
        </w:rPr>
        <w:t>-</w:t>
      </w:r>
      <w:r w:rsidR="00964C16" w:rsidRPr="00DF73BD">
        <w:rPr>
          <w:rFonts w:ascii="Times New Roman" w:hAnsi="Times New Roman"/>
          <w:szCs w:val="24"/>
        </w:rPr>
        <w:t>Côte d’Azur</w:t>
      </w:r>
      <w:r w:rsidR="008D665E" w:rsidRPr="00DF73BD">
        <w:rPr>
          <w:rFonts w:ascii="Times New Roman" w:hAnsi="Times New Roman"/>
          <w:szCs w:val="24"/>
        </w:rPr>
        <w:t xml:space="preserve"> du 3 mars 2008 au 31 décembre 2010</w:t>
      </w:r>
      <w:r w:rsidR="00C72B39" w:rsidRPr="00DF73BD">
        <w:rPr>
          <w:rFonts w:ascii="Times New Roman" w:hAnsi="Times New Roman"/>
          <w:szCs w:val="24"/>
        </w:rPr>
        <w:t xml:space="preserve">, </w:t>
      </w:r>
      <w:r w:rsidRPr="00DF73BD">
        <w:rPr>
          <w:rFonts w:ascii="Times New Roman" w:hAnsi="Times New Roman"/>
          <w:szCs w:val="24"/>
        </w:rPr>
        <w:t>a élevé appel du ju</w:t>
      </w:r>
      <w:r w:rsidR="00ED5089" w:rsidRPr="00DF73BD">
        <w:rPr>
          <w:rFonts w:ascii="Times New Roman" w:hAnsi="Times New Roman"/>
          <w:szCs w:val="24"/>
        </w:rPr>
        <w:t xml:space="preserve">gement </w:t>
      </w:r>
      <w:r w:rsidR="00964C16" w:rsidRPr="00DF73BD">
        <w:rPr>
          <w:rFonts w:ascii="Times New Roman" w:hAnsi="Times New Roman"/>
          <w:szCs w:val="24"/>
        </w:rPr>
        <w:t>n°</w:t>
      </w:r>
      <w:r w:rsidR="004101BF" w:rsidRPr="00DF73BD">
        <w:rPr>
          <w:rFonts w:ascii="Times New Roman" w:hAnsi="Times New Roman"/>
          <w:szCs w:val="24"/>
        </w:rPr>
        <w:t xml:space="preserve"> </w:t>
      </w:r>
      <w:r w:rsidR="00964C16" w:rsidRPr="00DF73BD">
        <w:rPr>
          <w:rFonts w:ascii="Times New Roman" w:hAnsi="Times New Roman"/>
          <w:szCs w:val="24"/>
        </w:rPr>
        <w:t>2012-0034</w:t>
      </w:r>
      <w:r w:rsidR="0005418D" w:rsidRPr="00DF73BD">
        <w:rPr>
          <w:rFonts w:ascii="Times New Roman" w:hAnsi="Times New Roman"/>
          <w:szCs w:val="24"/>
        </w:rPr>
        <w:t xml:space="preserve"> </w:t>
      </w:r>
      <w:r w:rsidR="00ED5089" w:rsidRPr="00DF73BD">
        <w:rPr>
          <w:rFonts w:ascii="Times New Roman" w:hAnsi="Times New Roman"/>
          <w:szCs w:val="24"/>
        </w:rPr>
        <w:t>du</w:t>
      </w:r>
      <w:r w:rsidR="009F5AB9" w:rsidRPr="00DF73BD">
        <w:rPr>
          <w:rFonts w:ascii="Times New Roman" w:hAnsi="Times New Roman"/>
          <w:szCs w:val="24"/>
        </w:rPr>
        <w:t xml:space="preserve"> </w:t>
      </w:r>
      <w:r w:rsidR="00964C16" w:rsidRPr="00DF73BD">
        <w:rPr>
          <w:rFonts w:ascii="Times New Roman" w:hAnsi="Times New Roman"/>
          <w:szCs w:val="24"/>
        </w:rPr>
        <w:t>12 décembre 2012</w:t>
      </w:r>
      <w:r w:rsidR="009948B1" w:rsidRPr="00DF73BD">
        <w:rPr>
          <w:rFonts w:ascii="Times New Roman" w:hAnsi="Times New Roman"/>
          <w:szCs w:val="24"/>
        </w:rPr>
        <w:t xml:space="preserve"> </w:t>
      </w:r>
      <w:r w:rsidR="00497A94" w:rsidRPr="00DF73BD">
        <w:rPr>
          <w:rFonts w:ascii="Times New Roman" w:hAnsi="Times New Roman"/>
          <w:szCs w:val="24"/>
        </w:rPr>
        <w:t xml:space="preserve">par lequel </w:t>
      </w:r>
      <w:r w:rsidR="00DF7926" w:rsidRPr="00DF73BD">
        <w:rPr>
          <w:rFonts w:ascii="Times New Roman" w:hAnsi="Times New Roman"/>
          <w:szCs w:val="24"/>
        </w:rPr>
        <w:t xml:space="preserve">ladite chambre </w:t>
      </w:r>
      <w:r w:rsidR="006C6EDF" w:rsidRPr="00DF73BD">
        <w:rPr>
          <w:rFonts w:ascii="Times New Roman" w:hAnsi="Times New Roman"/>
          <w:szCs w:val="24"/>
        </w:rPr>
        <w:t>l’</w:t>
      </w:r>
      <w:r w:rsidRPr="00DF73BD">
        <w:rPr>
          <w:rFonts w:ascii="Times New Roman" w:hAnsi="Times New Roman"/>
          <w:szCs w:val="24"/>
        </w:rPr>
        <w:t>a</w:t>
      </w:r>
      <w:r w:rsidR="006C6EDF" w:rsidRPr="00DF73BD">
        <w:rPr>
          <w:rFonts w:ascii="Times New Roman" w:hAnsi="Times New Roman"/>
          <w:szCs w:val="24"/>
        </w:rPr>
        <w:t xml:space="preserve"> constitué</w:t>
      </w:r>
      <w:r w:rsidR="00FE7CFC" w:rsidRPr="00DF73BD">
        <w:rPr>
          <w:rFonts w:ascii="Times New Roman" w:hAnsi="Times New Roman"/>
          <w:szCs w:val="24"/>
        </w:rPr>
        <w:t xml:space="preserve"> débiteur </w:t>
      </w:r>
      <w:r w:rsidR="00497A94" w:rsidRPr="00DF73BD">
        <w:rPr>
          <w:rFonts w:ascii="Times New Roman" w:hAnsi="Times New Roman"/>
          <w:szCs w:val="24"/>
        </w:rPr>
        <w:t>de</w:t>
      </w:r>
      <w:r w:rsidR="00BF0118" w:rsidRPr="00DF73BD">
        <w:rPr>
          <w:rFonts w:ascii="Times New Roman" w:hAnsi="Times New Roman"/>
          <w:szCs w:val="24"/>
        </w:rPr>
        <w:t xml:space="preserve"> la</w:t>
      </w:r>
      <w:r w:rsidR="004101BF" w:rsidRPr="00DF73BD">
        <w:rPr>
          <w:rFonts w:ascii="Times New Roman" w:hAnsi="Times New Roman"/>
          <w:szCs w:val="24"/>
        </w:rPr>
        <w:t>dite</w:t>
      </w:r>
      <w:r w:rsidR="00BF0118" w:rsidRPr="00DF73BD">
        <w:rPr>
          <w:rFonts w:ascii="Times New Roman" w:hAnsi="Times New Roman"/>
          <w:szCs w:val="24"/>
        </w:rPr>
        <w:t xml:space="preserve"> </w:t>
      </w:r>
      <w:r w:rsidR="00964C16" w:rsidRPr="00DF73BD">
        <w:rPr>
          <w:rFonts w:ascii="Times New Roman" w:hAnsi="Times New Roman"/>
          <w:szCs w:val="24"/>
        </w:rPr>
        <w:t>commun</w:t>
      </w:r>
      <w:r w:rsidR="004101BF" w:rsidRPr="00DF73BD">
        <w:rPr>
          <w:rFonts w:ascii="Times New Roman" w:hAnsi="Times New Roman"/>
          <w:szCs w:val="24"/>
        </w:rPr>
        <w:t>auté urbaine</w:t>
      </w:r>
      <w:r w:rsidR="00964C16" w:rsidRPr="00DF73BD">
        <w:rPr>
          <w:rFonts w:ascii="Times New Roman" w:hAnsi="Times New Roman"/>
          <w:szCs w:val="24"/>
        </w:rPr>
        <w:t xml:space="preserve"> </w:t>
      </w:r>
      <w:r w:rsidR="00497A94" w:rsidRPr="00DF73BD">
        <w:rPr>
          <w:rFonts w:ascii="Times New Roman" w:hAnsi="Times New Roman"/>
          <w:szCs w:val="24"/>
        </w:rPr>
        <w:t>pour</w:t>
      </w:r>
      <w:r w:rsidR="005C14F9" w:rsidRPr="00DF73BD">
        <w:rPr>
          <w:rFonts w:ascii="Times New Roman" w:hAnsi="Times New Roman"/>
          <w:szCs w:val="24"/>
        </w:rPr>
        <w:t xml:space="preserve"> la </w:t>
      </w:r>
      <w:r w:rsidR="001F1662" w:rsidRPr="00DF73BD">
        <w:rPr>
          <w:rFonts w:ascii="Times New Roman" w:hAnsi="Times New Roman"/>
          <w:szCs w:val="24"/>
        </w:rPr>
        <w:t>somme de</w:t>
      </w:r>
      <w:r w:rsidR="004101BF" w:rsidRPr="00DF73BD">
        <w:rPr>
          <w:rFonts w:ascii="Times New Roman" w:hAnsi="Times New Roman"/>
          <w:szCs w:val="24"/>
        </w:rPr>
        <w:t xml:space="preserve"> 2 780 549,</w:t>
      </w:r>
      <w:r w:rsidR="00964C16" w:rsidRPr="00DF73BD">
        <w:rPr>
          <w:rFonts w:ascii="Times New Roman" w:hAnsi="Times New Roman"/>
          <w:szCs w:val="24"/>
        </w:rPr>
        <w:t>08 €</w:t>
      </w:r>
      <w:r w:rsidR="008D665E" w:rsidRPr="00DF73BD">
        <w:rPr>
          <w:rFonts w:ascii="Times New Roman" w:hAnsi="Times New Roman"/>
          <w:szCs w:val="24"/>
        </w:rPr>
        <w:t>,</w:t>
      </w:r>
      <w:r w:rsidR="00964C16" w:rsidRPr="00DF73BD">
        <w:rPr>
          <w:rFonts w:ascii="Times New Roman" w:hAnsi="Times New Roman"/>
          <w:szCs w:val="24"/>
        </w:rPr>
        <w:t xml:space="preserve"> augmentée des intérêts de droit </w:t>
      </w:r>
      <w:r w:rsidR="004101BF" w:rsidRPr="00DF73BD">
        <w:rPr>
          <w:rFonts w:ascii="Times New Roman" w:hAnsi="Times New Roman"/>
          <w:szCs w:val="24"/>
        </w:rPr>
        <w:t xml:space="preserve">calculés </w:t>
      </w:r>
      <w:r w:rsidR="00964C16" w:rsidRPr="00DF73BD">
        <w:rPr>
          <w:rFonts w:ascii="Times New Roman" w:hAnsi="Times New Roman"/>
          <w:szCs w:val="24"/>
        </w:rPr>
        <w:t>à compter du 15 juin 2012</w:t>
      </w:r>
      <w:r w:rsidR="00BC7F10">
        <w:rPr>
          <w:rFonts w:ascii="Times New Roman" w:hAnsi="Times New Roman"/>
          <w:szCs w:val="24"/>
        </w:rPr>
        <w:t> ;</w:t>
      </w:r>
    </w:p>
    <w:p w:rsidR="008D665E" w:rsidRPr="00DF73BD" w:rsidRDefault="00497A94" w:rsidP="008D665E">
      <w:pPr>
        <w:pStyle w:val="PS"/>
        <w:rPr>
          <w:rFonts w:ascii="Times New Roman" w:hAnsi="Times New Roman"/>
          <w:szCs w:val="24"/>
        </w:rPr>
      </w:pPr>
      <w:r w:rsidRPr="00DF73BD">
        <w:rPr>
          <w:rFonts w:ascii="Times New Roman" w:hAnsi="Times New Roman"/>
          <w:szCs w:val="24"/>
        </w:rPr>
        <w:t xml:space="preserve">Vu le réquisitoire du </w:t>
      </w:r>
      <w:r w:rsidR="00671DB5" w:rsidRPr="00DF73BD">
        <w:rPr>
          <w:rFonts w:ascii="Times New Roman" w:hAnsi="Times New Roman"/>
          <w:szCs w:val="24"/>
        </w:rPr>
        <w:t>P</w:t>
      </w:r>
      <w:r w:rsidRPr="00DF73BD">
        <w:rPr>
          <w:rFonts w:ascii="Times New Roman" w:hAnsi="Times New Roman"/>
          <w:szCs w:val="24"/>
        </w:rPr>
        <w:t>rocureur général</w:t>
      </w:r>
      <w:r w:rsidR="008D665E" w:rsidRPr="00DF73BD">
        <w:rPr>
          <w:rFonts w:ascii="Times New Roman" w:hAnsi="Times New Roman"/>
          <w:szCs w:val="24"/>
        </w:rPr>
        <w:t xml:space="preserve"> près la Cour des comptes</w:t>
      </w:r>
      <w:r w:rsidRPr="00DF73BD">
        <w:rPr>
          <w:rFonts w:ascii="Times New Roman" w:hAnsi="Times New Roman"/>
          <w:szCs w:val="24"/>
        </w:rPr>
        <w:t xml:space="preserve"> </w:t>
      </w:r>
      <w:r w:rsidR="0087748E" w:rsidRPr="00DF73BD">
        <w:rPr>
          <w:rFonts w:ascii="Times New Roman" w:hAnsi="Times New Roman"/>
          <w:szCs w:val="24"/>
        </w:rPr>
        <w:t xml:space="preserve">n° 2013-19 </w:t>
      </w:r>
      <w:r w:rsidRPr="00DF73BD">
        <w:rPr>
          <w:rFonts w:ascii="Times New Roman" w:hAnsi="Times New Roman"/>
          <w:szCs w:val="24"/>
        </w:rPr>
        <w:t>du</w:t>
      </w:r>
      <w:r w:rsidR="00D01DD1" w:rsidRPr="00DF73BD">
        <w:rPr>
          <w:rFonts w:ascii="Times New Roman" w:hAnsi="Times New Roman"/>
          <w:szCs w:val="24"/>
        </w:rPr>
        <w:t xml:space="preserve"> </w:t>
      </w:r>
      <w:r w:rsidR="00964C16" w:rsidRPr="00DF73BD">
        <w:rPr>
          <w:rFonts w:ascii="Times New Roman" w:hAnsi="Times New Roman"/>
          <w:szCs w:val="24"/>
        </w:rPr>
        <w:t>24 avril 2013</w:t>
      </w:r>
      <w:r w:rsidRPr="00DF73BD">
        <w:rPr>
          <w:rFonts w:ascii="Times New Roman" w:hAnsi="Times New Roman"/>
          <w:szCs w:val="24"/>
        </w:rPr>
        <w:t xml:space="preserve"> </w:t>
      </w:r>
      <w:r w:rsidR="00671DB5" w:rsidRPr="00DF73BD">
        <w:rPr>
          <w:rFonts w:ascii="Times New Roman" w:hAnsi="Times New Roman"/>
          <w:szCs w:val="24"/>
        </w:rPr>
        <w:t>transmettant</w:t>
      </w:r>
      <w:r w:rsidRPr="00DF73BD">
        <w:rPr>
          <w:rFonts w:ascii="Times New Roman" w:hAnsi="Times New Roman"/>
          <w:szCs w:val="24"/>
        </w:rPr>
        <w:t xml:space="preserve"> la requête </w:t>
      </w:r>
      <w:r w:rsidR="008D665E" w:rsidRPr="00DF73BD">
        <w:rPr>
          <w:rFonts w:ascii="Times New Roman" w:hAnsi="Times New Roman"/>
          <w:szCs w:val="24"/>
        </w:rPr>
        <w:t>à la Cour</w:t>
      </w:r>
      <w:r w:rsidRPr="00DF73BD">
        <w:rPr>
          <w:rFonts w:ascii="Times New Roman" w:hAnsi="Times New Roman"/>
          <w:szCs w:val="24"/>
        </w:rPr>
        <w:t> ;</w:t>
      </w:r>
    </w:p>
    <w:p w:rsidR="008D665E" w:rsidRPr="00DF73BD" w:rsidRDefault="00B30F64" w:rsidP="008D665E">
      <w:pPr>
        <w:pStyle w:val="PS"/>
        <w:rPr>
          <w:rFonts w:ascii="Times New Roman" w:hAnsi="Times New Roman"/>
        </w:rPr>
      </w:pPr>
      <w:r w:rsidRPr="00DF73BD">
        <w:rPr>
          <w:rFonts w:ascii="Times New Roman" w:hAnsi="Times New Roman"/>
        </w:rPr>
        <w:t>Vu les pièces de la procédure suivie</w:t>
      </w:r>
      <w:r w:rsidR="00317CAF" w:rsidRPr="00DF73BD">
        <w:rPr>
          <w:rFonts w:ascii="Times New Roman" w:hAnsi="Times New Roman"/>
        </w:rPr>
        <w:t xml:space="preserve"> en première instanc</w:t>
      </w:r>
      <w:r w:rsidR="008D665E" w:rsidRPr="00DF73BD">
        <w:rPr>
          <w:rFonts w:ascii="Times New Roman" w:hAnsi="Times New Roman"/>
        </w:rPr>
        <w:t>e</w:t>
      </w:r>
      <w:r w:rsidR="00BC7F10">
        <w:rPr>
          <w:rFonts w:ascii="Times New Roman" w:hAnsi="Times New Roman"/>
        </w:rPr>
        <w:t> ;</w:t>
      </w:r>
    </w:p>
    <w:p w:rsidR="008515A5" w:rsidRPr="00DF73BD" w:rsidRDefault="008515A5" w:rsidP="008515A5">
      <w:pPr>
        <w:pStyle w:val="PS"/>
        <w:rPr>
          <w:rFonts w:ascii="Times New Roman" w:hAnsi="Times New Roman"/>
          <w:szCs w:val="24"/>
        </w:rPr>
      </w:pPr>
      <w:r w:rsidRPr="00DF73BD">
        <w:rPr>
          <w:rFonts w:ascii="Times New Roman" w:hAnsi="Times New Roman"/>
        </w:rPr>
        <w:t>Vu le code général des collectivités territoriales ;</w:t>
      </w:r>
    </w:p>
    <w:p w:rsidR="008D665E" w:rsidRPr="00DF73BD" w:rsidRDefault="008D665E" w:rsidP="008D665E">
      <w:pPr>
        <w:pStyle w:val="PS"/>
        <w:rPr>
          <w:rFonts w:ascii="Times New Roman" w:hAnsi="Times New Roman"/>
        </w:rPr>
      </w:pPr>
      <w:r w:rsidRPr="00DF73BD">
        <w:rPr>
          <w:rFonts w:ascii="Times New Roman" w:hAnsi="Times New Roman"/>
        </w:rPr>
        <w:t>Vu le code des juridictions financières ;</w:t>
      </w:r>
    </w:p>
    <w:p w:rsidR="008D665E" w:rsidRPr="00DF73BD" w:rsidRDefault="00B30F64" w:rsidP="008D665E">
      <w:pPr>
        <w:pStyle w:val="PS"/>
        <w:rPr>
          <w:rFonts w:ascii="Times New Roman" w:hAnsi="Times New Roman"/>
          <w:szCs w:val="24"/>
        </w:rPr>
      </w:pPr>
      <w:r w:rsidRPr="00DF73BD">
        <w:rPr>
          <w:rFonts w:ascii="Times New Roman" w:hAnsi="Times New Roman"/>
        </w:rPr>
        <w:t xml:space="preserve">Vu l’article 60 de la loi de finances </w:t>
      </w:r>
      <w:r w:rsidR="007B529F" w:rsidRPr="00DF73BD">
        <w:rPr>
          <w:rFonts w:ascii="Times New Roman" w:hAnsi="Times New Roman"/>
        </w:rPr>
        <w:t>n°</w:t>
      </w:r>
      <w:r w:rsidR="00C95DD8" w:rsidRPr="00DF73BD">
        <w:rPr>
          <w:rFonts w:ascii="Times New Roman" w:hAnsi="Times New Roman"/>
        </w:rPr>
        <w:t xml:space="preserve"> </w:t>
      </w:r>
      <w:r w:rsidR="007B529F" w:rsidRPr="00DF73BD">
        <w:rPr>
          <w:rFonts w:ascii="Times New Roman" w:hAnsi="Times New Roman"/>
        </w:rPr>
        <w:t>63-156 du 23 février 1963 modifiée</w:t>
      </w:r>
      <w:r w:rsidR="00BC7F10">
        <w:rPr>
          <w:rFonts w:ascii="Times New Roman" w:hAnsi="Times New Roman"/>
        </w:rPr>
        <w:t> ;</w:t>
      </w:r>
    </w:p>
    <w:p w:rsidR="008D665E" w:rsidRPr="00DF73BD" w:rsidRDefault="00B30F64" w:rsidP="008D665E">
      <w:pPr>
        <w:pStyle w:val="PS"/>
        <w:rPr>
          <w:rFonts w:ascii="Times New Roman" w:hAnsi="Times New Roman"/>
          <w:szCs w:val="24"/>
        </w:rPr>
      </w:pPr>
      <w:r w:rsidRPr="00DF73BD">
        <w:rPr>
          <w:rFonts w:ascii="Times New Roman" w:hAnsi="Times New Roman"/>
        </w:rPr>
        <w:lastRenderedPageBreak/>
        <w:t>Vu le décret n°</w:t>
      </w:r>
      <w:r w:rsidR="008D665E" w:rsidRPr="00DF73BD">
        <w:rPr>
          <w:rFonts w:ascii="Times New Roman" w:hAnsi="Times New Roman"/>
        </w:rPr>
        <w:t xml:space="preserve"> </w:t>
      </w:r>
      <w:r w:rsidRPr="00DF73BD">
        <w:rPr>
          <w:rFonts w:ascii="Times New Roman" w:hAnsi="Times New Roman"/>
        </w:rPr>
        <w:t>62-1587 du 29 décembre 1962 modifié portant règlement général sur la comptabilité publique</w:t>
      </w:r>
      <w:r w:rsidR="008D665E" w:rsidRPr="00DF73BD">
        <w:rPr>
          <w:rFonts w:ascii="Times New Roman" w:hAnsi="Times New Roman"/>
        </w:rPr>
        <w:t>, en vigueur au moment des faits</w:t>
      </w:r>
      <w:r w:rsidRPr="00DF73BD">
        <w:rPr>
          <w:rFonts w:ascii="Times New Roman" w:hAnsi="Times New Roman"/>
        </w:rPr>
        <w:t> ;</w:t>
      </w:r>
    </w:p>
    <w:p w:rsidR="008D665E" w:rsidRPr="00DF73BD" w:rsidRDefault="00497A94" w:rsidP="008D665E">
      <w:pPr>
        <w:pStyle w:val="PS"/>
        <w:rPr>
          <w:rFonts w:ascii="Times New Roman" w:hAnsi="Times New Roman"/>
          <w:szCs w:val="24"/>
        </w:rPr>
      </w:pPr>
      <w:r w:rsidRPr="00DF73BD">
        <w:rPr>
          <w:rFonts w:ascii="Times New Roman" w:hAnsi="Times New Roman"/>
        </w:rPr>
        <w:t>Vu</w:t>
      </w:r>
      <w:r w:rsidR="003201CD" w:rsidRPr="00DF73BD">
        <w:rPr>
          <w:rFonts w:ascii="Times New Roman" w:hAnsi="Times New Roman"/>
        </w:rPr>
        <w:t xml:space="preserve"> le rapport de M. </w:t>
      </w:r>
      <w:r w:rsidR="008D665E" w:rsidRPr="00DF73BD">
        <w:rPr>
          <w:rFonts w:ascii="Times New Roman" w:hAnsi="Times New Roman"/>
        </w:rPr>
        <w:t xml:space="preserve">Laurent </w:t>
      </w:r>
      <w:r w:rsidR="008D665E" w:rsidRPr="00DF73BD">
        <w:rPr>
          <w:rFonts w:ascii="Times New Roman" w:hAnsi="Times New Roman"/>
          <w:szCs w:val="24"/>
        </w:rPr>
        <w:t>Michelet</w:t>
      </w:r>
      <w:r w:rsidR="00180E4F" w:rsidRPr="00DF73BD">
        <w:rPr>
          <w:rFonts w:ascii="Times New Roman" w:hAnsi="Times New Roman"/>
        </w:rPr>
        <w:t>,</w:t>
      </w:r>
      <w:r w:rsidR="00D01DD1" w:rsidRPr="00DF73BD">
        <w:rPr>
          <w:rFonts w:ascii="Times New Roman" w:hAnsi="Times New Roman"/>
        </w:rPr>
        <w:t xml:space="preserve"> conseiller référendaire ;</w:t>
      </w:r>
    </w:p>
    <w:p w:rsidR="008D665E" w:rsidRPr="00DF73BD" w:rsidRDefault="0039572C" w:rsidP="008D665E">
      <w:pPr>
        <w:pStyle w:val="PS"/>
        <w:rPr>
          <w:rFonts w:ascii="Times New Roman" w:hAnsi="Times New Roman"/>
          <w:szCs w:val="24"/>
        </w:rPr>
      </w:pPr>
      <w:r w:rsidRPr="00DF73BD">
        <w:rPr>
          <w:rFonts w:ascii="Times New Roman" w:hAnsi="Times New Roman"/>
        </w:rPr>
        <w:t>Vu les conclusions du Procureur général</w:t>
      </w:r>
      <w:r w:rsidR="007F2422" w:rsidRPr="00DF73BD">
        <w:rPr>
          <w:rFonts w:ascii="Times New Roman" w:hAnsi="Times New Roman"/>
        </w:rPr>
        <w:t xml:space="preserve"> </w:t>
      </w:r>
      <w:r w:rsidR="008D665E" w:rsidRPr="00DF73BD">
        <w:rPr>
          <w:rFonts w:ascii="Times New Roman" w:hAnsi="Times New Roman"/>
        </w:rPr>
        <w:t>n°</w:t>
      </w:r>
      <w:r w:rsidR="0087748E" w:rsidRPr="00DF73BD">
        <w:rPr>
          <w:rFonts w:ascii="Times New Roman" w:hAnsi="Times New Roman"/>
        </w:rPr>
        <w:t xml:space="preserve"> 464 </w:t>
      </w:r>
      <w:r w:rsidR="009948B1" w:rsidRPr="00DF73BD">
        <w:rPr>
          <w:rFonts w:ascii="Times New Roman" w:hAnsi="Times New Roman"/>
        </w:rPr>
        <w:t xml:space="preserve">du </w:t>
      </w:r>
      <w:r w:rsidR="008D665E" w:rsidRPr="00DF73BD">
        <w:rPr>
          <w:rFonts w:ascii="Times New Roman" w:hAnsi="Times New Roman"/>
        </w:rPr>
        <w:t>26</w:t>
      </w:r>
      <w:r w:rsidR="00F52F22">
        <w:rPr>
          <w:rFonts w:ascii="Times New Roman" w:hAnsi="Times New Roman"/>
        </w:rPr>
        <w:t xml:space="preserve"> </w:t>
      </w:r>
      <w:r w:rsidR="008D665E" w:rsidRPr="00DF73BD">
        <w:rPr>
          <w:rFonts w:ascii="Times New Roman" w:hAnsi="Times New Roman"/>
        </w:rPr>
        <w:t xml:space="preserve">juin </w:t>
      </w:r>
      <w:r w:rsidR="001F1662" w:rsidRPr="00DF73BD">
        <w:rPr>
          <w:rFonts w:ascii="Times New Roman" w:hAnsi="Times New Roman"/>
        </w:rPr>
        <w:t>2013</w:t>
      </w:r>
      <w:r w:rsidR="00BC7F10">
        <w:rPr>
          <w:rFonts w:ascii="Times New Roman" w:hAnsi="Times New Roman"/>
        </w:rPr>
        <w:t> </w:t>
      </w:r>
      <w:r w:rsidRPr="00DF73BD">
        <w:rPr>
          <w:rFonts w:ascii="Times New Roman" w:hAnsi="Times New Roman"/>
        </w:rPr>
        <w:t>;</w:t>
      </w:r>
    </w:p>
    <w:p w:rsidR="008D665E" w:rsidRPr="00DF73BD" w:rsidRDefault="0039572C" w:rsidP="008D665E">
      <w:pPr>
        <w:pStyle w:val="PS"/>
        <w:rPr>
          <w:rFonts w:ascii="Times New Roman" w:hAnsi="Times New Roman"/>
          <w:szCs w:val="24"/>
        </w:rPr>
      </w:pPr>
      <w:r w:rsidRPr="00DF73BD">
        <w:rPr>
          <w:rFonts w:ascii="Times New Roman" w:hAnsi="Times New Roman"/>
        </w:rPr>
        <w:t xml:space="preserve">Entendu, lors de l’audience publique de ce jour, </w:t>
      </w:r>
      <w:r w:rsidR="00497A94" w:rsidRPr="00DF73BD">
        <w:rPr>
          <w:rFonts w:ascii="Times New Roman" w:hAnsi="Times New Roman"/>
        </w:rPr>
        <w:t xml:space="preserve">M. </w:t>
      </w:r>
      <w:r w:rsidR="008D665E" w:rsidRPr="00DF73BD">
        <w:rPr>
          <w:rFonts w:ascii="Times New Roman" w:hAnsi="Times New Roman"/>
          <w:szCs w:val="24"/>
        </w:rPr>
        <w:t>Michelet</w:t>
      </w:r>
      <w:r w:rsidR="00497A94" w:rsidRPr="00DF73BD">
        <w:rPr>
          <w:rFonts w:ascii="Times New Roman" w:hAnsi="Times New Roman"/>
        </w:rPr>
        <w:t>,</w:t>
      </w:r>
      <w:r w:rsidR="008D665E" w:rsidRPr="00DF73BD">
        <w:rPr>
          <w:rFonts w:ascii="Times New Roman" w:hAnsi="Times New Roman"/>
        </w:rPr>
        <w:t xml:space="preserve"> </w:t>
      </w:r>
      <w:r w:rsidR="00671DB5" w:rsidRPr="00DF73BD">
        <w:rPr>
          <w:rFonts w:ascii="Times New Roman" w:hAnsi="Times New Roman"/>
        </w:rPr>
        <w:t>en</w:t>
      </w:r>
      <w:r w:rsidR="003201CD" w:rsidRPr="00DF73BD">
        <w:rPr>
          <w:rFonts w:ascii="Times New Roman" w:hAnsi="Times New Roman"/>
        </w:rPr>
        <w:t xml:space="preserve"> son </w:t>
      </w:r>
      <w:r w:rsidR="00671DB5" w:rsidRPr="00DF73BD">
        <w:rPr>
          <w:rFonts w:ascii="Times New Roman" w:hAnsi="Times New Roman"/>
        </w:rPr>
        <w:t>rapport</w:t>
      </w:r>
      <w:r w:rsidR="003201CD" w:rsidRPr="00DF73BD">
        <w:rPr>
          <w:rFonts w:ascii="Times New Roman" w:hAnsi="Times New Roman"/>
        </w:rPr>
        <w:t>, M.</w:t>
      </w:r>
      <w:r w:rsidR="008D665E" w:rsidRPr="00DF73BD">
        <w:rPr>
          <w:rFonts w:ascii="Times New Roman" w:hAnsi="Times New Roman"/>
        </w:rPr>
        <w:t xml:space="preserve"> Yves Perrin, avocat général</w:t>
      </w:r>
      <w:r w:rsidRPr="00DF73BD">
        <w:rPr>
          <w:rFonts w:ascii="Times New Roman" w:hAnsi="Times New Roman"/>
        </w:rPr>
        <w:t xml:space="preserve">, en </w:t>
      </w:r>
      <w:r w:rsidR="009948B1" w:rsidRPr="00DF73BD">
        <w:rPr>
          <w:rFonts w:ascii="Times New Roman" w:hAnsi="Times New Roman"/>
        </w:rPr>
        <w:t>l</w:t>
      </w:r>
      <w:r w:rsidRPr="00DF73BD">
        <w:rPr>
          <w:rFonts w:ascii="Times New Roman" w:hAnsi="Times New Roman"/>
        </w:rPr>
        <w:t>es conclusions</w:t>
      </w:r>
      <w:r w:rsidR="009948B1" w:rsidRPr="00DF73BD">
        <w:rPr>
          <w:rFonts w:ascii="Times New Roman" w:hAnsi="Times New Roman"/>
        </w:rPr>
        <w:t xml:space="preserve"> du </w:t>
      </w:r>
      <w:r w:rsidR="008D665E" w:rsidRPr="00DF73BD">
        <w:rPr>
          <w:rFonts w:ascii="Times New Roman" w:hAnsi="Times New Roman"/>
        </w:rPr>
        <w:t>ministère public</w:t>
      </w:r>
      <w:r w:rsidRPr="00DF73BD">
        <w:rPr>
          <w:rFonts w:ascii="Times New Roman" w:hAnsi="Times New Roman"/>
        </w:rPr>
        <w:t xml:space="preserve">, l’appelant, </w:t>
      </w:r>
      <w:r w:rsidR="003017C0">
        <w:rPr>
          <w:rFonts w:ascii="Times New Roman" w:hAnsi="Times New Roman"/>
          <w:szCs w:val="24"/>
        </w:rPr>
        <w:t>M. X</w:t>
      </w:r>
      <w:r w:rsidR="00F52F22">
        <w:rPr>
          <w:rFonts w:ascii="Times New Roman" w:hAnsi="Times New Roman"/>
          <w:szCs w:val="24"/>
        </w:rPr>
        <w:t xml:space="preserve">, </w:t>
      </w:r>
      <w:r w:rsidRPr="00DF73BD">
        <w:rPr>
          <w:rFonts w:ascii="Times New Roman" w:hAnsi="Times New Roman"/>
        </w:rPr>
        <w:t>présent</w:t>
      </w:r>
      <w:r w:rsidR="008D665E" w:rsidRPr="00DF73BD">
        <w:rPr>
          <w:rFonts w:ascii="Times New Roman" w:hAnsi="Times New Roman"/>
        </w:rPr>
        <w:t xml:space="preserve"> à l’audience</w:t>
      </w:r>
      <w:r w:rsidR="00031379" w:rsidRPr="00DF73BD">
        <w:rPr>
          <w:rFonts w:ascii="Times New Roman" w:hAnsi="Times New Roman"/>
        </w:rPr>
        <w:t>,</w:t>
      </w:r>
      <w:r w:rsidR="008D665E" w:rsidRPr="00DF73BD">
        <w:rPr>
          <w:rFonts w:ascii="Times New Roman" w:hAnsi="Times New Roman"/>
        </w:rPr>
        <w:t xml:space="preserve"> </w:t>
      </w:r>
      <w:r w:rsidR="00031379" w:rsidRPr="00DF73BD">
        <w:rPr>
          <w:rFonts w:ascii="Times New Roman" w:hAnsi="Times New Roman"/>
        </w:rPr>
        <w:t xml:space="preserve">étant intervenu et </w:t>
      </w:r>
      <w:r w:rsidR="008D665E" w:rsidRPr="00DF73BD">
        <w:rPr>
          <w:rFonts w:ascii="Times New Roman" w:hAnsi="Times New Roman"/>
        </w:rPr>
        <w:t>ayant eu la parole en dernier</w:t>
      </w:r>
      <w:r w:rsidR="00BC7F10">
        <w:rPr>
          <w:rFonts w:ascii="Times New Roman" w:hAnsi="Times New Roman"/>
        </w:rPr>
        <w:t> ;</w:t>
      </w:r>
    </w:p>
    <w:p w:rsidR="00FF6674" w:rsidRPr="00DF73BD" w:rsidRDefault="008D665E" w:rsidP="008D665E">
      <w:pPr>
        <w:pStyle w:val="PS"/>
        <w:rPr>
          <w:rFonts w:ascii="Times New Roman" w:hAnsi="Times New Roman"/>
        </w:rPr>
      </w:pPr>
      <w:r w:rsidRPr="00DF73BD">
        <w:rPr>
          <w:rFonts w:ascii="Times New Roman" w:hAnsi="Times New Roman"/>
        </w:rPr>
        <w:t xml:space="preserve">Après avoir entendu </w:t>
      </w:r>
      <w:r w:rsidR="00671DB5" w:rsidRPr="00DF73BD">
        <w:rPr>
          <w:rFonts w:ascii="Times New Roman" w:hAnsi="Times New Roman"/>
        </w:rPr>
        <w:t>en délibéré</w:t>
      </w:r>
      <w:r w:rsidRPr="00DF73BD">
        <w:rPr>
          <w:rFonts w:ascii="Times New Roman" w:hAnsi="Times New Roman"/>
        </w:rPr>
        <w:t xml:space="preserve"> M. Roch-Olivier Maistre, </w:t>
      </w:r>
      <w:r w:rsidR="001F1662" w:rsidRPr="00DF73BD">
        <w:rPr>
          <w:rFonts w:ascii="Times New Roman" w:hAnsi="Times New Roman"/>
        </w:rPr>
        <w:t>conseiller</w:t>
      </w:r>
      <w:r w:rsidR="00BF0118" w:rsidRPr="00DF73BD">
        <w:rPr>
          <w:rFonts w:ascii="Times New Roman" w:hAnsi="Times New Roman"/>
        </w:rPr>
        <w:t xml:space="preserve"> maître</w:t>
      </w:r>
      <w:r w:rsidR="006E020C" w:rsidRPr="00DF73BD">
        <w:rPr>
          <w:rFonts w:ascii="Times New Roman" w:hAnsi="Times New Roman"/>
        </w:rPr>
        <w:t xml:space="preserve">, </w:t>
      </w:r>
      <w:r w:rsidR="00FF6674" w:rsidRPr="00DF73BD">
        <w:rPr>
          <w:rFonts w:ascii="Times New Roman" w:hAnsi="Times New Roman"/>
        </w:rPr>
        <w:t>en ses observations ;</w:t>
      </w:r>
    </w:p>
    <w:p w:rsidR="00061A1C" w:rsidRPr="00DF73BD" w:rsidRDefault="008D665E" w:rsidP="00061A1C">
      <w:pPr>
        <w:pStyle w:val="PS"/>
        <w:rPr>
          <w:rFonts w:ascii="Times New Roman" w:hAnsi="Times New Roman"/>
          <w:szCs w:val="24"/>
        </w:rPr>
      </w:pPr>
      <w:r w:rsidRPr="00DF73BD">
        <w:rPr>
          <w:rFonts w:ascii="Times New Roman" w:hAnsi="Times New Roman"/>
          <w:szCs w:val="24"/>
        </w:rPr>
        <w:t>Attendu que, par le jugement entrepris, la chambre régionale des comptes de Provence-Alpes</w:t>
      </w:r>
      <w:r w:rsidR="00F21F07">
        <w:rPr>
          <w:rFonts w:ascii="Times New Roman" w:hAnsi="Times New Roman"/>
          <w:szCs w:val="24"/>
        </w:rPr>
        <w:t>-</w:t>
      </w:r>
      <w:r w:rsidRPr="00DF73BD">
        <w:rPr>
          <w:rFonts w:ascii="Times New Roman" w:hAnsi="Times New Roman"/>
          <w:szCs w:val="24"/>
        </w:rPr>
        <w:t xml:space="preserve">Côte d’Azur a constitué </w:t>
      </w:r>
      <w:r w:rsidR="003017C0">
        <w:rPr>
          <w:rFonts w:ascii="Times New Roman" w:hAnsi="Times New Roman"/>
          <w:szCs w:val="24"/>
        </w:rPr>
        <w:t>M. X</w:t>
      </w:r>
      <w:r w:rsidRPr="00DF73BD">
        <w:rPr>
          <w:rFonts w:ascii="Times New Roman" w:hAnsi="Times New Roman"/>
          <w:szCs w:val="24"/>
        </w:rPr>
        <w:t>, comptable de la communauté urbaine de Nice</w:t>
      </w:r>
      <w:r w:rsidR="00F21F07">
        <w:rPr>
          <w:rFonts w:ascii="Times New Roman" w:hAnsi="Times New Roman"/>
          <w:szCs w:val="24"/>
        </w:rPr>
        <w:t>-</w:t>
      </w:r>
      <w:r w:rsidRPr="00DF73BD">
        <w:rPr>
          <w:rFonts w:ascii="Times New Roman" w:hAnsi="Times New Roman"/>
          <w:szCs w:val="24"/>
        </w:rPr>
        <w:t>Côte d’Azur du 3 mars 2008 au 31 décembre 2010, débiteur de ladite communauté urbaine pour la somme de 2 780 549,08 €, augmentée des intérêts de droit calculés à compter du 15 juin 2012</w:t>
      </w:r>
      <w:r w:rsidR="008515A5" w:rsidRPr="00DF73BD">
        <w:rPr>
          <w:rFonts w:ascii="Times New Roman" w:hAnsi="Times New Roman"/>
          <w:szCs w:val="24"/>
        </w:rPr>
        <w:t xml:space="preserve">, pour avoir </w:t>
      </w:r>
      <w:r w:rsidR="00CC2DE6" w:rsidRPr="00DF73BD">
        <w:rPr>
          <w:rFonts w:ascii="Times New Roman" w:hAnsi="Times New Roman"/>
          <w:szCs w:val="24"/>
        </w:rPr>
        <w:t>procédé au paiement de</w:t>
      </w:r>
      <w:r w:rsidR="008515A5" w:rsidRPr="00DF73BD">
        <w:rPr>
          <w:rFonts w:ascii="Times New Roman" w:hAnsi="Times New Roman"/>
          <w:szCs w:val="24"/>
        </w:rPr>
        <w:t xml:space="preserve"> mandats </w:t>
      </w:r>
      <w:r w:rsidR="00CC2DE6" w:rsidRPr="00DF73BD">
        <w:rPr>
          <w:rFonts w:ascii="Times New Roman" w:hAnsi="Times New Roman"/>
          <w:szCs w:val="24"/>
        </w:rPr>
        <w:t xml:space="preserve">collectifs </w:t>
      </w:r>
      <w:r w:rsidR="008515A5" w:rsidRPr="00DF73BD">
        <w:rPr>
          <w:rFonts w:ascii="Times New Roman" w:hAnsi="Times New Roman"/>
          <w:szCs w:val="24"/>
        </w:rPr>
        <w:t xml:space="preserve">portant primes d’aide sociale aux vacances et aux loisirs </w:t>
      </w:r>
      <w:r w:rsidR="00CC2DE6" w:rsidRPr="00DF73BD">
        <w:rPr>
          <w:rFonts w:ascii="Times New Roman" w:hAnsi="Times New Roman"/>
          <w:szCs w:val="24"/>
        </w:rPr>
        <w:t xml:space="preserve">versées à l’ensemble du personnel, </w:t>
      </w:r>
      <w:r w:rsidR="00C95DD8" w:rsidRPr="00DF73BD">
        <w:rPr>
          <w:rFonts w:ascii="Times New Roman" w:hAnsi="Times New Roman"/>
          <w:szCs w:val="24"/>
        </w:rPr>
        <w:t xml:space="preserve">hors collaborateurs de cabinet, </w:t>
      </w:r>
      <w:r w:rsidR="008515A5" w:rsidRPr="00DF73BD">
        <w:rPr>
          <w:rFonts w:ascii="Times New Roman" w:hAnsi="Times New Roman"/>
          <w:szCs w:val="24"/>
        </w:rPr>
        <w:t xml:space="preserve">sans disposer des </w:t>
      </w:r>
      <w:r w:rsidR="00152416" w:rsidRPr="00DF73BD">
        <w:rPr>
          <w:rFonts w:ascii="Times New Roman" w:hAnsi="Times New Roman"/>
          <w:szCs w:val="24"/>
        </w:rPr>
        <w:t>éléments lui permettant de procéder au contrôle de l’exacti</w:t>
      </w:r>
      <w:r w:rsidR="00CC2DE6" w:rsidRPr="00DF73BD">
        <w:rPr>
          <w:rFonts w:ascii="Times New Roman" w:hAnsi="Times New Roman"/>
          <w:szCs w:val="24"/>
        </w:rPr>
        <w:t>tude des calculs de liquidation</w:t>
      </w:r>
      <w:r w:rsidR="00BC7F10">
        <w:rPr>
          <w:rFonts w:ascii="Times New Roman" w:hAnsi="Times New Roman"/>
          <w:szCs w:val="24"/>
        </w:rPr>
        <w:t> </w:t>
      </w:r>
      <w:r w:rsidRPr="00DF73BD">
        <w:rPr>
          <w:rFonts w:ascii="Times New Roman" w:hAnsi="Times New Roman"/>
          <w:szCs w:val="24"/>
        </w:rPr>
        <w:t>;</w:t>
      </w:r>
    </w:p>
    <w:p w:rsidR="00061A1C" w:rsidRPr="00DF73BD" w:rsidRDefault="00C95DD8" w:rsidP="00061A1C">
      <w:pPr>
        <w:pStyle w:val="PS"/>
        <w:rPr>
          <w:rFonts w:ascii="Times New Roman" w:hAnsi="Times New Roman"/>
          <w:szCs w:val="24"/>
        </w:rPr>
      </w:pPr>
      <w:r w:rsidRPr="00DF73BD">
        <w:rPr>
          <w:rFonts w:ascii="Times New Roman" w:hAnsi="Times New Roman"/>
          <w:szCs w:val="24"/>
        </w:rPr>
        <w:t>Considérant qu'en application de l'article 60 de la loi de finances du 23 février 1963 susvisée, « </w:t>
      </w:r>
      <w:r w:rsidRPr="00DF73BD">
        <w:rPr>
          <w:rFonts w:ascii="Times New Roman" w:hAnsi="Times New Roman"/>
          <w:i/>
          <w:szCs w:val="24"/>
        </w:rPr>
        <w:t>les comptables publics sont personnellement et pécuniairement responsables des contrôles qu'ils sont tenus d'assurer en matière (…) de dépenses (…) dans les conditions prévues par le règlement général sur la comptabilité publique </w:t>
      </w:r>
      <w:r w:rsidRPr="00DF73BD">
        <w:rPr>
          <w:rFonts w:ascii="Times New Roman" w:hAnsi="Times New Roman"/>
          <w:szCs w:val="24"/>
        </w:rPr>
        <w:t>» et qu’en vertu du même texte « </w:t>
      </w:r>
      <w:r w:rsidRPr="00DF73BD">
        <w:rPr>
          <w:rFonts w:ascii="Times New Roman" w:hAnsi="Times New Roman"/>
          <w:i/>
          <w:szCs w:val="24"/>
        </w:rPr>
        <w:t>la responsabilité personnelle et pécuniaire (…) se trouve engagée dès lors (…) qu'une dépense a été irrégulièrement payée (…)</w:t>
      </w:r>
      <w:r w:rsidRPr="00DF73BD">
        <w:rPr>
          <w:rFonts w:ascii="Times New Roman" w:hAnsi="Times New Roman"/>
          <w:szCs w:val="24"/>
        </w:rPr>
        <w:t> » ; qu’il résulte de l’article 1</w:t>
      </w:r>
      <w:r w:rsidR="00325D12" w:rsidRPr="00DF73BD">
        <w:rPr>
          <w:rFonts w:ascii="Times New Roman" w:hAnsi="Times New Roman"/>
          <w:szCs w:val="24"/>
        </w:rPr>
        <w:t>2</w:t>
      </w:r>
      <w:r w:rsidRPr="00DF73BD">
        <w:rPr>
          <w:rFonts w:ascii="Times New Roman" w:hAnsi="Times New Roman"/>
          <w:szCs w:val="24"/>
        </w:rPr>
        <w:t xml:space="preserve"> du décret du 29 décembre 1962 susvisé que </w:t>
      </w:r>
      <w:r w:rsidR="00325D12" w:rsidRPr="00DF73BD">
        <w:rPr>
          <w:rFonts w:ascii="Times New Roman" w:hAnsi="Times New Roman"/>
          <w:szCs w:val="24"/>
        </w:rPr>
        <w:t xml:space="preserve">les comptables publics sont tenus d’exercer en matière de dépenses le contrôle « (…) </w:t>
      </w:r>
      <w:r w:rsidR="00325D12" w:rsidRPr="00DF73BD">
        <w:rPr>
          <w:rFonts w:ascii="Times New Roman" w:hAnsi="Times New Roman"/>
          <w:i/>
          <w:szCs w:val="24"/>
        </w:rPr>
        <w:t>de la validité de la créance dans les conditions prévues à l'article 13 ci-après </w:t>
      </w:r>
      <w:r w:rsidR="00325D12" w:rsidRPr="00DF73BD">
        <w:rPr>
          <w:rFonts w:ascii="Times New Roman" w:hAnsi="Times New Roman"/>
          <w:szCs w:val="24"/>
        </w:rPr>
        <w:t xml:space="preserve">» ; que l’article 13 du même texte précise qu’en ce qui concerne la validité de la créance le contrôle porte </w:t>
      </w:r>
      <w:r w:rsidR="00CB0A02">
        <w:rPr>
          <w:rFonts w:ascii="Times New Roman" w:hAnsi="Times New Roman"/>
          <w:szCs w:val="24"/>
        </w:rPr>
        <w:t xml:space="preserve">sur </w:t>
      </w:r>
      <w:r w:rsidR="00325D12" w:rsidRPr="00DF73BD">
        <w:rPr>
          <w:rFonts w:ascii="Times New Roman" w:hAnsi="Times New Roman"/>
          <w:szCs w:val="24"/>
        </w:rPr>
        <w:t>« </w:t>
      </w:r>
      <w:r w:rsidR="00325D12" w:rsidRPr="00CB0A02">
        <w:rPr>
          <w:rFonts w:ascii="Times New Roman" w:hAnsi="Times New Roman"/>
          <w:szCs w:val="24"/>
        </w:rPr>
        <w:t>(…)</w:t>
      </w:r>
      <w:r w:rsidR="00325D12" w:rsidRPr="00DF73BD">
        <w:rPr>
          <w:rFonts w:ascii="Times New Roman" w:hAnsi="Times New Roman"/>
          <w:i/>
          <w:szCs w:val="24"/>
        </w:rPr>
        <w:t xml:space="preserve"> l’exactitude des calculs de liquidation ; l'intervention préalable des contrôles réglementaires et la production des justifications (…) </w:t>
      </w:r>
      <w:r w:rsidR="00325D12" w:rsidRPr="00DF73BD">
        <w:rPr>
          <w:rFonts w:ascii="Times New Roman" w:hAnsi="Times New Roman"/>
          <w:szCs w:val="24"/>
        </w:rPr>
        <w:t>» ;</w:t>
      </w:r>
      <w:r w:rsidR="00061A1C" w:rsidRPr="00DF73BD">
        <w:rPr>
          <w:rFonts w:ascii="Times New Roman" w:eastAsia="Calibri" w:hAnsi="Times New Roman"/>
          <w:szCs w:val="24"/>
          <w:lang w:val="x-none" w:eastAsia="en-US"/>
        </w:rPr>
        <w:t xml:space="preserve"> </w:t>
      </w:r>
      <w:r w:rsidR="00061A1C" w:rsidRPr="00DF73BD">
        <w:rPr>
          <w:rFonts w:ascii="Times New Roman" w:eastAsia="Calibri" w:hAnsi="Times New Roman"/>
          <w:szCs w:val="24"/>
          <w:lang w:eastAsia="en-US"/>
        </w:rPr>
        <w:t>qu’enfin l</w:t>
      </w:r>
      <w:r w:rsidR="00061A1C" w:rsidRPr="00DF73BD">
        <w:rPr>
          <w:rFonts w:ascii="Times New Roman" w:eastAsia="Calibri" w:hAnsi="Times New Roman"/>
          <w:szCs w:val="24"/>
          <w:lang w:val="x-none" w:eastAsia="en-US"/>
        </w:rPr>
        <w:t>’article 37 du même décret précise que</w:t>
      </w:r>
      <w:r w:rsidR="00061A1C" w:rsidRPr="00DF73BD">
        <w:rPr>
          <w:rFonts w:ascii="Times New Roman" w:eastAsia="Calibri" w:hAnsi="Times New Roman"/>
          <w:szCs w:val="24"/>
          <w:lang w:eastAsia="en-US"/>
        </w:rPr>
        <w:t xml:space="preserve"> </w:t>
      </w:r>
      <w:r w:rsidR="00061A1C" w:rsidRPr="00DF73BD">
        <w:rPr>
          <w:rFonts w:ascii="Times New Roman" w:eastAsia="Calibri" w:hAnsi="Times New Roman"/>
          <w:szCs w:val="24"/>
          <w:lang w:val="x-none" w:eastAsia="en-US"/>
        </w:rPr>
        <w:t xml:space="preserve">lorsque, à l’occasion de l’exercice du contrôle prévu à l’article 12 (alinéa B) ci-dessus, des irrégularités sont constatées, </w:t>
      </w:r>
      <w:r w:rsidR="00061A1C" w:rsidRPr="00DF73BD">
        <w:rPr>
          <w:rFonts w:ascii="Times New Roman" w:eastAsia="Calibri" w:hAnsi="Times New Roman"/>
          <w:szCs w:val="24"/>
          <w:lang w:eastAsia="en-US"/>
        </w:rPr>
        <w:t>« </w:t>
      </w:r>
      <w:r w:rsidR="00061A1C" w:rsidRPr="00DF73BD">
        <w:rPr>
          <w:rFonts w:ascii="Times New Roman" w:eastAsia="Calibri" w:hAnsi="Times New Roman"/>
          <w:i/>
          <w:szCs w:val="24"/>
          <w:lang w:val="x-none" w:eastAsia="en-US"/>
        </w:rPr>
        <w:t>les comptables publics suspendent les paiements et en informent l’ordonnateur (...)</w:t>
      </w:r>
      <w:r w:rsidR="00061A1C" w:rsidRPr="00DF73BD">
        <w:rPr>
          <w:rFonts w:ascii="Times New Roman" w:eastAsia="Calibri" w:hAnsi="Times New Roman"/>
          <w:i/>
          <w:szCs w:val="24"/>
          <w:lang w:eastAsia="en-US"/>
        </w:rPr>
        <w:t> </w:t>
      </w:r>
      <w:r w:rsidR="00061A1C" w:rsidRPr="00DF73BD">
        <w:rPr>
          <w:rFonts w:ascii="Times New Roman" w:eastAsia="Calibri" w:hAnsi="Times New Roman"/>
          <w:szCs w:val="24"/>
          <w:lang w:eastAsia="en-US"/>
        </w:rPr>
        <w:t>» ;</w:t>
      </w:r>
      <w:r w:rsidR="00061A1C" w:rsidRPr="00DF73BD">
        <w:rPr>
          <w:rFonts w:ascii="Times New Roman" w:eastAsia="Calibri" w:hAnsi="Times New Roman"/>
          <w:szCs w:val="24"/>
          <w:lang w:val="x-none" w:eastAsia="en-US"/>
        </w:rPr>
        <w:t xml:space="preserve"> </w:t>
      </w:r>
    </w:p>
    <w:p w:rsidR="00D17754" w:rsidRPr="00DF73BD" w:rsidRDefault="00D17754" w:rsidP="00F52F22">
      <w:pPr>
        <w:pStyle w:val="PS"/>
        <w:spacing w:after="360"/>
        <w:ind w:left="0" w:firstLine="2835"/>
        <w:rPr>
          <w:rFonts w:ascii="Times New Roman" w:hAnsi="Times New Roman"/>
          <w:b/>
        </w:rPr>
      </w:pPr>
      <w:r w:rsidRPr="00DF73BD">
        <w:rPr>
          <w:rFonts w:ascii="Times New Roman" w:hAnsi="Times New Roman"/>
          <w:b/>
        </w:rPr>
        <w:lastRenderedPageBreak/>
        <w:t>Sur les observations préalables de la CRC</w:t>
      </w:r>
    </w:p>
    <w:p w:rsidR="00D17754" w:rsidRPr="00DF73BD" w:rsidRDefault="00D17754" w:rsidP="00F52F22">
      <w:pPr>
        <w:pStyle w:val="PS"/>
        <w:spacing w:after="360"/>
        <w:rPr>
          <w:rFonts w:ascii="Times New Roman" w:hAnsi="Times New Roman"/>
          <w:bCs/>
          <w:szCs w:val="24"/>
        </w:rPr>
      </w:pPr>
      <w:r w:rsidRPr="00DF73BD">
        <w:rPr>
          <w:rFonts w:ascii="Times New Roman" w:hAnsi="Times New Roman"/>
          <w:bCs/>
          <w:szCs w:val="24"/>
        </w:rPr>
        <w:t>Attendu que le requérant fait valoir</w:t>
      </w:r>
      <w:r w:rsidR="00DF73BD">
        <w:rPr>
          <w:rFonts w:ascii="Times New Roman" w:hAnsi="Times New Roman"/>
          <w:bCs/>
          <w:szCs w:val="24"/>
        </w:rPr>
        <w:t>,</w:t>
      </w:r>
      <w:r w:rsidRPr="00DF73BD">
        <w:rPr>
          <w:rFonts w:ascii="Times New Roman" w:hAnsi="Times New Roman"/>
          <w:bCs/>
          <w:szCs w:val="24"/>
        </w:rPr>
        <w:t xml:space="preserve"> en premier lieu</w:t>
      </w:r>
      <w:r w:rsidR="00DF73BD">
        <w:rPr>
          <w:rFonts w:ascii="Times New Roman" w:hAnsi="Times New Roman"/>
          <w:bCs/>
          <w:szCs w:val="24"/>
        </w:rPr>
        <w:t>,</w:t>
      </w:r>
      <w:r w:rsidRPr="00DF73BD">
        <w:rPr>
          <w:rFonts w:ascii="Times New Roman" w:hAnsi="Times New Roman"/>
          <w:bCs/>
          <w:szCs w:val="24"/>
        </w:rPr>
        <w:t xml:space="preserve"> que le rapport d’observations définitives de la chambre régionale des comptes en date du 16 novembre 2006, consécutif au contrôle de la gestion de la communauté urbaine de Nice</w:t>
      </w:r>
      <w:r w:rsidR="001306DB">
        <w:rPr>
          <w:rFonts w:ascii="Times New Roman" w:hAnsi="Times New Roman"/>
          <w:bCs/>
          <w:szCs w:val="24"/>
        </w:rPr>
        <w:t>-</w:t>
      </w:r>
      <w:r w:rsidRPr="00DF73BD">
        <w:rPr>
          <w:rFonts w:ascii="Times New Roman" w:hAnsi="Times New Roman"/>
          <w:bCs/>
          <w:szCs w:val="24"/>
        </w:rPr>
        <w:t>Côte d’Azur pour les exercices 2002 à 2004, a qualifié la prime d’aide sociale aux vacances et aux loisirs</w:t>
      </w:r>
      <w:r w:rsidR="00BC7F10">
        <w:rPr>
          <w:rFonts w:ascii="Times New Roman" w:hAnsi="Times New Roman"/>
          <w:bCs/>
          <w:szCs w:val="24"/>
        </w:rPr>
        <w:t xml:space="preserve"> </w:t>
      </w:r>
      <w:r w:rsidRPr="00DF73BD">
        <w:rPr>
          <w:rFonts w:ascii="Times New Roman" w:hAnsi="Times New Roman"/>
          <w:bCs/>
          <w:szCs w:val="24"/>
        </w:rPr>
        <w:t>d’avantage indemnitaire ; que le comptable estime que cette qualification s’imposait à la juridiction ;</w:t>
      </w:r>
    </w:p>
    <w:p w:rsidR="00D17754" w:rsidRPr="00DF73BD" w:rsidRDefault="00D17754" w:rsidP="00F52F22">
      <w:pPr>
        <w:spacing w:after="360"/>
        <w:ind w:left="1701" w:firstLine="1134"/>
        <w:jc w:val="both"/>
        <w:rPr>
          <w:bCs/>
          <w:sz w:val="24"/>
          <w:szCs w:val="24"/>
        </w:rPr>
      </w:pPr>
      <w:r w:rsidRPr="00DF73BD">
        <w:rPr>
          <w:bCs/>
          <w:sz w:val="24"/>
          <w:szCs w:val="24"/>
        </w:rPr>
        <w:t xml:space="preserve">Considérant que le rapport d’observations définitives </w:t>
      </w:r>
      <w:r w:rsidR="00DF73BD">
        <w:rPr>
          <w:bCs/>
          <w:sz w:val="24"/>
          <w:szCs w:val="24"/>
        </w:rPr>
        <w:t xml:space="preserve">en question </w:t>
      </w:r>
      <w:r w:rsidRPr="00DF73BD">
        <w:rPr>
          <w:bCs/>
          <w:sz w:val="24"/>
          <w:szCs w:val="24"/>
        </w:rPr>
        <w:t>ne concern</w:t>
      </w:r>
      <w:r w:rsidR="00DF73BD">
        <w:rPr>
          <w:bCs/>
          <w:sz w:val="24"/>
          <w:szCs w:val="24"/>
        </w:rPr>
        <w:t>e</w:t>
      </w:r>
      <w:r w:rsidRPr="00DF73BD">
        <w:rPr>
          <w:bCs/>
          <w:sz w:val="24"/>
          <w:szCs w:val="24"/>
        </w:rPr>
        <w:t xml:space="preserve"> que la gestion de l’ordonnateur et non celle du comptable, qui n’y est pas mentionné ; que l’observation relative à la prime d’aide sociale aux vacances et aux loisirs revêt un caractère descriptif et général, sans mention d’une éventuelle suite de nature juridictionnelle ; que cette observation administrative ne constitu</w:t>
      </w:r>
      <w:r w:rsidR="00DF73BD">
        <w:rPr>
          <w:bCs/>
          <w:sz w:val="24"/>
          <w:szCs w:val="24"/>
        </w:rPr>
        <w:t>e</w:t>
      </w:r>
      <w:r w:rsidRPr="00DF73BD">
        <w:rPr>
          <w:bCs/>
          <w:sz w:val="24"/>
          <w:szCs w:val="24"/>
        </w:rPr>
        <w:t xml:space="preserve"> en rien un préjugement et ne pouvait lier la chambre régionale statuant en matière juridictionnelle</w:t>
      </w:r>
      <w:r w:rsidR="00BC7F10">
        <w:rPr>
          <w:bCs/>
          <w:sz w:val="24"/>
          <w:szCs w:val="24"/>
        </w:rPr>
        <w:t xml:space="preserve"> </w:t>
      </w:r>
      <w:r w:rsidRPr="00DF73BD">
        <w:rPr>
          <w:bCs/>
          <w:sz w:val="24"/>
          <w:szCs w:val="24"/>
        </w:rPr>
        <w:t>dans sa qualification des opérations</w:t>
      </w:r>
      <w:r w:rsidR="00BC7F10">
        <w:rPr>
          <w:bCs/>
          <w:sz w:val="24"/>
          <w:szCs w:val="24"/>
        </w:rPr>
        <w:t> </w:t>
      </w:r>
      <w:r w:rsidRPr="00DF73BD">
        <w:rPr>
          <w:bCs/>
          <w:sz w:val="24"/>
          <w:szCs w:val="24"/>
        </w:rPr>
        <w:t>; que, de plus, le jugement entrepris est motivé par le manquement du comptable à ses obligations en matière de contrôle de l’exactitude des calculs de liquidation, manquement caractérisé quelle que soit l’analyse qui est faite de la nature des paiements litigieux ; qu’en conséquence le moyen du requérant est à la fois inopérant</w:t>
      </w:r>
      <w:r w:rsidR="00BC7F10">
        <w:rPr>
          <w:bCs/>
          <w:sz w:val="24"/>
          <w:szCs w:val="24"/>
        </w:rPr>
        <w:t xml:space="preserve"> </w:t>
      </w:r>
      <w:r w:rsidR="00031379" w:rsidRPr="00DF73BD">
        <w:rPr>
          <w:bCs/>
          <w:sz w:val="24"/>
          <w:szCs w:val="24"/>
        </w:rPr>
        <w:t xml:space="preserve">et non fondé en droit </w:t>
      </w:r>
      <w:r w:rsidRPr="00DF73BD">
        <w:rPr>
          <w:bCs/>
          <w:sz w:val="24"/>
          <w:szCs w:val="24"/>
        </w:rPr>
        <w:t>;</w:t>
      </w:r>
    </w:p>
    <w:p w:rsidR="00E4764B" w:rsidRPr="00DF73BD" w:rsidRDefault="00E4764B" w:rsidP="00F52F22">
      <w:pPr>
        <w:spacing w:after="360"/>
        <w:ind w:firstLine="2835"/>
        <w:jc w:val="both"/>
        <w:rPr>
          <w:b/>
          <w:sz w:val="24"/>
        </w:rPr>
      </w:pPr>
      <w:r w:rsidRPr="00DF73BD">
        <w:rPr>
          <w:b/>
          <w:sz w:val="24"/>
        </w:rPr>
        <w:t>Sur les pièces justificatives</w:t>
      </w:r>
    </w:p>
    <w:p w:rsidR="002255D7" w:rsidRPr="00DF73BD" w:rsidRDefault="00E4764B" w:rsidP="00F52F22">
      <w:pPr>
        <w:spacing w:after="360"/>
        <w:ind w:left="1701" w:firstLine="1134"/>
        <w:jc w:val="both"/>
        <w:rPr>
          <w:bCs/>
          <w:sz w:val="24"/>
          <w:szCs w:val="24"/>
        </w:rPr>
      </w:pPr>
      <w:r w:rsidRPr="00DF73BD">
        <w:rPr>
          <w:bCs/>
          <w:sz w:val="24"/>
          <w:szCs w:val="24"/>
        </w:rPr>
        <w:t>Attendu</w:t>
      </w:r>
      <w:r w:rsidRPr="00DF73BD">
        <w:t xml:space="preserve"> </w:t>
      </w:r>
      <w:r w:rsidRPr="00DF73BD">
        <w:rPr>
          <w:bCs/>
          <w:sz w:val="24"/>
          <w:szCs w:val="24"/>
        </w:rPr>
        <w:t>que le requérant fait valoir</w:t>
      </w:r>
      <w:r w:rsidR="00BA6CE6" w:rsidRPr="00DF73BD">
        <w:rPr>
          <w:bCs/>
          <w:sz w:val="24"/>
          <w:szCs w:val="24"/>
        </w:rPr>
        <w:t>, en second lieu,</w:t>
      </w:r>
      <w:r w:rsidRPr="00DF73BD">
        <w:rPr>
          <w:bCs/>
          <w:sz w:val="24"/>
          <w:szCs w:val="24"/>
        </w:rPr>
        <w:t xml:space="preserve"> que les deux délibérations précitées du conseil communautaire </w:t>
      </w:r>
      <w:r w:rsidR="00DF73BD" w:rsidRPr="00DF73BD">
        <w:rPr>
          <w:bCs/>
          <w:sz w:val="24"/>
          <w:szCs w:val="24"/>
        </w:rPr>
        <w:t xml:space="preserve">des 27 septembre et 15 novembre 2004 </w:t>
      </w:r>
      <w:r w:rsidRPr="00DF73BD">
        <w:rPr>
          <w:bCs/>
          <w:sz w:val="24"/>
          <w:szCs w:val="24"/>
        </w:rPr>
        <w:t xml:space="preserve">ne </w:t>
      </w:r>
      <w:r w:rsidR="002255D7" w:rsidRPr="00DF73BD">
        <w:rPr>
          <w:bCs/>
          <w:sz w:val="24"/>
          <w:szCs w:val="24"/>
        </w:rPr>
        <w:t xml:space="preserve">se </w:t>
      </w:r>
      <w:r w:rsidR="00BA6CE6" w:rsidRPr="00DF73BD">
        <w:rPr>
          <w:bCs/>
          <w:sz w:val="24"/>
          <w:szCs w:val="24"/>
        </w:rPr>
        <w:t>contredisent pas</w:t>
      </w:r>
      <w:r w:rsidR="00BC7F10">
        <w:rPr>
          <w:bCs/>
          <w:sz w:val="24"/>
          <w:szCs w:val="24"/>
        </w:rPr>
        <w:t xml:space="preserve"> </w:t>
      </w:r>
      <w:r w:rsidR="00BA6CE6" w:rsidRPr="00DF73BD">
        <w:rPr>
          <w:bCs/>
          <w:sz w:val="24"/>
          <w:szCs w:val="24"/>
        </w:rPr>
        <w:t xml:space="preserve">et </w:t>
      </w:r>
      <w:r w:rsidRPr="00DF73BD">
        <w:rPr>
          <w:bCs/>
          <w:sz w:val="24"/>
          <w:szCs w:val="24"/>
        </w:rPr>
        <w:t>que la nature et le quantum de la prime y sont</w:t>
      </w:r>
      <w:r w:rsidR="002255D7" w:rsidRPr="00DF73BD">
        <w:rPr>
          <w:bCs/>
          <w:sz w:val="24"/>
          <w:szCs w:val="24"/>
        </w:rPr>
        <w:t xml:space="preserve"> affirmés</w:t>
      </w:r>
      <w:r w:rsidRPr="00DF73BD">
        <w:rPr>
          <w:bCs/>
          <w:sz w:val="24"/>
          <w:szCs w:val="24"/>
        </w:rPr>
        <w:t xml:space="preserve"> ; </w:t>
      </w:r>
      <w:r w:rsidR="006F4D18" w:rsidRPr="00DF73BD">
        <w:rPr>
          <w:bCs/>
          <w:sz w:val="24"/>
          <w:szCs w:val="24"/>
        </w:rPr>
        <w:t>que, selon ses affirmations lors de l’audience publique</w:t>
      </w:r>
      <w:r w:rsidR="00B3661D" w:rsidRPr="00DF73BD">
        <w:rPr>
          <w:bCs/>
          <w:sz w:val="24"/>
          <w:szCs w:val="24"/>
        </w:rPr>
        <w:t>,</w:t>
      </w:r>
      <w:r w:rsidR="006F4D18" w:rsidRPr="00DF73BD">
        <w:rPr>
          <w:bCs/>
          <w:sz w:val="24"/>
          <w:szCs w:val="24"/>
        </w:rPr>
        <w:t xml:space="preserve"> le paiement de la prime suivait nécessairement le même régime que la paie ; </w:t>
      </w:r>
      <w:r w:rsidRPr="00DF73BD">
        <w:rPr>
          <w:bCs/>
          <w:sz w:val="24"/>
          <w:szCs w:val="24"/>
        </w:rPr>
        <w:t>qu’ainsi ses contrôles en matière de liquidation ont été complets</w:t>
      </w:r>
      <w:r w:rsidR="00BC7F10">
        <w:rPr>
          <w:bCs/>
          <w:sz w:val="24"/>
          <w:szCs w:val="24"/>
        </w:rPr>
        <w:t xml:space="preserve"> </w:t>
      </w:r>
      <w:r w:rsidR="002255D7" w:rsidRPr="00DF73BD">
        <w:rPr>
          <w:bCs/>
          <w:sz w:val="24"/>
          <w:szCs w:val="24"/>
        </w:rPr>
        <w:t>et</w:t>
      </w:r>
      <w:r w:rsidRPr="00DF73BD">
        <w:rPr>
          <w:bCs/>
          <w:sz w:val="24"/>
          <w:szCs w:val="24"/>
        </w:rPr>
        <w:t xml:space="preserve"> qu’en conséquence le jugement doit être infirmé ; </w:t>
      </w:r>
    </w:p>
    <w:p w:rsidR="00B3661D" w:rsidRPr="00DF73BD" w:rsidRDefault="002255D7" w:rsidP="00F52F22">
      <w:pPr>
        <w:spacing w:after="360"/>
        <w:ind w:left="1701" w:firstLine="1134"/>
        <w:jc w:val="both"/>
        <w:rPr>
          <w:bCs/>
          <w:sz w:val="24"/>
          <w:szCs w:val="24"/>
        </w:rPr>
      </w:pPr>
      <w:r w:rsidRPr="00DF73BD">
        <w:rPr>
          <w:bCs/>
          <w:sz w:val="24"/>
          <w:szCs w:val="24"/>
        </w:rPr>
        <w:t xml:space="preserve">Considérant </w:t>
      </w:r>
      <w:r w:rsidR="00327A3C" w:rsidRPr="00DF73BD">
        <w:rPr>
          <w:bCs/>
          <w:sz w:val="24"/>
          <w:szCs w:val="24"/>
        </w:rPr>
        <w:t>que les</w:t>
      </w:r>
      <w:r w:rsidR="00BA6CE6" w:rsidRPr="00DF73BD">
        <w:rPr>
          <w:bCs/>
          <w:sz w:val="24"/>
          <w:szCs w:val="24"/>
        </w:rPr>
        <w:t xml:space="preserve"> </w:t>
      </w:r>
      <w:r w:rsidR="00DF73BD" w:rsidRPr="00DF73BD">
        <w:rPr>
          <w:bCs/>
          <w:sz w:val="24"/>
          <w:szCs w:val="24"/>
        </w:rPr>
        <w:t xml:space="preserve">deux </w:t>
      </w:r>
      <w:r w:rsidR="00BA6CE6" w:rsidRPr="00DF73BD">
        <w:rPr>
          <w:bCs/>
          <w:sz w:val="24"/>
          <w:szCs w:val="24"/>
        </w:rPr>
        <w:t>délibération</w:t>
      </w:r>
      <w:r w:rsidR="00327A3C" w:rsidRPr="00DF73BD">
        <w:rPr>
          <w:bCs/>
          <w:sz w:val="24"/>
          <w:szCs w:val="24"/>
        </w:rPr>
        <w:t>s</w:t>
      </w:r>
      <w:r w:rsidR="00BA6CE6" w:rsidRPr="00DF73BD">
        <w:rPr>
          <w:bCs/>
          <w:sz w:val="24"/>
          <w:szCs w:val="24"/>
        </w:rPr>
        <w:t xml:space="preserve"> </w:t>
      </w:r>
      <w:r w:rsidR="00DF73BD" w:rsidRPr="00DF73BD">
        <w:rPr>
          <w:bCs/>
          <w:sz w:val="24"/>
          <w:szCs w:val="24"/>
        </w:rPr>
        <w:t xml:space="preserve">précitées </w:t>
      </w:r>
      <w:r w:rsidR="00BA6CE6" w:rsidRPr="00DF73BD">
        <w:rPr>
          <w:bCs/>
          <w:sz w:val="24"/>
          <w:szCs w:val="24"/>
        </w:rPr>
        <w:t xml:space="preserve">du conseil communautaire </w:t>
      </w:r>
      <w:r w:rsidR="00327A3C" w:rsidRPr="00DF73BD">
        <w:rPr>
          <w:bCs/>
          <w:sz w:val="24"/>
          <w:szCs w:val="24"/>
        </w:rPr>
        <w:t>ont respectivement</w:t>
      </w:r>
      <w:r w:rsidR="00BA6CE6" w:rsidRPr="00DF73BD">
        <w:rPr>
          <w:bCs/>
          <w:sz w:val="24"/>
          <w:szCs w:val="24"/>
        </w:rPr>
        <w:t xml:space="preserve"> décidé d’instaurer « </w:t>
      </w:r>
      <w:r w:rsidR="00BA6CE6" w:rsidRPr="00DF73BD">
        <w:rPr>
          <w:bCs/>
          <w:i/>
          <w:sz w:val="24"/>
          <w:szCs w:val="24"/>
        </w:rPr>
        <w:t xml:space="preserve">une prime d’aide sociale aux vacances et aux loisirs pour tous les agents de la communauté d’agglomération, qu’ils soient </w:t>
      </w:r>
      <w:r w:rsidR="00327A3C" w:rsidRPr="00DF73BD">
        <w:rPr>
          <w:bCs/>
          <w:i/>
          <w:sz w:val="24"/>
          <w:szCs w:val="24"/>
        </w:rPr>
        <w:t>titulaires</w:t>
      </w:r>
      <w:r w:rsidR="00BA6CE6" w:rsidRPr="00DF73BD">
        <w:rPr>
          <w:bCs/>
          <w:i/>
          <w:sz w:val="24"/>
          <w:szCs w:val="24"/>
        </w:rPr>
        <w:t xml:space="preserve"> ou non, y compris les </w:t>
      </w:r>
      <w:r w:rsidR="00327A3C" w:rsidRPr="00DF73BD">
        <w:rPr>
          <w:bCs/>
          <w:i/>
          <w:sz w:val="24"/>
          <w:szCs w:val="24"/>
        </w:rPr>
        <w:t>emplois</w:t>
      </w:r>
      <w:r w:rsidR="00BA6CE6" w:rsidRPr="00DF73BD">
        <w:rPr>
          <w:bCs/>
          <w:i/>
          <w:sz w:val="24"/>
          <w:szCs w:val="24"/>
        </w:rPr>
        <w:t xml:space="preserve"> aidés (…) </w:t>
      </w:r>
      <w:r w:rsidR="00BA6CE6" w:rsidRPr="00DF73BD">
        <w:rPr>
          <w:bCs/>
          <w:sz w:val="24"/>
          <w:szCs w:val="24"/>
        </w:rPr>
        <w:t>»</w:t>
      </w:r>
      <w:r w:rsidR="00BC7F10">
        <w:rPr>
          <w:bCs/>
          <w:sz w:val="24"/>
          <w:szCs w:val="24"/>
        </w:rPr>
        <w:t xml:space="preserve"> </w:t>
      </w:r>
      <w:r w:rsidR="00327A3C" w:rsidRPr="00DF73BD">
        <w:rPr>
          <w:bCs/>
          <w:sz w:val="24"/>
          <w:szCs w:val="24"/>
        </w:rPr>
        <w:t>et fixé le montant de cette aide</w:t>
      </w:r>
      <w:r w:rsidR="00BC7F10">
        <w:rPr>
          <w:bCs/>
          <w:sz w:val="24"/>
          <w:szCs w:val="24"/>
        </w:rPr>
        <w:t xml:space="preserve"> </w:t>
      </w:r>
      <w:r w:rsidR="00327A3C" w:rsidRPr="00DF73BD">
        <w:rPr>
          <w:bCs/>
          <w:sz w:val="24"/>
          <w:szCs w:val="24"/>
        </w:rPr>
        <w:t>« </w:t>
      </w:r>
      <w:r w:rsidR="00327A3C" w:rsidRPr="00DF73BD">
        <w:rPr>
          <w:bCs/>
          <w:i/>
          <w:sz w:val="24"/>
          <w:szCs w:val="24"/>
        </w:rPr>
        <w:t>par référence à l’indice brut 100 majoré 174 </w:t>
      </w:r>
      <w:r w:rsidR="00327A3C" w:rsidRPr="00DF73BD">
        <w:rPr>
          <w:bCs/>
          <w:sz w:val="24"/>
          <w:szCs w:val="24"/>
        </w:rPr>
        <w:t>»</w:t>
      </w:r>
      <w:r w:rsidR="00BC7F10">
        <w:rPr>
          <w:bCs/>
          <w:sz w:val="24"/>
          <w:szCs w:val="24"/>
        </w:rPr>
        <w:t> ;</w:t>
      </w:r>
    </w:p>
    <w:p w:rsidR="00177F93" w:rsidRPr="00DF73BD" w:rsidRDefault="00B3661D" w:rsidP="00F52F22">
      <w:pPr>
        <w:spacing w:after="360"/>
        <w:ind w:left="1701" w:firstLine="1134"/>
        <w:jc w:val="both"/>
        <w:rPr>
          <w:bCs/>
          <w:sz w:val="24"/>
          <w:szCs w:val="24"/>
        </w:rPr>
      </w:pPr>
      <w:r w:rsidRPr="00DF73BD">
        <w:rPr>
          <w:bCs/>
          <w:sz w:val="24"/>
          <w:szCs w:val="24"/>
        </w:rPr>
        <w:t xml:space="preserve">Considérant </w:t>
      </w:r>
      <w:r w:rsidR="00327A3C" w:rsidRPr="00DF73BD">
        <w:rPr>
          <w:bCs/>
          <w:sz w:val="24"/>
          <w:szCs w:val="24"/>
        </w:rPr>
        <w:t>qu’a</w:t>
      </w:r>
      <w:r w:rsidR="00486C15" w:rsidRPr="00DF73BD">
        <w:rPr>
          <w:bCs/>
          <w:sz w:val="24"/>
          <w:szCs w:val="24"/>
        </w:rPr>
        <w:t>insi formulés ces deux textes</w:t>
      </w:r>
      <w:r w:rsidR="00603493" w:rsidRPr="00DF73BD">
        <w:rPr>
          <w:bCs/>
          <w:sz w:val="24"/>
          <w:szCs w:val="24"/>
        </w:rPr>
        <w:t>, que l’on considère qu’ils instaurent une prime ou une aide sociale,</w:t>
      </w:r>
      <w:r w:rsidR="00327A3C" w:rsidRPr="00DF73BD">
        <w:rPr>
          <w:bCs/>
          <w:sz w:val="24"/>
          <w:szCs w:val="24"/>
        </w:rPr>
        <w:t xml:space="preserve"> ne défin</w:t>
      </w:r>
      <w:r w:rsidR="006F4D18" w:rsidRPr="00DF73BD">
        <w:rPr>
          <w:bCs/>
          <w:sz w:val="24"/>
          <w:szCs w:val="24"/>
        </w:rPr>
        <w:t>iss</w:t>
      </w:r>
      <w:r w:rsidR="00486C15" w:rsidRPr="00DF73BD">
        <w:rPr>
          <w:bCs/>
          <w:sz w:val="24"/>
          <w:szCs w:val="24"/>
        </w:rPr>
        <w:t xml:space="preserve">ent pas </w:t>
      </w:r>
      <w:r w:rsidR="00327A3C" w:rsidRPr="00DF73BD">
        <w:rPr>
          <w:bCs/>
          <w:sz w:val="24"/>
          <w:szCs w:val="24"/>
        </w:rPr>
        <w:t xml:space="preserve">les conditions de fixation </w:t>
      </w:r>
      <w:r w:rsidR="00486C15" w:rsidRPr="00DF73BD">
        <w:rPr>
          <w:bCs/>
          <w:sz w:val="24"/>
          <w:szCs w:val="24"/>
        </w:rPr>
        <w:t xml:space="preserve">et d’attribution </w:t>
      </w:r>
      <w:r w:rsidR="00327A3C" w:rsidRPr="00DF73BD">
        <w:rPr>
          <w:bCs/>
          <w:sz w:val="24"/>
          <w:szCs w:val="24"/>
        </w:rPr>
        <w:t xml:space="preserve">de la </w:t>
      </w:r>
      <w:r w:rsidRPr="00DF73BD">
        <w:rPr>
          <w:bCs/>
          <w:sz w:val="24"/>
          <w:szCs w:val="24"/>
        </w:rPr>
        <w:t xml:space="preserve">somme </w:t>
      </w:r>
      <w:r w:rsidR="00327A3C" w:rsidRPr="00DF73BD">
        <w:rPr>
          <w:bCs/>
          <w:sz w:val="24"/>
          <w:szCs w:val="24"/>
        </w:rPr>
        <w:t>en question</w:t>
      </w:r>
      <w:r w:rsidR="00486C15" w:rsidRPr="00DF73BD">
        <w:rPr>
          <w:bCs/>
          <w:sz w:val="24"/>
          <w:szCs w:val="24"/>
        </w:rPr>
        <w:t> ; qu’en particulier</w:t>
      </w:r>
      <w:r w:rsidR="006F4D18" w:rsidRPr="00DF73BD">
        <w:rPr>
          <w:bCs/>
          <w:sz w:val="24"/>
          <w:szCs w:val="24"/>
        </w:rPr>
        <w:t xml:space="preserve"> </w:t>
      </w:r>
      <w:r w:rsidR="00F2454F">
        <w:rPr>
          <w:bCs/>
          <w:sz w:val="24"/>
          <w:szCs w:val="24"/>
        </w:rPr>
        <w:t>ils</w:t>
      </w:r>
      <w:r w:rsidR="006F4D18" w:rsidRPr="00DF73BD">
        <w:rPr>
          <w:bCs/>
          <w:sz w:val="24"/>
          <w:szCs w:val="24"/>
        </w:rPr>
        <w:t xml:space="preserve"> ne précis</w:t>
      </w:r>
      <w:r w:rsidR="00486C15" w:rsidRPr="00DF73BD">
        <w:rPr>
          <w:bCs/>
          <w:sz w:val="24"/>
          <w:szCs w:val="24"/>
        </w:rPr>
        <w:t xml:space="preserve">ent pas l’articulation entre le montant </w:t>
      </w:r>
      <w:r w:rsidRPr="00DF73BD">
        <w:rPr>
          <w:bCs/>
          <w:sz w:val="24"/>
          <w:szCs w:val="24"/>
        </w:rPr>
        <w:t xml:space="preserve">versé et le régime du </w:t>
      </w:r>
      <w:r w:rsidR="00486C15" w:rsidRPr="00DF73BD">
        <w:rPr>
          <w:bCs/>
          <w:sz w:val="24"/>
          <w:szCs w:val="24"/>
        </w:rPr>
        <w:t xml:space="preserve">temps de travail ou de </w:t>
      </w:r>
      <w:r w:rsidRPr="00DF73BD">
        <w:rPr>
          <w:bCs/>
          <w:sz w:val="24"/>
          <w:szCs w:val="24"/>
        </w:rPr>
        <w:t xml:space="preserve">la durée de fonctions </w:t>
      </w:r>
      <w:r w:rsidR="00486C15" w:rsidRPr="00DF73BD">
        <w:rPr>
          <w:bCs/>
          <w:sz w:val="24"/>
          <w:szCs w:val="24"/>
        </w:rPr>
        <w:t>des agents</w:t>
      </w:r>
      <w:r w:rsidR="00BC7F10">
        <w:rPr>
          <w:bCs/>
          <w:sz w:val="24"/>
          <w:szCs w:val="24"/>
        </w:rPr>
        <w:t xml:space="preserve"> </w:t>
      </w:r>
      <w:r w:rsidRPr="00DF73BD">
        <w:rPr>
          <w:bCs/>
          <w:sz w:val="24"/>
          <w:szCs w:val="24"/>
        </w:rPr>
        <w:t>concernés lors de l’année considérée</w:t>
      </w:r>
      <w:r w:rsidR="00BC7F10">
        <w:rPr>
          <w:bCs/>
          <w:sz w:val="24"/>
          <w:szCs w:val="24"/>
        </w:rPr>
        <w:t> ;</w:t>
      </w:r>
      <w:r w:rsidR="00486C15" w:rsidRPr="00DF73BD">
        <w:rPr>
          <w:bCs/>
          <w:sz w:val="24"/>
          <w:szCs w:val="24"/>
        </w:rPr>
        <w:t xml:space="preserve"> </w:t>
      </w:r>
      <w:r w:rsidRPr="00DF73BD">
        <w:rPr>
          <w:bCs/>
          <w:sz w:val="24"/>
          <w:szCs w:val="24"/>
        </w:rPr>
        <w:t>qu’</w:t>
      </w:r>
      <w:r w:rsidR="00F2454F">
        <w:rPr>
          <w:bCs/>
          <w:sz w:val="24"/>
          <w:szCs w:val="24"/>
        </w:rPr>
        <w:t>ils</w:t>
      </w:r>
      <w:r w:rsidRPr="00DF73BD">
        <w:rPr>
          <w:bCs/>
          <w:sz w:val="24"/>
          <w:szCs w:val="24"/>
        </w:rPr>
        <w:t xml:space="preserve"> ne </w:t>
      </w:r>
      <w:r w:rsidR="00F2454F">
        <w:rPr>
          <w:bCs/>
          <w:sz w:val="24"/>
          <w:szCs w:val="24"/>
        </w:rPr>
        <w:t>mentionnent</w:t>
      </w:r>
      <w:r w:rsidRPr="00DF73BD">
        <w:rPr>
          <w:bCs/>
          <w:sz w:val="24"/>
          <w:szCs w:val="24"/>
        </w:rPr>
        <w:t xml:space="preserve"> notamment pas que cette prime devait suiv</w:t>
      </w:r>
      <w:r w:rsidR="00BC7F10">
        <w:rPr>
          <w:bCs/>
          <w:sz w:val="24"/>
          <w:szCs w:val="24"/>
        </w:rPr>
        <w:t>re le même régime que la paie ;</w:t>
      </w:r>
    </w:p>
    <w:p w:rsidR="00327A3C" w:rsidRPr="00DF73BD" w:rsidRDefault="00177F93" w:rsidP="00E4764B">
      <w:pPr>
        <w:spacing w:after="480"/>
        <w:ind w:left="1701" w:firstLine="1134"/>
        <w:jc w:val="both"/>
        <w:rPr>
          <w:bCs/>
          <w:sz w:val="24"/>
          <w:szCs w:val="24"/>
        </w:rPr>
      </w:pPr>
      <w:r w:rsidRPr="00DF73BD">
        <w:rPr>
          <w:bCs/>
          <w:sz w:val="24"/>
          <w:szCs w:val="24"/>
        </w:rPr>
        <w:lastRenderedPageBreak/>
        <w:t xml:space="preserve">Considérant </w:t>
      </w:r>
      <w:r w:rsidR="00486C15" w:rsidRPr="00DF73BD">
        <w:rPr>
          <w:bCs/>
          <w:sz w:val="24"/>
          <w:szCs w:val="24"/>
        </w:rPr>
        <w:t xml:space="preserve">qu’il résulte des éléments ainsi rappelés que le comptable ne disposait pas </w:t>
      </w:r>
      <w:r w:rsidRPr="00DF73BD">
        <w:rPr>
          <w:bCs/>
          <w:sz w:val="24"/>
          <w:szCs w:val="24"/>
        </w:rPr>
        <w:t xml:space="preserve">au moment du paiement </w:t>
      </w:r>
      <w:r w:rsidR="00486C15" w:rsidRPr="00DF73BD">
        <w:rPr>
          <w:bCs/>
          <w:sz w:val="24"/>
          <w:szCs w:val="24"/>
        </w:rPr>
        <w:t>des éléments requis pour procéder, comme il y était tenu, au contrôle de l’exactitude des calculs de liquidation ;</w:t>
      </w:r>
      <w:r w:rsidR="006F4D18" w:rsidRPr="00DF73BD">
        <w:rPr>
          <w:bCs/>
          <w:sz w:val="24"/>
          <w:szCs w:val="24"/>
        </w:rPr>
        <w:t xml:space="preserve"> </w:t>
      </w:r>
      <w:r w:rsidRPr="00DF73BD">
        <w:rPr>
          <w:bCs/>
          <w:sz w:val="24"/>
          <w:szCs w:val="24"/>
        </w:rPr>
        <w:t xml:space="preserve">qu’en conséquence le moyen du requérant manque en fait </w:t>
      </w:r>
      <w:r w:rsidR="00F2454F">
        <w:rPr>
          <w:bCs/>
          <w:sz w:val="24"/>
          <w:szCs w:val="24"/>
        </w:rPr>
        <w:t xml:space="preserve">comme en droit </w:t>
      </w:r>
      <w:r w:rsidRPr="00DF73BD">
        <w:rPr>
          <w:bCs/>
          <w:sz w:val="24"/>
          <w:szCs w:val="24"/>
        </w:rPr>
        <w:t>et que c’est à raison que la CRC l’a constitué débi</w:t>
      </w:r>
      <w:r w:rsidR="00BC7F10">
        <w:rPr>
          <w:bCs/>
          <w:sz w:val="24"/>
          <w:szCs w:val="24"/>
        </w:rPr>
        <w:t>teur de la communauté urbaine ;</w:t>
      </w:r>
    </w:p>
    <w:p w:rsidR="00D17754" w:rsidRPr="00DF73BD" w:rsidRDefault="00D17754" w:rsidP="00F52F22">
      <w:pPr>
        <w:pStyle w:val="PS"/>
        <w:spacing w:after="360"/>
        <w:rPr>
          <w:rFonts w:ascii="Times New Roman" w:hAnsi="Times New Roman"/>
          <w:b/>
        </w:rPr>
      </w:pPr>
      <w:r w:rsidRPr="00DF73BD">
        <w:rPr>
          <w:rFonts w:ascii="Times New Roman" w:hAnsi="Times New Roman"/>
          <w:b/>
        </w:rPr>
        <w:t xml:space="preserve">Sur le </w:t>
      </w:r>
      <w:r w:rsidR="00031379" w:rsidRPr="00DF73BD">
        <w:rPr>
          <w:rFonts w:ascii="Times New Roman" w:hAnsi="Times New Roman"/>
          <w:b/>
        </w:rPr>
        <w:t xml:space="preserve">fait qu’il ne revient pas au comptable de </w:t>
      </w:r>
      <w:r w:rsidRPr="00DF73BD">
        <w:rPr>
          <w:rFonts w:ascii="Times New Roman" w:hAnsi="Times New Roman"/>
          <w:b/>
        </w:rPr>
        <w:t>contrôle</w:t>
      </w:r>
      <w:r w:rsidR="00031379" w:rsidRPr="00DF73BD">
        <w:rPr>
          <w:rFonts w:ascii="Times New Roman" w:hAnsi="Times New Roman"/>
          <w:b/>
        </w:rPr>
        <w:t>r</w:t>
      </w:r>
      <w:r w:rsidRPr="00DF73BD">
        <w:rPr>
          <w:rFonts w:ascii="Times New Roman" w:hAnsi="Times New Roman"/>
          <w:b/>
        </w:rPr>
        <w:t xml:space="preserve"> </w:t>
      </w:r>
      <w:r w:rsidR="00031379" w:rsidRPr="00DF73BD">
        <w:rPr>
          <w:rFonts w:ascii="Times New Roman" w:hAnsi="Times New Roman"/>
          <w:b/>
        </w:rPr>
        <w:t xml:space="preserve">la </w:t>
      </w:r>
      <w:r w:rsidRPr="00DF73BD">
        <w:rPr>
          <w:rFonts w:ascii="Times New Roman" w:hAnsi="Times New Roman"/>
          <w:b/>
        </w:rPr>
        <w:t>légalité interne des actes</w:t>
      </w:r>
      <w:r w:rsidR="00031379" w:rsidRPr="00DF73BD">
        <w:rPr>
          <w:rFonts w:ascii="Times New Roman" w:hAnsi="Times New Roman"/>
          <w:b/>
        </w:rPr>
        <w:t xml:space="preserve"> sur lesquels se fondent les paiements</w:t>
      </w:r>
    </w:p>
    <w:p w:rsidR="00D17754" w:rsidRPr="00DF73BD" w:rsidRDefault="00D17754" w:rsidP="00D17754">
      <w:pPr>
        <w:spacing w:after="480"/>
        <w:ind w:left="1701" w:firstLine="1134"/>
        <w:jc w:val="both"/>
        <w:rPr>
          <w:bCs/>
          <w:sz w:val="24"/>
          <w:szCs w:val="24"/>
        </w:rPr>
      </w:pPr>
      <w:bookmarkStart w:id="0" w:name="term0"/>
      <w:bookmarkEnd w:id="0"/>
      <w:r w:rsidRPr="00DF73BD">
        <w:rPr>
          <w:bCs/>
          <w:sz w:val="24"/>
          <w:szCs w:val="24"/>
        </w:rPr>
        <w:t xml:space="preserve">Attendu que le requérant soutient, en </w:t>
      </w:r>
      <w:r w:rsidR="00B3661D" w:rsidRPr="00DF73BD">
        <w:rPr>
          <w:bCs/>
          <w:sz w:val="24"/>
          <w:szCs w:val="24"/>
        </w:rPr>
        <w:t xml:space="preserve">troisième </w:t>
      </w:r>
      <w:r w:rsidRPr="00DF73BD">
        <w:rPr>
          <w:bCs/>
          <w:sz w:val="24"/>
          <w:szCs w:val="24"/>
        </w:rPr>
        <w:t xml:space="preserve">lieu, que les deux délibérations du conseil communautaire en date des 27 septembre et </w:t>
      </w:r>
      <w:r w:rsidR="00F52F22">
        <w:rPr>
          <w:bCs/>
          <w:sz w:val="24"/>
          <w:szCs w:val="24"/>
        </w:rPr>
        <w:br/>
      </w:r>
      <w:r w:rsidRPr="00DF73BD">
        <w:rPr>
          <w:bCs/>
          <w:sz w:val="24"/>
          <w:szCs w:val="24"/>
        </w:rPr>
        <w:t>15 novembre 2004, qui fondent le versement des primes litigieuses, étaient exécutoires et créatrices de droit ; que, conformément à la jurisprudence, il n’appartient pas aux comptables publics de se faire juges de la légalité interne des actes ; qu’en conséquence ces délibérations s’imposaient à lui et que sa responsabilité ne devait pas être engagée au titre de ces paiements</w:t>
      </w:r>
      <w:r w:rsidR="00BC7F10">
        <w:rPr>
          <w:bCs/>
          <w:sz w:val="24"/>
          <w:szCs w:val="24"/>
        </w:rPr>
        <w:t> ;</w:t>
      </w:r>
    </w:p>
    <w:p w:rsidR="00D17754" w:rsidRPr="00DF73BD" w:rsidRDefault="00D17754" w:rsidP="00D17754">
      <w:pPr>
        <w:spacing w:after="480"/>
        <w:ind w:left="1701" w:firstLine="1134"/>
        <w:jc w:val="both"/>
        <w:rPr>
          <w:bCs/>
          <w:sz w:val="24"/>
          <w:szCs w:val="24"/>
        </w:rPr>
      </w:pPr>
      <w:r w:rsidRPr="00DF73BD">
        <w:rPr>
          <w:bCs/>
          <w:sz w:val="24"/>
          <w:szCs w:val="24"/>
        </w:rPr>
        <w:t>Considérant que le jugement contesté est motivé par le seul manquement du comptable à ses obligations en matière de contrôle de la validité de la créance, en particulier l’exactitude des calculs de liquidation et la production des justifications</w:t>
      </w:r>
      <w:r w:rsidR="00BC7F10">
        <w:rPr>
          <w:bCs/>
          <w:sz w:val="24"/>
          <w:szCs w:val="24"/>
        </w:rPr>
        <w:t> ;</w:t>
      </w:r>
      <w:r w:rsidRPr="00DF73BD">
        <w:rPr>
          <w:bCs/>
          <w:sz w:val="24"/>
          <w:szCs w:val="24"/>
        </w:rPr>
        <w:t xml:space="preserve"> </w:t>
      </w:r>
      <w:r w:rsidR="00B3661D" w:rsidRPr="00DF73BD">
        <w:rPr>
          <w:bCs/>
          <w:sz w:val="24"/>
          <w:szCs w:val="24"/>
        </w:rPr>
        <w:t xml:space="preserve">qu’à partir du moment où il est établi que le comptable a manqué à ce contrôle, le </w:t>
      </w:r>
      <w:r w:rsidR="00031379" w:rsidRPr="00DF73BD">
        <w:rPr>
          <w:bCs/>
          <w:sz w:val="24"/>
          <w:szCs w:val="24"/>
        </w:rPr>
        <w:t>moyen est inopérant</w:t>
      </w:r>
      <w:r w:rsidR="00BC7F10">
        <w:rPr>
          <w:bCs/>
          <w:sz w:val="24"/>
          <w:szCs w:val="24"/>
        </w:rPr>
        <w:t> ;</w:t>
      </w:r>
      <w:bookmarkStart w:id="1" w:name="_GoBack"/>
      <w:bookmarkEnd w:id="1"/>
    </w:p>
    <w:p w:rsidR="00AF2001" w:rsidRPr="00DF73BD" w:rsidRDefault="00660A6D" w:rsidP="00603493">
      <w:pPr>
        <w:pStyle w:val="PS"/>
        <w:ind w:left="0" w:firstLine="2835"/>
        <w:rPr>
          <w:rFonts w:ascii="Times New Roman" w:hAnsi="Times New Roman"/>
          <w:szCs w:val="24"/>
        </w:rPr>
      </w:pPr>
      <w:r w:rsidRPr="00DF73BD">
        <w:rPr>
          <w:rFonts w:ascii="Times New Roman" w:hAnsi="Times New Roman"/>
          <w:szCs w:val="24"/>
        </w:rPr>
        <w:t>Par ces motifs,</w:t>
      </w:r>
    </w:p>
    <w:p w:rsidR="00B30F64" w:rsidRPr="00DF73BD" w:rsidRDefault="00603493" w:rsidP="001D536C">
      <w:pPr>
        <w:pStyle w:val="PS"/>
        <w:spacing w:after="360"/>
        <w:ind w:firstLine="0"/>
        <w:jc w:val="center"/>
        <w:rPr>
          <w:rFonts w:ascii="Times New Roman" w:hAnsi="Times New Roman"/>
        </w:rPr>
      </w:pPr>
      <w:r w:rsidRPr="00DF73BD">
        <w:rPr>
          <w:rFonts w:ascii="Times New Roman" w:hAnsi="Times New Roman"/>
        </w:rPr>
        <w:t>DECIDE :</w:t>
      </w:r>
    </w:p>
    <w:p w:rsidR="00603493" w:rsidRPr="00DF73BD" w:rsidRDefault="00603493" w:rsidP="001D536C">
      <w:pPr>
        <w:pStyle w:val="PS"/>
        <w:tabs>
          <w:tab w:val="left" w:pos="2835"/>
          <w:tab w:val="left" w:pos="3544"/>
        </w:tabs>
        <w:spacing w:after="360"/>
        <w:rPr>
          <w:rFonts w:ascii="Times New Roman" w:hAnsi="Times New Roman"/>
        </w:rPr>
      </w:pPr>
      <w:r w:rsidRPr="00DF73BD">
        <w:rPr>
          <w:rFonts w:ascii="Times New Roman" w:hAnsi="Times New Roman"/>
          <w:b/>
        </w:rPr>
        <w:t>Article unique</w:t>
      </w:r>
      <w:r w:rsidR="00F52F22">
        <w:rPr>
          <w:rFonts w:ascii="Times New Roman" w:hAnsi="Times New Roman"/>
          <w:b/>
        </w:rPr>
        <w:t> :</w:t>
      </w:r>
      <w:r w:rsidRPr="00DF73BD">
        <w:rPr>
          <w:rFonts w:ascii="Times New Roman" w:hAnsi="Times New Roman"/>
          <w:b/>
        </w:rPr>
        <w:t xml:space="preserve"> </w:t>
      </w:r>
      <w:r w:rsidRPr="00DF73BD">
        <w:rPr>
          <w:rFonts w:ascii="Times New Roman" w:hAnsi="Times New Roman"/>
        </w:rPr>
        <w:t xml:space="preserve">La requête de </w:t>
      </w:r>
      <w:r w:rsidR="003017C0">
        <w:rPr>
          <w:rFonts w:ascii="Times New Roman" w:hAnsi="Times New Roman"/>
        </w:rPr>
        <w:t>M. X</w:t>
      </w:r>
      <w:r w:rsidRPr="00DF73BD">
        <w:rPr>
          <w:rFonts w:ascii="Times New Roman" w:hAnsi="Times New Roman"/>
        </w:rPr>
        <w:t xml:space="preserve"> est rejetée.</w:t>
      </w:r>
    </w:p>
    <w:p w:rsidR="009F5AB9" w:rsidRPr="00DF73BD" w:rsidRDefault="009F5AB9" w:rsidP="00F52F22">
      <w:pPr>
        <w:pStyle w:val="PS"/>
        <w:spacing w:before="120" w:after="120"/>
        <w:ind w:left="0" w:firstLine="1701"/>
        <w:jc w:val="center"/>
        <w:rPr>
          <w:rFonts w:ascii="Times New Roman" w:hAnsi="Times New Roman"/>
          <w:szCs w:val="24"/>
        </w:rPr>
      </w:pPr>
      <w:r w:rsidRPr="00DF73BD">
        <w:rPr>
          <w:rFonts w:ascii="Times New Roman" w:hAnsi="Times New Roman"/>
          <w:szCs w:val="24"/>
        </w:rPr>
        <w:t>----------------</w:t>
      </w:r>
    </w:p>
    <w:p w:rsidR="001D536C" w:rsidRPr="00422C71" w:rsidRDefault="001D536C" w:rsidP="001D536C">
      <w:pPr>
        <w:pStyle w:val="PS"/>
        <w:rPr>
          <w:rFonts w:ascii="Times New Roman" w:hAnsi="Times New Roman"/>
          <w:szCs w:val="24"/>
        </w:rPr>
      </w:pPr>
      <w:r w:rsidRPr="00422C71">
        <w:rPr>
          <w:rFonts w:ascii="Times New Roman" w:hAnsi="Times New Roman"/>
        </w:rPr>
        <w:t>Fait et jugé en la Cour des comptes, quatrième chambre, première section. Présents : MM. Bayle, président, Maistre, président de section, Ganser, Vermeulen, Rousselot et Geoffroy, conseillers maîtres.</w:t>
      </w:r>
      <w:r w:rsidRPr="00422C71">
        <w:rPr>
          <w:rFonts w:ascii="Times New Roman" w:hAnsi="Times New Roman"/>
          <w:szCs w:val="24"/>
        </w:rPr>
        <w:t xml:space="preserve"> </w:t>
      </w:r>
    </w:p>
    <w:p w:rsidR="001D536C" w:rsidRDefault="001D536C" w:rsidP="001D536C">
      <w:pPr>
        <w:ind w:firstLine="2835"/>
        <w:jc w:val="both"/>
        <w:rPr>
          <w:sz w:val="24"/>
          <w:szCs w:val="24"/>
        </w:rPr>
      </w:pPr>
    </w:p>
    <w:tbl>
      <w:tblPr>
        <w:tblW w:w="0" w:type="auto"/>
        <w:tblLook w:val="01E0" w:firstRow="1" w:lastRow="1" w:firstColumn="1" w:lastColumn="1" w:noHBand="0" w:noVBand="0"/>
      </w:tblPr>
      <w:tblGrid>
        <w:gridCol w:w="4699"/>
        <w:gridCol w:w="4589"/>
      </w:tblGrid>
      <w:tr w:rsidR="001D536C" w:rsidRPr="00625B66" w:rsidTr="00000920">
        <w:tc>
          <w:tcPr>
            <w:tcW w:w="4788" w:type="dxa"/>
            <w:shd w:val="clear" w:color="auto" w:fill="auto"/>
          </w:tcPr>
          <w:p w:rsidR="001D536C" w:rsidRPr="00625B66" w:rsidRDefault="001D536C" w:rsidP="00000920">
            <w:pPr>
              <w:spacing w:before="120" w:after="120"/>
              <w:ind w:left="1560" w:firstLine="141"/>
              <w:jc w:val="center"/>
              <w:rPr>
                <w:sz w:val="24"/>
              </w:rPr>
            </w:pPr>
            <w:r w:rsidRPr="00625B66">
              <w:rPr>
                <w:sz w:val="24"/>
              </w:rPr>
              <w:t>Le Président,</w:t>
            </w:r>
          </w:p>
        </w:tc>
        <w:tc>
          <w:tcPr>
            <w:tcW w:w="4680" w:type="dxa"/>
            <w:shd w:val="clear" w:color="auto" w:fill="auto"/>
          </w:tcPr>
          <w:p w:rsidR="001D536C" w:rsidRPr="00625B66" w:rsidRDefault="001D536C" w:rsidP="00000920">
            <w:pPr>
              <w:spacing w:before="120" w:after="120"/>
              <w:ind w:left="1560" w:firstLine="141"/>
              <w:jc w:val="center"/>
              <w:rPr>
                <w:sz w:val="24"/>
              </w:rPr>
            </w:pPr>
            <w:r w:rsidRPr="00625B66">
              <w:rPr>
                <w:sz w:val="24"/>
              </w:rPr>
              <w:t>Le greffier,</w:t>
            </w:r>
          </w:p>
          <w:p w:rsidR="001D536C" w:rsidRPr="00625B66" w:rsidRDefault="001D536C" w:rsidP="00000920">
            <w:pPr>
              <w:spacing w:before="120" w:after="120"/>
              <w:ind w:left="1560" w:firstLine="141"/>
              <w:jc w:val="center"/>
              <w:rPr>
                <w:sz w:val="24"/>
              </w:rPr>
            </w:pPr>
          </w:p>
          <w:p w:rsidR="001D536C" w:rsidRPr="00625B66" w:rsidRDefault="001D536C" w:rsidP="00000920">
            <w:pPr>
              <w:spacing w:before="120" w:after="120"/>
              <w:ind w:left="1560" w:firstLine="141"/>
              <w:jc w:val="center"/>
              <w:rPr>
                <w:sz w:val="24"/>
              </w:rPr>
            </w:pPr>
          </w:p>
        </w:tc>
      </w:tr>
      <w:tr w:rsidR="001D536C" w:rsidRPr="00625B66" w:rsidTr="00000920">
        <w:tc>
          <w:tcPr>
            <w:tcW w:w="4788" w:type="dxa"/>
            <w:shd w:val="clear" w:color="auto" w:fill="auto"/>
          </w:tcPr>
          <w:p w:rsidR="001D536C" w:rsidRPr="00625B66" w:rsidRDefault="001D536C" w:rsidP="00000920">
            <w:pPr>
              <w:spacing w:before="120" w:after="120"/>
              <w:ind w:left="1560" w:firstLine="141"/>
              <w:jc w:val="center"/>
              <w:rPr>
                <w:sz w:val="24"/>
              </w:rPr>
            </w:pPr>
            <w:r>
              <w:rPr>
                <w:sz w:val="24"/>
              </w:rPr>
              <w:t>Jean-Pierre BAYLE</w:t>
            </w:r>
          </w:p>
        </w:tc>
        <w:tc>
          <w:tcPr>
            <w:tcW w:w="4680" w:type="dxa"/>
            <w:shd w:val="clear" w:color="auto" w:fill="auto"/>
          </w:tcPr>
          <w:p w:rsidR="001D536C" w:rsidRPr="00625B66" w:rsidRDefault="001D536C" w:rsidP="00000920">
            <w:pPr>
              <w:spacing w:before="120" w:after="120"/>
              <w:ind w:left="1560" w:firstLine="141"/>
              <w:jc w:val="center"/>
              <w:rPr>
                <w:sz w:val="24"/>
              </w:rPr>
            </w:pPr>
            <w:r w:rsidRPr="00625B66">
              <w:rPr>
                <w:sz w:val="24"/>
              </w:rPr>
              <w:t>Daniel FEREZ</w:t>
            </w:r>
          </w:p>
        </w:tc>
      </w:tr>
    </w:tbl>
    <w:p w:rsidR="00132209" w:rsidRPr="00DF73BD" w:rsidRDefault="00132209" w:rsidP="006D4EDE">
      <w:pPr>
        <w:pStyle w:val="PS"/>
        <w:spacing w:before="120" w:after="120"/>
        <w:ind w:left="0"/>
        <w:jc w:val="center"/>
        <w:rPr>
          <w:rFonts w:ascii="Times New Roman" w:hAnsi="Times New Roman"/>
          <w:szCs w:val="24"/>
        </w:rPr>
      </w:pPr>
    </w:p>
    <w:sectPr w:rsidR="00132209" w:rsidRPr="00DF73BD" w:rsidSect="001D536C">
      <w:footerReference w:type="default" r:id="rId9"/>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E6" w:rsidRDefault="00E078E6" w:rsidP="001D536C">
      <w:r>
        <w:separator/>
      </w:r>
    </w:p>
  </w:endnote>
  <w:endnote w:type="continuationSeparator" w:id="0">
    <w:p w:rsidR="00E078E6" w:rsidRDefault="00E078E6" w:rsidP="001D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36C" w:rsidRDefault="001D536C">
    <w:pPr>
      <w:pStyle w:val="Pieddepage"/>
      <w:jc w:val="right"/>
    </w:pPr>
    <w:r>
      <w:fldChar w:fldCharType="begin"/>
    </w:r>
    <w:r>
      <w:instrText>PAGE   \* MERGEFORMAT</w:instrText>
    </w:r>
    <w:r>
      <w:fldChar w:fldCharType="separate"/>
    </w:r>
    <w:r w:rsidR="00BC7F10">
      <w:rPr>
        <w:noProof/>
      </w:rPr>
      <w:t>4</w:t>
    </w:r>
    <w:r>
      <w:fldChar w:fldCharType="end"/>
    </w:r>
  </w:p>
  <w:p w:rsidR="001D536C" w:rsidRDefault="001D53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E6" w:rsidRDefault="00E078E6" w:rsidP="001D536C">
      <w:r>
        <w:separator/>
      </w:r>
    </w:p>
  </w:footnote>
  <w:footnote w:type="continuationSeparator" w:id="0">
    <w:p w:rsidR="00E078E6" w:rsidRDefault="00E078E6" w:rsidP="001D5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94DCE"/>
    <w:multiLevelType w:val="multilevel"/>
    <w:tmpl w:val="402C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0920"/>
    <w:rsid w:val="0000109B"/>
    <w:rsid w:val="00002923"/>
    <w:rsid w:val="00031379"/>
    <w:rsid w:val="00042DE1"/>
    <w:rsid w:val="0005418D"/>
    <w:rsid w:val="00061A1C"/>
    <w:rsid w:val="00062706"/>
    <w:rsid w:val="00074849"/>
    <w:rsid w:val="000966AD"/>
    <w:rsid w:val="00097CB1"/>
    <w:rsid w:val="000A180A"/>
    <w:rsid w:val="000B1525"/>
    <w:rsid w:val="000C6963"/>
    <w:rsid w:val="000C78C8"/>
    <w:rsid w:val="000F1EA9"/>
    <w:rsid w:val="000F5742"/>
    <w:rsid w:val="000F5EA9"/>
    <w:rsid w:val="0010360D"/>
    <w:rsid w:val="00103B5D"/>
    <w:rsid w:val="00120038"/>
    <w:rsid w:val="001306DB"/>
    <w:rsid w:val="00132209"/>
    <w:rsid w:val="0013719D"/>
    <w:rsid w:val="00137E59"/>
    <w:rsid w:val="00152416"/>
    <w:rsid w:val="00172BF4"/>
    <w:rsid w:val="00173F27"/>
    <w:rsid w:val="00177F93"/>
    <w:rsid w:val="00180908"/>
    <w:rsid w:val="00180E4F"/>
    <w:rsid w:val="00182498"/>
    <w:rsid w:val="00182B48"/>
    <w:rsid w:val="00190224"/>
    <w:rsid w:val="001943B8"/>
    <w:rsid w:val="001B7368"/>
    <w:rsid w:val="001C3132"/>
    <w:rsid w:val="001C4E87"/>
    <w:rsid w:val="001D2A4A"/>
    <w:rsid w:val="001D536C"/>
    <w:rsid w:val="001E2280"/>
    <w:rsid w:val="001E2CBB"/>
    <w:rsid w:val="001F1662"/>
    <w:rsid w:val="001F482A"/>
    <w:rsid w:val="00203F0D"/>
    <w:rsid w:val="0020413B"/>
    <w:rsid w:val="00211381"/>
    <w:rsid w:val="00211F06"/>
    <w:rsid w:val="00212E9A"/>
    <w:rsid w:val="00223D38"/>
    <w:rsid w:val="002255D7"/>
    <w:rsid w:val="00243E9C"/>
    <w:rsid w:val="002520F4"/>
    <w:rsid w:val="0025683E"/>
    <w:rsid w:val="00262E91"/>
    <w:rsid w:val="00294719"/>
    <w:rsid w:val="002A3420"/>
    <w:rsid w:val="002A5F51"/>
    <w:rsid w:val="002B01CB"/>
    <w:rsid w:val="002D476E"/>
    <w:rsid w:val="002E020E"/>
    <w:rsid w:val="002E6CEF"/>
    <w:rsid w:val="002E7DEC"/>
    <w:rsid w:val="002F4064"/>
    <w:rsid w:val="002F76D8"/>
    <w:rsid w:val="003017C0"/>
    <w:rsid w:val="00313B8C"/>
    <w:rsid w:val="00317CAF"/>
    <w:rsid w:val="003201CD"/>
    <w:rsid w:val="00325C98"/>
    <w:rsid w:val="00325D12"/>
    <w:rsid w:val="00326EE5"/>
    <w:rsid w:val="00327A3C"/>
    <w:rsid w:val="00327FD1"/>
    <w:rsid w:val="00331626"/>
    <w:rsid w:val="00343438"/>
    <w:rsid w:val="00346D93"/>
    <w:rsid w:val="00353439"/>
    <w:rsid w:val="00381255"/>
    <w:rsid w:val="00383468"/>
    <w:rsid w:val="0038559C"/>
    <w:rsid w:val="0039572C"/>
    <w:rsid w:val="003A24CE"/>
    <w:rsid w:val="003A6169"/>
    <w:rsid w:val="003B4919"/>
    <w:rsid w:val="003C72B0"/>
    <w:rsid w:val="003D0376"/>
    <w:rsid w:val="003F3436"/>
    <w:rsid w:val="004101BF"/>
    <w:rsid w:val="00410A6D"/>
    <w:rsid w:val="0041218E"/>
    <w:rsid w:val="00413EE5"/>
    <w:rsid w:val="004149E8"/>
    <w:rsid w:val="00415B20"/>
    <w:rsid w:val="00417C88"/>
    <w:rsid w:val="00421AE2"/>
    <w:rsid w:val="004268EA"/>
    <w:rsid w:val="00457496"/>
    <w:rsid w:val="004648E6"/>
    <w:rsid w:val="00475C59"/>
    <w:rsid w:val="00475D4C"/>
    <w:rsid w:val="004806C4"/>
    <w:rsid w:val="00481C50"/>
    <w:rsid w:val="0048440B"/>
    <w:rsid w:val="00486C15"/>
    <w:rsid w:val="00496FA2"/>
    <w:rsid w:val="00497A94"/>
    <w:rsid w:val="004A7A77"/>
    <w:rsid w:val="004D206B"/>
    <w:rsid w:val="004D52EB"/>
    <w:rsid w:val="004D6186"/>
    <w:rsid w:val="004E32D2"/>
    <w:rsid w:val="004F66C0"/>
    <w:rsid w:val="0050693F"/>
    <w:rsid w:val="0051078B"/>
    <w:rsid w:val="00513823"/>
    <w:rsid w:val="005203CC"/>
    <w:rsid w:val="00521414"/>
    <w:rsid w:val="0053099E"/>
    <w:rsid w:val="00533F20"/>
    <w:rsid w:val="00534A3B"/>
    <w:rsid w:val="0054418D"/>
    <w:rsid w:val="00544ABF"/>
    <w:rsid w:val="00545E6A"/>
    <w:rsid w:val="005618A9"/>
    <w:rsid w:val="00565E05"/>
    <w:rsid w:val="00566BAE"/>
    <w:rsid w:val="005836F8"/>
    <w:rsid w:val="005846B1"/>
    <w:rsid w:val="00586186"/>
    <w:rsid w:val="00586D35"/>
    <w:rsid w:val="00597F3F"/>
    <w:rsid w:val="005C14F9"/>
    <w:rsid w:val="005D1830"/>
    <w:rsid w:val="005D1BD8"/>
    <w:rsid w:val="005D3707"/>
    <w:rsid w:val="005D752B"/>
    <w:rsid w:val="005E5AE6"/>
    <w:rsid w:val="005E7EE8"/>
    <w:rsid w:val="005F41EA"/>
    <w:rsid w:val="005F641F"/>
    <w:rsid w:val="005F792D"/>
    <w:rsid w:val="006003CD"/>
    <w:rsid w:val="0060163F"/>
    <w:rsid w:val="00603493"/>
    <w:rsid w:val="00610701"/>
    <w:rsid w:val="0061419D"/>
    <w:rsid w:val="00616174"/>
    <w:rsid w:val="006272A3"/>
    <w:rsid w:val="0063019B"/>
    <w:rsid w:val="00631315"/>
    <w:rsid w:val="00645620"/>
    <w:rsid w:val="006534E7"/>
    <w:rsid w:val="00660953"/>
    <w:rsid w:val="00660A6D"/>
    <w:rsid w:val="00662A43"/>
    <w:rsid w:val="00671DB5"/>
    <w:rsid w:val="00686BA5"/>
    <w:rsid w:val="006A4388"/>
    <w:rsid w:val="006B005F"/>
    <w:rsid w:val="006C3E92"/>
    <w:rsid w:val="006C6EDF"/>
    <w:rsid w:val="006D476B"/>
    <w:rsid w:val="006D4EDE"/>
    <w:rsid w:val="006E020C"/>
    <w:rsid w:val="006E1A1A"/>
    <w:rsid w:val="006F13C8"/>
    <w:rsid w:val="006F4D18"/>
    <w:rsid w:val="006F5315"/>
    <w:rsid w:val="00701DFF"/>
    <w:rsid w:val="007438F0"/>
    <w:rsid w:val="007440C4"/>
    <w:rsid w:val="00754A95"/>
    <w:rsid w:val="007614B8"/>
    <w:rsid w:val="00767FBA"/>
    <w:rsid w:val="007A56E4"/>
    <w:rsid w:val="007B2171"/>
    <w:rsid w:val="007B529F"/>
    <w:rsid w:val="007C77E2"/>
    <w:rsid w:val="007D4AE2"/>
    <w:rsid w:val="007D7DA1"/>
    <w:rsid w:val="007E5B01"/>
    <w:rsid w:val="007F0644"/>
    <w:rsid w:val="007F0929"/>
    <w:rsid w:val="007F1E40"/>
    <w:rsid w:val="007F2422"/>
    <w:rsid w:val="007F3AC0"/>
    <w:rsid w:val="00813BCC"/>
    <w:rsid w:val="008240D6"/>
    <w:rsid w:val="00824B43"/>
    <w:rsid w:val="00845E76"/>
    <w:rsid w:val="00847E1B"/>
    <w:rsid w:val="008515A5"/>
    <w:rsid w:val="008617C3"/>
    <w:rsid w:val="00866D4B"/>
    <w:rsid w:val="0087748E"/>
    <w:rsid w:val="00883D06"/>
    <w:rsid w:val="00891B02"/>
    <w:rsid w:val="008A5054"/>
    <w:rsid w:val="008B5911"/>
    <w:rsid w:val="008C5F81"/>
    <w:rsid w:val="008D665E"/>
    <w:rsid w:val="008E0C8D"/>
    <w:rsid w:val="00906B6C"/>
    <w:rsid w:val="00944B99"/>
    <w:rsid w:val="009450CF"/>
    <w:rsid w:val="00964C16"/>
    <w:rsid w:val="00976D12"/>
    <w:rsid w:val="00977E23"/>
    <w:rsid w:val="0099190A"/>
    <w:rsid w:val="009948B1"/>
    <w:rsid w:val="009A040B"/>
    <w:rsid w:val="009A25F6"/>
    <w:rsid w:val="009B5144"/>
    <w:rsid w:val="009D2C2A"/>
    <w:rsid w:val="009D5B4D"/>
    <w:rsid w:val="009F2DB9"/>
    <w:rsid w:val="009F5AB9"/>
    <w:rsid w:val="00A1234D"/>
    <w:rsid w:val="00A17337"/>
    <w:rsid w:val="00A338DA"/>
    <w:rsid w:val="00A36AE2"/>
    <w:rsid w:val="00A406E5"/>
    <w:rsid w:val="00A42557"/>
    <w:rsid w:val="00A44C20"/>
    <w:rsid w:val="00A57406"/>
    <w:rsid w:val="00A752F4"/>
    <w:rsid w:val="00A95152"/>
    <w:rsid w:val="00AB0802"/>
    <w:rsid w:val="00AD146C"/>
    <w:rsid w:val="00AD2BC6"/>
    <w:rsid w:val="00AD31F8"/>
    <w:rsid w:val="00AF1D55"/>
    <w:rsid w:val="00AF2001"/>
    <w:rsid w:val="00AF3493"/>
    <w:rsid w:val="00AF7246"/>
    <w:rsid w:val="00B10A4C"/>
    <w:rsid w:val="00B2613A"/>
    <w:rsid w:val="00B30F64"/>
    <w:rsid w:val="00B34F24"/>
    <w:rsid w:val="00B3661D"/>
    <w:rsid w:val="00B5084D"/>
    <w:rsid w:val="00B62210"/>
    <w:rsid w:val="00B82C1D"/>
    <w:rsid w:val="00B85FD6"/>
    <w:rsid w:val="00B90D3A"/>
    <w:rsid w:val="00B90EB6"/>
    <w:rsid w:val="00B92A4C"/>
    <w:rsid w:val="00B94765"/>
    <w:rsid w:val="00BA00AB"/>
    <w:rsid w:val="00BA1E8A"/>
    <w:rsid w:val="00BA223E"/>
    <w:rsid w:val="00BA5580"/>
    <w:rsid w:val="00BA6A11"/>
    <w:rsid w:val="00BA6CE6"/>
    <w:rsid w:val="00BC5727"/>
    <w:rsid w:val="00BC7F10"/>
    <w:rsid w:val="00BD01E8"/>
    <w:rsid w:val="00BD6431"/>
    <w:rsid w:val="00BE4CC6"/>
    <w:rsid w:val="00BF0118"/>
    <w:rsid w:val="00BF594F"/>
    <w:rsid w:val="00C065E4"/>
    <w:rsid w:val="00C10827"/>
    <w:rsid w:val="00C11702"/>
    <w:rsid w:val="00C318D8"/>
    <w:rsid w:val="00C35A41"/>
    <w:rsid w:val="00C36F08"/>
    <w:rsid w:val="00C47B10"/>
    <w:rsid w:val="00C72063"/>
    <w:rsid w:val="00C72B39"/>
    <w:rsid w:val="00C95DD8"/>
    <w:rsid w:val="00C9737B"/>
    <w:rsid w:val="00CB0A02"/>
    <w:rsid w:val="00CC2DE6"/>
    <w:rsid w:val="00CD06DD"/>
    <w:rsid w:val="00CF1B7E"/>
    <w:rsid w:val="00CF4D0B"/>
    <w:rsid w:val="00CF5A80"/>
    <w:rsid w:val="00D01634"/>
    <w:rsid w:val="00D01DD1"/>
    <w:rsid w:val="00D05BB4"/>
    <w:rsid w:val="00D072D8"/>
    <w:rsid w:val="00D07D63"/>
    <w:rsid w:val="00D17754"/>
    <w:rsid w:val="00D22973"/>
    <w:rsid w:val="00D35102"/>
    <w:rsid w:val="00D57ECF"/>
    <w:rsid w:val="00D806C5"/>
    <w:rsid w:val="00D90EA6"/>
    <w:rsid w:val="00D969BC"/>
    <w:rsid w:val="00DA7123"/>
    <w:rsid w:val="00DB25D3"/>
    <w:rsid w:val="00DB48F5"/>
    <w:rsid w:val="00DB549E"/>
    <w:rsid w:val="00DB5EED"/>
    <w:rsid w:val="00DD7CA5"/>
    <w:rsid w:val="00DF1118"/>
    <w:rsid w:val="00DF26F3"/>
    <w:rsid w:val="00DF73BD"/>
    <w:rsid w:val="00DF7926"/>
    <w:rsid w:val="00E078E6"/>
    <w:rsid w:val="00E21DD6"/>
    <w:rsid w:val="00E4764B"/>
    <w:rsid w:val="00E54F06"/>
    <w:rsid w:val="00E70C39"/>
    <w:rsid w:val="00E73F93"/>
    <w:rsid w:val="00E86457"/>
    <w:rsid w:val="00EA5761"/>
    <w:rsid w:val="00EB6713"/>
    <w:rsid w:val="00EB739E"/>
    <w:rsid w:val="00EB7C70"/>
    <w:rsid w:val="00ED36C8"/>
    <w:rsid w:val="00ED5089"/>
    <w:rsid w:val="00EE0D7E"/>
    <w:rsid w:val="00EE47BE"/>
    <w:rsid w:val="00EF268F"/>
    <w:rsid w:val="00F21F07"/>
    <w:rsid w:val="00F2454F"/>
    <w:rsid w:val="00F36307"/>
    <w:rsid w:val="00F37D2B"/>
    <w:rsid w:val="00F52F22"/>
    <w:rsid w:val="00F736D0"/>
    <w:rsid w:val="00F74ADE"/>
    <w:rsid w:val="00F818F3"/>
    <w:rsid w:val="00F8640B"/>
    <w:rsid w:val="00F949A9"/>
    <w:rsid w:val="00FA0011"/>
    <w:rsid w:val="00FA0A3F"/>
    <w:rsid w:val="00FA4B49"/>
    <w:rsid w:val="00FB6C0A"/>
    <w:rsid w:val="00FB7107"/>
    <w:rsid w:val="00FC475F"/>
    <w:rsid w:val="00FD4177"/>
    <w:rsid w:val="00FE3DDE"/>
    <w:rsid w:val="00FE7CFC"/>
    <w:rsid w:val="00FF14A8"/>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A43"/>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rsid w:val="00D01634"/>
    <w:pPr>
      <w:spacing w:before="100" w:beforeAutospacing="1" w:after="100" w:afterAutospacing="1"/>
    </w:pPr>
    <w:rPr>
      <w:sz w:val="24"/>
      <w:szCs w:val="24"/>
    </w:rPr>
  </w:style>
  <w:style w:type="character" w:styleId="Lienhypertexte">
    <w:name w:val="Hyperlink"/>
    <w:rsid w:val="00D01634"/>
    <w:rPr>
      <w:color w:val="0000FF"/>
      <w:u w:val="single"/>
    </w:rPr>
  </w:style>
  <w:style w:type="paragraph" w:customStyle="1" w:styleId="western">
    <w:name w:val="western"/>
    <w:basedOn w:val="Normal"/>
    <w:rsid w:val="007614B8"/>
    <w:pPr>
      <w:spacing w:before="100" w:beforeAutospacing="1" w:after="100" w:afterAutospacing="1"/>
    </w:pPr>
    <w:rPr>
      <w:color w:val="000000"/>
      <w:sz w:val="24"/>
      <w:szCs w:val="24"/>
    </w:rPr>
  </w:style>
  <w:style w:type="paragraph" w:styleId="En-tte">
    <w:name w:val="header"/>
    <w:basedOn w:val="Normal"/>
    <w:rsid w:val="000A180A"/>
    <w:pPr>
      <w:tabs>
        <w:tab w:val="center" w:pos="4536"/>
        <w:tab w:val="right" w:pos="9072"/>
      </w:tabs>
      <w:spacing w:before="120"/>
      <w:jc w:val="both"/>
    </w:pPr>
    <w:rPr>
      <w:sz w:val="24"/>
    </w:rPr>
  </w:style>
  <w:style w:type="paragraph" w:customStyle="1" w:styleId="alina-western">
    <w:name w:val="alinéa-western"/>
    <w:basedOn w:val="Normal"/>
    <w:rsid w:val="009948B1"/>
    <w:pPr>
      <w:spacing w:before="119" w:after="119"/>
      <w:ind w:firstLine="284"/>
      <w:jc w:val="both"/>
    </w:pPr>
    <w:rPr>
      <w:color w:val="000000"/>
      <w:sz w:val="24"/>
      <w:szCs w:val="24"/>
    </w:rPr>
  </w:style>
  <w:style w:type="character" w:customStyle="1" w:styleId="surligne">
    <w:name w:val="surligne"/>
    <w:basedOn w:val="Policepardfaut"/>
    <w:rsid w:val="007E5B01"/>
  </w:style>
  <w:style w:type="paragraph" w:styleId="Textebrut">
    <w:name w:val="Plain Text"/>
    <w:basedOn w:val="Normal"/>
    <w:link w:val="TextebrutCar"/>
    <w:uiPriority w:val="99"/>
    <w:semiHidden/>
    <w:unhideWhenUsed/>
    <w:rsid w:val="00061A1C"/>
    <w:rPr>
      <w:rFonts w:ascii="Courier New" w:hAnsi="Courier New" w:cs="Courier New"/>
    </w:rPr>
  </w:style>
  <w:style w:type="character" w:customStyle="1" w:styleId="TextebrutCar">
    <w:name w:val="Texte brut Car"/>
    <w:link w:val="Textebrut"/>
    <w:uiPriority w:val="99"/>
    <w:semiHidden/>
    <w:rsid w:val="00061A1C"/>
    <w:rPr>
      <w:rFonts w:ascii="Courier New" w:hAnsi="Courier New" w:cs="Courier New"/>
    </w:rPr>
  </w:style>
  <w:style w:type="character" w:styleId="Marquedecommentaire">
    <w:name w:val="annotation reference"/>
    <w:uiPriority w:val="99"/>
    <w:semiHidden/>
    <w:unhideWhenUsed/>
    <w:rsid w:val="00B3661D"/>
    <w:rPr>
      <w:sz w:val="16"/>
      <w:szCs w:val="16"/>
    </w:rPr>
  </w:style>
  <w:style w:type="paragraph" w:styleId="Commentaire">
    <w:name w:val="annotation text"/>
    <w:basedOn w:val="Normal"/>
    <w:link w:val="CommentaireCar"/>
    <w:uiPriority w:val="99"/>
    <w:semiHidden/>
    <w:unhideWhenUsed/>
    <w:rsid w:val="00B3661D"/>
  </w:style>
  <w:style w:type="character" w:customStyle="1" w:styleId="CommentaireCar">
    <w:name w:val="Commentaire Car"/>
    <w:basedOn w:val="Policepardfaut"/>
    <w:link w:val="Commentaire"/>
    <w:uiPriority w:val="99"/>
    <w:semiHidden/>
    <w:rsid w:val="00B3661D"/>
  </w:style>
  <w:style w:type="paragraph" w:styleId="Objetducommentaire">
    <w:name w:val="annotation subject"/>
    <w:basedOn w:val="Commentaire"/>
    <w:next w:val="Commentaire"/>
    <w:link w:val="ObjetducommentaireCar"/>
    <w:uiPriority w:val="99"/>
    <w:semiHidden/>
    <w:unhideWhenUsed/>
    <w:rsid w:val="00B3661D"/>
    <w:rPr>
      <w:b/>
      <w:bCs/>
    </w:rPr>
  </w:style>
  <w:style w:type="character" w:customStyle="1" w:styleId="ObjetducommentaireCar">
    <w:name w:val="Objet du commentaire Car"/>
    <w:link w:val="Objetducommentaire"/>
    <w:uiPriority w:val="99"/>
    <w:semiHidden/>
    <w:rsid w:val="00B3661D"/>
    <w:rPr>
      <w:b/>
      <w:bCs/>
    </w:rPr>
  </w:style>
  <w:style w:type="paragraph" w:styleId="Pieddepage">
    <w:name w:val="footer"/>
    <w:basedOn w:val="Normal"/>
    <w:link w:val="PieddepageCar"/>
    <w:uiPriority w:val="99"/>
    <w:unhideWhenUsed/>
    <w:rsid w:val="001D536C"/>
    <w:pPr>
      <w:tabs>
        <w:tab w:val="center" w:pos="4536"/>
        <w:tab w:val="right" w:pos="9072"/>
      </w:tabs>
    </w:pPr>
  </w:style>
  <w:style w:type="character" w:customStyle="1" w:styleId="PieddepageCar">
    <w:name w:val="Pied de page Car"/>
    <w:basedOn w:val="Policepardfaut"/>
    <w:link w:val="Pieddepage"/>
    <w:uiPriority w:val="99"/>
    <w:rsid w:val="001D536C"/>
  </w:style>
  <w:style w:type="table" w:styleId="Grilledutableau">
    <w:name w:val="Table Grid"/>
    <w:basedOn w:val="TableauNormal"/>
    <w:uiPriority w:val="59"/>
    <w:rsid w:val="00BA1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8088">
      <w:bodyDiv w:val="1"/>
      <w:marLeft w:val="0"/>
      <w:marRight w:val="0"/>
      <w:marTop w:val="0"/>
      <w:marBottom w:val="0"/>
      <w:divBdr>
        <w:top w:val="none" w:sz="0" w:space="0" w:color="auto"/>
        <w:left w:val="none" w:sz="0" w:space="0" w:color="auto"/>
        <w:bottom w:val="none" w:sz="0" w:space="0" w:color="auto"/>
        <w:right w:val="none" w:sz="0" w:space="0" w:color="auto"/>
      </w:divBdr>
      <w:divsChild>
        <w:div w:id="1742558384">
          <w:marLeft w:val="0"/>
          <w:marRight w:val="0"/>
          <w:marTop w:val="0"/>
          <w:marBottom w:val="0"/>
          <w:divBdr>
            <w:top w:val="none" w:sz="0" w:space="0" w:color="auto"/>
            <w:left w:val="none" w:sz="0" w:space="0" w:color="auto"/>
            <w:bottom w:val="none" w:sz="0" w:space="0" w:color="auto"/>
            <w:right w:val="none" w:sz="0" w:space="0" w:color="auto"/>
          </w:divBdr>
          <w:divsChild>
            <w:div w:id="639842207">
              <w:marLeft w:val="0"/>
              <w:marRight w:val="0"/>
              <w:marTop w:val="0"/>
              <w:marBottom w:val="0"/>
              <w:divBdr>
                <w:top w:val="none" w:sz="0" w:space="0" w:color="auto"/>
                <w:left w:val="none" w:sz="0" w:space="0" w:color="auto"/>
                <w:bottom w:val="none" w:sz="0" w:space="0" w:color="auto"/>
                <w:right w:val="none" w:sz="0" w:space="0" w:color="auto"/>
              </w:divBdr>
              <w:divsChild>
                <w:div w:id="104354436">
                  <w:marLeft w:val="0"/>
                  <w:marRight w:val="0"/>
                  <w:marTop w:val="0"/>
                  <w:marBottom w:val="0"/>
                  <w:divBdr>
                    <w:top w:val="none" w:sz="0" w:space="0" w:color="auto"/>
                    <w:left w:val="none" w:sz="0" w:space="0" w:color="auto"/>
                    <w:bottom w:val="none" w:sz="0" w:space="0" w:color="auto"/>
                    <w:right w:val="none" w:sz="0" w:space="0" w:color="auto"/>
                  </w:divBdr>
                  <w:divsChild>
                    <w:div w:id="1148591026">
                      <w:marLeft w:val="0"/>
                      <w:marRight w:val="0"/>
                      <w:marTop w:val="0"/>
                      <w:marBottom w:val="0"/>
                      <w:divBdr>
                        <w:top w:val="none" w:sz="0" w:space="0" w:color="auto"/>
                        <w:left w:val="none" w:sz="0" w:space="0" w:color="auto"/>
                        <w:bottom w:val="none" w:sz="0" w:space="0" w:color="auto"/>
                        <w:right w:val="none" w:sz="0" w:space="0" w:color="auto"/>
                      </w:divBdr>
                      <w:divsChild>
                        <w:div w:id="711538066">
                          <w:marLeft w:val="0"/>
                          <w:marRight w:val="0"/>
                          <w:marTop w:val="0"/>
                          <w:marBottom w:val="0"/>
                          <w:divBdr>
                            <w:top w:val="none" w:sz="0" w:space="0" w:color="auto"/>
                            <w:left w:val="none" w:sz="0" w:space="0" w:color="auto"/>
                            <w:bottom w:val="none" w:sz="0" w:space="0" w:color="auto"/>
                            <w:right w:val="none" w:sz="0" w:space="0" w:color="auto"/>
                          </w:divBdr>
                          <w:divsChild>
                            <w:div w:id="1834835435">
                              <w:marLeft w:val="0"/>
                              <w:marRight w:val="0"/>
                              <w:marTop w:val="0"/>
                              <w:marBottom w:val="0"/>
                              <w:divBdr>
                                <w:top w:val="none" w:sz="0" w:space="0" w:color="auto"/>
                                <w:left w:val="none" w:sz="0" w:space="0" w:color="auto"/>
                                <w:bottom w:val="none" w:sz="0" w:space="0" w:color="auto"/>
                                <w:right w:val="none" w:sz="0" w:space="0" w:color="auto"/>
                              </w:divBdr>
                              <w:divsChild>
                                <w:div w:id="383985499">
                                  <w:marLeft w:val="0"/>
                                  <w:marRight w:val="0"/>
                                  <w:marTop w:val="0"/>
                                  <w:marBottom w:val="0"/>
                                  <w:divBdr>
                                    <w:top w:val="none" w:sz="0" w:space="0" w:color="auto"/>
                                    <w:left w:val="none" w:sz="0" w:space="0" w:color="auto"/>
                                    <w:bottom w:val="none" w:sz="0" w:space="0" w:color="auto"/>
                                    <w:right w:val="none" w:sz="0" w:space="0" w:color="auto"/>
                                  </w:divBdr>
                                  <w:divsChild>
                                    <w:div w:id="820386041">
                                      <w:marLeft w:val="0"/>
                                      <w:marRight w:val="0"/>
                                      <w:marTop w:val="0"/>
                                      <w:marBottom w:val="0"/>
                                      <w:divBdr>
                                        <w:top w:val="none" w:sz="0" w:space="0" w:color="auto"/>
                                        <w:left w:val="none" w:sz="0" w:space="0" w:color="auto"/>
                                        <w:bottom w:val="none" w:sz="0" w:space="0" w:color="auto"/>
                                        <w:right w:val="none" w:sz="0" w:space="0" w:color="auto"/>
                                      </w:divBdr>
                                      <w:divsChild>
                                        <w:div w:id="1937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97416">
      <w:bodyDiv w:val="1"/>
      <w:marLeft w:val="0"/>
      <w:marRight w:val="0"/>
      <w:marTop w:val="0"/>
      <w:marBottom w:val="0"/>
      <w:divBdr>
        <w:top w:val="none" w:sz="0" w:space="0" w:color="auto"/>
        <w:left w:val="none" w:sz="0" w:space="0" w:color="auto"/>
        <w:bottom w:val="none" w:sz="0" w:space="0" w:color="auto"/>
        <w:right w:val="none" w:sz="0" w:space="0" w:color="auto"/>
      </w:divBdr>
    </w:div>
    <w:div w:id="312220560">
      <w:bodyDiv w:val="1"/>
      <w:marLeft w:val="0"/>
      <w:marRight w:val="0"/>
      <w:marTop w:val="0"/>
      <w:marBottom w:val="0"/>
      <w:divBdr>
        <w:top w:val="none" w:sz="0" w:space="0" w:color="auto"/>
        <w:left w:val="none" w:sz="0" w:space="0" w:color="auto"/>
        <w:bottom w:val="none" w:sz="0" w:space="0" w:color="auto"/>
        <w:right w:val="none" w:sz="0" w:space="0" w:color="auto"/>
      </w:divBdr>
    </w:div>
    <w:div w:id="856771374">
      <w:bodyDiv w:val="1"/>
      <w:marLeft w:val="45"/>
      <w:marRight w:val="0"/>
      <w:marTop w:val="0"/>
      <w:marBottom w:val="0"/>
      <w:divBdr>
        <w:top w:val="none" w:sz="0" w:space="0" w:color="auto"/>
        <w:left w:val="none" w:sz="0" w:space="0" w:color="auto"/>
        <w:bottom w:val="none" w:sz="0" w:space="0" w:color="auto"/>
        <w:right w:val="none" w:sz="0" w:space="0" w:color="auto"/>
      </w:divBdr>
      <w:divsChild>
        <w:div w:id="637147849">
          <w:marLeft w:val="0"/>
          <w:marRight w:val="0"/>
          <w:marTop w:val="0"/>
          <w:marBottom w:val="0"/>
          <w:divBdr>
            <w:top w:val="none" w:sz="0" w:space="0" w:color="auto"/>
            <w:left w:val="none" w:sz="0" w:space="0" w:color="auto"/>
            <w:bottom w:val="none" w:sz="0" w:space="0" w:color="auto"/>
            <w:right w:val="none" w:sz="0" w:space="0" w:color="auto"/>
          </w:divBdr>
        </w:div>
      </w:divsChild>
    </w:div>
    <w:div w:id="1564216056">
      <w:bodyDiv w:val="1"/>
      <w:marLeft w:val="45"/>
      <w:marRight w:val="0"/>
      <w:marTop w:val="0"/>
      <w:marBottom w:val="0"/>
      <w:divBdr>
        <w:top w:val="none" w:sz="0" w:space="0" w:color="auto"/>
        <w:left w:val="none" w:sz="0" w:space="0" w:color="auto"/>
        <w:bottom w:val="none" w:sz="0" w:space="0" w:color="auto"/>
        <w:right w:val="none" w:sz="0" w:space="0" w:color="auto"/>
      </w:divBdr>
      <w:divsChild>
        <w:div w:id="6815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ichelet\Local%20Settings\Temporary%20Internet%20Files\Content.Outlook\JCEB4NJV\2011%2006%20Val%20d'Is&#233;re%20-%20projet%20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37932-7FC4-48F7-9E95-515F6965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 06 Val d'Isére - projet arrêt.dot</Template>
  <TotalTime>8</TotalTime>
  <Pages>4</Pages>
  <Words>1259</Words>
  <Characters>6927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michelet</dc:creator>
  <cp:keywords/>
  <dc:description/>
  <cp:lastModifiedBy>Jean-Pierre Bonin</cp:lastModifiedBy>
  <cp:revision>3</cp:revision>
  <cp:lastPrinted>2010-03-01T16:35:00Z</cp:lastPrinted>
  <dcterms:created xsi:type="dcterms:W3CDTF">2013-08-21T15:20:00Z</dcterms:created>
  <dcterms:modified xsi:type="dcterms:W3CDTF">2013-08-21T18:00:00Z</dcterms:modified>
</cp:coreProperties>
</file>