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64" w:rsidRPr="00056E94" w:rsidRDefault="00B67570" w:rsidP="00AD2BC6">
      <w:pPr>
        <w:jc w:val="both"/>
        <w:rPr>
          <w:b/>
          <w:caps/>
          <w:sz w:val="24"/>
        </w:rPr>
      </w:pPr>
      <w:r>
        <w:rPr>
          <w:b/>
          <w:caps/>
          <w:sz w:val="24"/>
        </w:rPr>
        <w:t xml:space="preserve"> C</w:t>
      </w:r>
      <w:r w:rsidR="00B30F64" w:rsidRPr="00056E94">
        <w:rPr>
          <w:b/>
          <w:caps/>
          <w:sz w:val="24"/>
        </w:rPr>
        <w:t>OUR DES COMPTES</w:t>
      </w:r>
    </w:p>
    <w:p w:rsidR="00B30F64" w:rsidRPr="00056E94" w:rsidRDefault="001D2A4A" w:rsidP="00AD2BC6">
      <w:pPr>
        <w:jc w:val="both"/>
        <w:rPr>
          <w:b/>
          <w:caps/>
          <w:sz w:val="24"/>
        </w:rPr>
      </w:pPr>
      <w:r w:rsidRPr="00056E94">
        <w:rPr>
          <w:b/>
          <w:caps/>
          <w:sz w:val="24"/>
        </w:rPr>
        <w:t xml:space="preserve">               </w:t>
      </w:r>
      <w:r w:rsidR="00B30F64" w:rsidRPr="00056E94">
        <w:rPr>
          <w:b/>
          <w:caps/>
          <w:sz w:val="24"/>
        </w:rPr>
        <w:t>--------</w:t>
      </w:r>
    </w:p>
    <w:p w:rsidR="00B30F64" w:rsidRPr="00056E94" w:rsidRDefault="00B30F64" w:rsidP="00AD2BC6">
      <w:pPr>
        <w:jc w:val="both"/>
        <w:rPr>
          <w:b/>
          <w:caps/>
          <w:sz w:val="24"/>
        </w:rPr>
      </w:pPr>
      <w:r w:rsidRPr="00056E94">
        <w:rPr>
          <w:b/>
          <w:caps/>
          <w:sz w:val="24"/>
        </w:rPr>
        <w:t>QUATRIEME CHAMBRE</w:t>
      </w:r>
    </w:p>
    <w:p w:rsidR="00B30F64" w:rsidRPr="00056E94" w:rsidRDefault="001D2A4A" w:rsidP="00AD2BC6">
      <w:pPr>
        <w:jc w:val="both"/>
        <w:rPr>
          <w:b/>
          <w:caps/>
          <w:sz w:val="24"/>
        </w:rPr>
      </w:pPr>
      <w:r w:rsidRPr="00056E94">
        <w:rPr>
          <w:b/>
          <w:caps/>
          <w:sz w:val="24"/>
        </w:rPr>
        <w:t xml:space="preserve">               </w:t>
      </w:r>
      <w:r w:rsidR="00B30F64" w:rsidRPr="00056E94">
        <w:rPr>
          <w:b/>
          <w:caps/>
          <w:sz w:val="24"/>
        </w:rPr>
        <w:t>--------</w:t>
      </w:r>
    </w:p>
    <w:p w:rsidR="00B30F64" w:rsidRPr="00056E94" w:rsidRDefault="00B67570" w:rsidP="00AD2BC6">
      <w:pPr>
        <w:jc w:val="both"/>
        <w:rPr>
          <w:b/>
          <w:caps/>
          <w:sz w:val="24"/>
        </w:rPr>
      </w:pPr>
      <w:r>
        <w:rPr>
          <w:b/>
          <w:caps/>
          <w:sz w:val="24"/>
        </w:rPr>
        <w:t xml:space="preserve"> </w:t>
      </w:r>
      <w:r w:rsidR="00B30F64" w:rsidRPr="00056E94">
        <w:rPr>
          <w:b/>
          <w:caps/>
          <w:sz w:val="24"/>
        </w:rPr>
        <w:t>PREMIERE SECTION</w:t>
      </w:r>
    </w:p>
    <w:p w:rsidR="00B30F64" w:rsidRPr="00B67570" w:rsidRDefault="00B67570" w:rsidP="00B67570">
      <w:pPr>
        <w:spacing w:after="120"/>
        <w:jc w:val="both"/>
        <w:rPr>
          <w:b/>
          <w:sz w:val="24"/>
        </w:rPr>
      </w:pPr>
      <w:r>
        <w:rPr>
          <w:sz w:val="24"/>
        </w:rPr>
        <w:t xml:space="preserve">               </w:t>
      </w:r>
      <w:r w:rsidRPr="00B67570">
        <w:rPr>
          <w:b/>
          <w:sz w:val="24"/>
        </w:rPr>
        <w:t>--------</w:t>
      </w:r>
    </w:p>
    <w:p w:rsidR="00B30F64" w:rsidRPr="00B67570" w:rsidRDefault="00B67570" w:rsidP="00056E94">
      <w:pPr>
        <w:pStyle w:val="Titre1"/>
        <w:jc w:val="both"/>
        <w:rPr>
          <w:b/>
          <w:i/>
          <w:sz w:val="22"/>
          <w:szCs w:val="22"/>
        </w:rPr>
      </w:pPr>
      <w:r>
        <w:rPr>
          <w:b/>
          <w:i/>
        </w:rPr>
        <w:t xml:space="preserve">          </w:t>
      </w:r>
      <w:r w:rsidR="00EB6713" w:rsidRPr="00B67570">
        <w:rPr>
          <w:b/>
          <w:i/>
          <w:sz w:val="22"/>
          <w:szCs w:val="22"/>
        </w:rPr>
        <w:t>Arrêt n°</w:t>
      </w:r>
      <w:r w:rsidRPr="00B67570">
        <w:rPr>
          <w:b/>
          <w:i/>
          <w:sz w:val="22"/>
          <w:szCs w:val="22"/>
        </w:rPr>
        <w:t xml:space="preserve"> 67938</w:t>
      </w:r>
    </w:p>
    <w:p w:rsidR="005F641F" w:rsidRPr="005F641F" w:rsidRDefault="005F641F" w:rsidP="005F641F"/>
    <w:p w:rsidR="00042DE1" w:rsidRPr="00042DE1" w:rsidRDefault="00042DE1" w:rsidP="00AD2BC6">
      <w:pPr>
        <w:jc w:val="both"/>
      </w:pPr>
    </w:p>
    <w:p w:rsidR="004964E3" w:rsidRDefault="00183EFC" w:rsidP="00B67570">
      <w:pPr>
        <w:ind w:left="3969"/>
        <w:jc w:val="both"/>
        <w:rPr>
          <w:caps/>
          <w:sz w:val="24"/>
          <w:szCs w:val="24"/>
        </w:rPr>
      </w:pPr>
      <w:r>
        <w:rPr>
          <w:caps/>
          <w:sz w:val="24"/>
          <w:szCs w:val="24"/>
        </w:rPr>
        <w:t>COMMUNE DE PAÏTA</w:t>
      </w:r>
    </w:p>
    <w:p w:rsidR="007F0929" w:rsidRPr="00042DE1" w:rsidRDefault="00183EFC" w:rsidP="00B67570">
      <w:pPr>
        <w:ind w:left="3969"/>
        <w:jc w:val="both"/>
        <w:rPr>
          <w:caps/>
          <w:sz w:val="24"/>
          <w:szCs w:val="24"/>
        </w:rPr>
      </w:pPr>
      <w:r>
        <w:rPr>
          <w:caps/>
          <w:sz w:val="24"/>
          <w:szCs w:val="24"/>
        </w:rPr>
        <w:t>(NOUVELLE-CALEDONIE)</w:t>
      </w:r>
    </w:p>
    <w:p w:rsidR="00042DE1" w:rsidRDefault="00042DE1" w:rsidP="00B67570">
      <w:pPr>
        <w:ind w:left="3969"/>
        <w:jc w:val="both"/>
        <w:rPr>
          <w:sz w:val="24"/>
        </w:rPr>
      </w:pPr>
    </w:p>
    <w:p w:rsidR="00B30F64" w:rsidRDefault="00B30F64" w:rsidP="00B67570">
      <w:pPr>
        <w:pStyle w:val="Titre2"/>
        <w:ind w:left="3969"/>
        <w:jc w:val="both"/>
      </w:pPr>
      <w:r>
        <w:t>Appel d’</w:t>
      </w:r>
      <w:r w:rsidR="00FD4C49">
        <w:t>un jugement</w:t>
      </w:r>
      <w:r w:rsidR="00AE3410">
        <w:t xml:space="preserve"> de la </w:t>
      </w:r>
      <w:r w:rsidR="00B67570">
        <w:t>c</w:t>
      </w:r>
      <w:r w:rsidR="00AE3410">
        <w:t xml:space="preserve">hambre </w:t>
      </w:r>
      <w:r w:rsidR="00183EFC">
        <w:t xml:space="preserve">territoriale </w:t>
      </w:r>
      <w:r w:rsidR="00AE3410">
        <w:t>des comptes d</w:t>
      </w:r>
      <w:r w:rsidR="00056E94">
        <w:t xml:space="preserve">e </w:t>
      </w:r>
      <w:r w:rsidR="00183EFC">
        <w:t>Nouvelle-Calédonie</w:t>
      </w:r>
    </w:p>
    <w:p w:rsidR="00B30F64" w:rsidRDefault="00B30F64" w:rsidP="00B67570">
      <w:pPr>
        <w:ind w:left="3969"/>
        <w:jc w:val="both"/>
        <w:rPr>
          <w:sz w:val="24"/>
        </w:rPr>
      </w:pPr>
    </w:p>
    <w:p w:rsidR="00B30F64" w:rsidRDefault="00686BA5" w:rsidP="00B67570">
      <w:pPr>
        <w:pStyle w:val="Titre4"/>
        <w:ind w:left="3969"/>
      </w:pPr>
      <w:r>
        <w:t>Rapport n°</w:t>
      </w:r>
      <w:r w:rsidR="00B67570">
        <w:t> </w:t>
      </w:r>
      <w:r w:rsidR="004964E3">
        <w:t>2013-501-0</w:t>
      </w:r>
    </w:p>
    <w:p w:rsidR="00B30F64" w:rsidRDefault="00B30F64" w:rsidP="00B67570">
      <w:pPr>
        <w:ind w:left="3969"/>
        <w:jc w:val="both"/>
        <w:rPr>
          <w:sz w:val="24"/>
        </w:rPr>
      </w:pPr>
    </w:p>
    <w:p w:rsidR="004964E3" w:rsidRDefault="0039572C" w:rsidP="00B67570">
      <w:pPr>
        <w:ind w:left="3969"/>
        <w:jc w:val="both"/>
        <w:rPr>
          <w:sz w:val="24"/>
        </w:rPr>
      </w:pPr>
      <w:r>
        <w:rPr>
          <w:sz w:val="24"/>
        </w:rPr>
        <w:t>Audience</w:t>
      </w:r>
      <w:r w:rsidR="00686BA5">
        <w:rPr>
          <w:sz w:val="24"/>
        </w:rPr>
        <w:t xml:space="preserve"> </w:t>
      </w:r>
      <w:r w:rsidR="004964E3">
        <w:rPr>
          <w:sz w:val="24"/>
        </w:rPr>
        <w:t>publique</w:t>
      </w:r>
      <w:r w:rsidR="00B67570">
        <w:rPr>
          <w:sz w:val="24"/>
        </w:rPr>
        <w:t xml:space="preserve"> et délibéré </w:t>
      </w:r>
      <w:r w:rsidR="004964E3">
        <w:rPr>
          <w:sz w:val="24"/>
        </w:rPr>
        <w:t>du 12 septembre 2013</w:t>
      </w:r>
    </w:p>
    <w:p w:rsidR="004964E3" w:rsidRDefault="004964E3" w:rsidP="00B67570">
      <w:pPr>
        <w:ind w:left="3969"/>
        <w:jc w:val="both"/>
        <w:rPr>
          <w:sz w:val="24"/>
        </w:rPr>
      </w:pPr>
    </w:p>
    <w:p w:rsidR="00B30F64" w:rsidRDefault="00EB6713" w:rsidP="00B67570">
      <w:pPr>
        <w:ind w:left="3969"/>
        <w:jc w:val="both"/>
        <w:rPr>
          <w:sz w:val="24"/>
        </w:rPr>
      </w:pPr>
      <w:r>
        <w:rPr>
          <w:sz w:val="24"/>
        </w:rPr>
        <w:t>L</w:t>
      </w:r>
      <w:r w:rsidR="00FF14A8">
        <w:rPr>
          <w:sz w:val="24"/>
        </w:rPr>
        <w:t xml:space="preserve">ecture publique du </w:t>
      </w:r>
      <w:r w:rsidR="00B67570">
        <w:rPr>
          <w:sz w:val="24"/>
        </w:rPr>
        <w:t>24 octobre 2013</w:t>
      </w:r>
    </w:p>
    <w:p w:rsidR="00B30F64" w:rsidRDefault="00B30F64" w:rsidP="00AD2BC6">
      <w:pPr>
        <w:jc w:val="both"/>
        <w:rPr>
          <w:sz w:val="24"/>
        </w:rPr>
      </w:pPr>
    </w:p>
    <w:p w:rsidR="00B67570" w:rsidRDefault="00B67570" w:rsidP="00AD2BC6">
      <w:pPr>
        <w:jc w:val="both"/>
        <w:rPr>
          <w:sz w:val="24"/>
        </w:rPr>
      </w:pPr>
    </w:p>
    <w:p w:rsidR="00AF0B52" w:rsidRDefault="00AF0B52" w:rsidP="00AD2BC6">
      <w:pPr>
        <w:jc w:val="both"/>
        <w:rPr>
          <w:sz w:val="24"/>
        </w:rPr>
      </w:pPr>
    </w:p>
    <w:p w:rsidR="00AF0B52" w:rsidRDefault="00AF0B52" w:rsidP="00AD2BC6">
      <w:pPr>
        <w:jc w:val="both"/>
        <w:rPr>
          <w:sz w:val="24"/>
        </w:rPr>
      </w:pPr>
    </w:p>
    <w:p w:rsidR="00AF0B52" w:rsidRDefault="00AF0B52" w:rsidP="004964E3">
      <w:pPr>
        <w:pStyle w:val="PS"/>
        <w:ind w:left="0" w:firstLine="2835"/>
        <w:rPr>
          <w:rFonts w:ascii="Times New Roman" w:hAnsi="Times New Roman"/>
        </w:rPr>
      </w:pPr>
      <w:r>
        <w:rPr>
          <w:rFonts w:ascii="Times New Roman" w:hAnsi="Times New Roman"/>
        </w:rPr>
        <w:t>LA COUR DES COMPTES a rendu l’arrêt suivant :</w:t>
      </w:r>
    </w:p>
    <w:p w:rsidR="00743DE8" w:rsidRDefault="00B82C1D" w:rsidP="004964E3">
      <w:pPr>
        <w:pStyle w:val="PS"/>
        <w:ind w:left="0" w:firstLine="2835"/>
        <w:rPr>
          <w:rFonts w:ascii="Times New Roman" w:hAnsi="Times New Roman"/>
        </w:rPr>
      </w:pPr>
      <w:r>
        <w:rPr>
          <w:rFonts w:ascii="Times New Roman" w:hAnsi="Times New Roman"/>
        </w:rPr>
        <w:t>L</w:t>
      </w:r>
      <w:r w:rsidR="004964E3">
        <w:rPr>
          <w:rFonts w:ascii="Times New Roman" w:hAnsi="Times New Roman"/>
        </w:rPr>
        <w:t>A</w:t>
      </w:r>
      <w:r w:rsidR="00B30F64" w:rsidRPr="00056E94">
        <w:rPr>
          <w:rFonts w:ascii="Times New Roman" w:hAnsi="Times New Roman"/>
        </w:rPr>
        <w:t xml:space="preserve"> COUR,</w:t>
      </w:r>
    </w:p>
    <w:p w:rsidR="004964E3" w:rsidRDefault="00B30F64" w:rsidP="004964E3">
      <w:pPr>
        <w:pStyle w:val="PS"/>
        <w:tabs>
          <w:tab w:val="left" w:pos="1701"/>
        </w:tabs>
        <w:rPr>
          <w:rFonts w:ascii="Times New Roman" w:hAnsi="Times New Roman"/>
        </w:rPr>
      </w:pPr>
      <w:r w:rsidRPr="00056E94">
        <w:t>Vu la requête</w:t>
      </w:r>
      <w:r w:rsidR="00497A94">
        <w:t>,</w:t>
      </w:r>
      <w:r w:rsidRPr="00056E94">
        <w:t xml:space="preserve"> enregistrée </w:t>
      </w:r>
      <w:r w:rsidR="00331626" w:rsidRPr="00B82C1D">
        <w:t xml:space="preserve">le </w:t>
      </w:r>
      <w:r w:rsidR="00183EFC">
        <w:t>5 novembre 2012</w:t>
      </w:r>
      <w:r w:rsidR="0087650E">
        <w:t xml:space="preserve"> </w:t>
      </w:r>
      <w:r w:rsidRPr="00056E94">
        <w:t xml:space="preserve">au greffe de la chambre </w:t>
      </w:r>
      <w:r w:rsidR="00183EFC">
        <w:t xml:space="preserve">territoriale </w:t>
      </w:r>
      <w:r w:rsidRPr="00056E94">
        <w:t xml:space="preserve">des comptes </w:t>
      </w:r>
      <w:r w:rsidR="00743DE8">
        <w:t>(C</w:t>
      </w:r>
      <w:r w:rsidR="00183EFC">
        <w:t>T</w:t>
      </w:r>
      <w:r w:rsidR="00743DE8">
        <w:t xml:space="preserve">C) </w:t>
      </w:r>
      <w:r w:rsidRPr="00056E94">
        <w:t>d</w:t>
      </w:r>
      <w:r w:rsidR="00743DE8">
        <w:t xml:space="preserve">e </w:t>
      </w:r>
      <w:r w:rsidR="00183EFC">
        <w:t>Nouvelle-Calédonie</w:t>
      </w:r>
      <w:r w:rsidR="00ED5089" w:rsidRPr="00056E94">
        <w:t>,</w:t>
      </w:r>
      <w:r w:rsidR="003201CD" w:rsidRPr="00056E94">
        <w:t xml:space="preserve"> </w:t>
      </w:r>
      <w:r w:rsidR="00ED5089" w:rsidRPr="00056E94">
        <w:t xml:space="preserve">par laquelle </w:t>
      </w:r>
      <w:r w:rsidR="00743DE8">
        <w:t>M.</w:t>
      </w:r>
      <w:r w:rsidR="00B67570">
        <w:rPr>
          <w:rFonts w:hint="eastAsia"/>
        </w:rPr>
        <w:t> </w:t>
      </w:r>
      <w:r w:rsidR="001F2293">
        <w:t>X</w:t>
      </w:r>
      <w:r w:rsidR="00743DE8">
        <w:t xml:space="preserve">, </w:t>
      </w:r>
      <w:r w:rsidR="00743DE8">
        <w:rPr>
          <w:rStyle w:val="CorpsdetexteCarCar"/>
        </w:rPr>
        <w:t>comptable d</w:t>
      </w:r>
      <w:r w:rsidR="00183EFC">
        <w:rPr>
          <w:rStyle w:val="CorpsdetexteCarCar"/>
        </w:rPr>
        <w:t xml:space="preserve">e la </w:t>
      </w:r>
      <w:r w:rsidR="00183EFC" w:rsidRPr="00B67570">
        <w:rPr>
          <w:rStyle w:val="CorpsdetexteCarCar"/>
          <w:caps/>
        </w:rPr>
        <w:t>commune de</w:t>
      </w:r>
      <w:r w:rsidR="00183EFC">
        <w:rPr>
          <w:rStyle w:val="CorpsdetexteCarCar"/>
        </w:rPr>
        <w:t xml:space="preserve"> </w:t>
      </w:r>
      <w:r w:rsidR="004964E3">
        <w:rPr>
          <w:rStyle w:val="CorpsdetexteCarCar"/>
        </w:rPr>
        <w:t xml:space="preserve">PAÏTA </w:t>
      </w:r>
      <w:r w:rsidR="00743DE8">
        <w:rPr>
          <w:rStyle w:val="CorpsdetexteCarCar"/>
        </w:rPr>
        <w:t xml:space="preserve">du </w:t>
      </w:r>
      <w:r w:rsidR="00183EFC">
        <w:rPr>
          <w:rStyle w:val="CorpsdetexteCarCar"/>
        </w:rPr>
        <w:t>3</w:t>
      </w:r>
      <w:r w:rsidR="00B8592C">
        <w:rPr>
          <w:rStyle w:val="CorpsdetexteCarCar"/>
        </w:rPr>
        <w:t xml:space="preserve"> </w:t>
      </w:r>
      <w:r w:rsidR="00183EFC">
        <w:rPr>
          <w:rStyle w:val="CorpsdetexteCarCar"/>
        </w:rPr>
        <w:t>janvier</w:t>
      </w:r>
      <w:r w:rsidR="00B8592C">
        <w:rPr>
          <w:rStyle w:val="CorpsdetexteCarCar"/>
        </w:rPr>
        <w:t xml:space="preserve"> </w:t>
      </w:r>
      <w:r w:rsidR="00183EFC">
        <w:rPr>
          <w:rStyle w:val="CorpsdetexteCarCar"/>
        </w:rPr>
        <w:t>2005 au 4</w:t>
      </w:r>
      <w:r w:rsidR="00B8592C">
        <w:rPr>
          <w:rStyle w:val="CorpsdetexteCarCar"/>
        </w:rPr>
        <w:t xml:space="preserve"> </w:t>
      </w:r>
      <w:r w:rsidR="00183EFC">
        <w:rPr>
          <w:rStyle w:val="CorpsdetexteCarCar"/>
        </w:rPr>
        <w:t>janvier</w:t>
      </w:r>
      <w:r w:rsidR="00B8592C">
        <w:rPr>
          <w:rStyle w:val="CorpsdetexteCarCar"/>
        </w:rPr>
        <w:t xml:space="preserve"> </w:t>
      </w:r>
      <w:r w:rsidR="00183EFC">
        <w:rPr>
          <w:rStyle w:val="CorpsdetexteCarCar"/>
        </w:rPr>
        <w:t>2009</w:t>
      </w:r>
      <w:r w:rsidR="00743DE8">
        <w:rPr>
          <w:rStyle w:val="CorpsdetexteCarCar"/>
        </w:rPr>
        <w:t>,</w:t>
      </w:r>
      <w:r w:rsidR="00743DE8">
        <w:t xml:space="preserve"> </w:t>
      </w:r>
      <w:r w:rsidRPr="00056E94">
        <w:t>a élevé appel d</w:t>
      </w:r>
      <w:r w:rsidR="00EB7BB4">
        <w:t xml:space="preserve">u jugement </w:t>
      </w:r>
      <w:r w:rsidR="00743DE8">
        <w:rPr>
          <w:rStyle w:val="CorpsdetexteCarCar"/>
        </w:rPr>
        <w:t>n° 12-</w:t>
      </w:r>
      <w:r w:rsidR="00183EFC">
        <w:rPr>
          <w:rStyle w:val="CorpsdetexteCarCar"/>
        </w:rPr>
        <w:t xml:space="preserve">01 </w:t>
      </w:r>
      <w:r w:rsidR="00743DE8">
        <w:rPr>
          <w:rStyle w:val="CorpsdetexteCarCar"/>
        </w:rPr>
        <w:t xml:space="preserve">du </w:t>
      </w:r>
      <w:r w:rsidR="00183EFC">
        <w:rPr>
          <w:rStyle w:val="CorpsdetexteCarCar"/>
        </w:rPr>
        <w:t>14</w:t>
      </w:r>
      <w:r w:rsidR="00B8592C">
        <w:rPr>
          <w:rStyle w:val="CorpsdetexteCarCar"/>
        </w:rPr>
        <w:t xml:space="preserve"> </w:t>
      </w:r>
      <w:r w:rsidR="00183EFC">
        <w:rPr>
          <w:rStyle w:val="CorpsdetexteCarCar"/>
        </w:rPr>
        <w:t>août</w:t>
      </w:r>
      <w:r w:rsidR="00B8592C">
        <w:rPr>
          <w:rStyle w:val="CorpsdetexteCarCar"/>
        </w:rPr>
        <w:t xml:space="preserve"> </w:t>
      </w:r>
      <w:r w:rsidR="00743DE8">
        <w:rPr>
          <w:rStyle w:val="CorpsdetexteCarCar"/>
        </w:rPr>
        <w:t>2012 par lequel ladite C</w:t>
      </w:r>
      <w:r w:rsidR="00183EFC">
        <w:rPr>
          <w:rStyle w:val="CorpsdetexteCarCar"/>
        </w:rPr>
        <w:t>T</w:t>
      </w:r>
      <w:r w:rsidR="00743DE8">
        <w:rPr>
          <w:rStyle w:val="CorpsdetexteCarCar"/>
        </w:rPr>
        <w:t>C l’a constitué débiteur d</w:t>
      </w:r>
      <w:r w:rsidR="00183EFC">
        <w:rPr>
          <w:rStyle w:val="CorpsdetexteCarCar"/>
        </w:rPr>
        <w:t xml:space="preserve">e la commune </w:t>
      </w:r>
      <w:r w:rsidR="004964E3">
        <w:rPr>
          <w:rStyle w:val="CorpsdetexteCarCar"/>
        </w:rPr>
        <w:t>précitée</w:t>
      </w:r>
      <w:r w:rsidR="00183EFC">
        <w:rPr>
          <w:rStyle w:val="CorpsdetexteCarCar"/>
        </w:rPr>
        <w:t xml:space="preserve"> </w:t>
      </w:r>
      <w:r w:rsidR="004964E3">
        <w:rPr>
          <w:rStyle w:val="CorpsdetexteCarCar"/>
        </w:rPr>
        <w:t>de la somme de</w:t>
      </w:r>
      <w:r w:rsidR="00743DE8">
        <w:rPr>
          <w:rStyle w:val="CorpsdetexteCarCar"/>
        </w:rPr>
        <w:t xml:space="preserve"> </w:t>
      </w:r>
      <w:r w:rsidR="00183EFC">
        <w:rPr>
          <w:rStyle w:val="CorpsdetexteCarCar"/>
        </w:rPr>
        <w:t>108</w:t>
      </w:r>
      <w:r w:rsidR="00B67570">
        <w:rPr>
          <w:rStyle w:val="CorpsdetexteCarCar"/>
        </w:rPr>
        <w:t> </w:t>
      </w:r>
      <w:r w:rsidR="00183EFC">
        <w:rPr>
          <w:rStyle w:val="CorpsdetexteCarCar"/>
        </w:rPr>
        <w:t>800</w:t>
      </w:r>
      <w:r w:rsidR="00B67570">
        <w:rPr>
          <w:rStyle w:val="CorpsdetexteCarCar"/>
          <w:rFonts w:hint="eastAsia"/>
        </w:rPr>
        <w:t> </w:t>
      </w:r>
      <w:r w:rsidR="00E004B5">
        <w:rPr>
          <w:rStyle w:val="CorpsdetexteCarCar"/>
        </w:rPr>
        <w:t>F</w:t>
      </w:r>
      <w:r w:rsidR="00183EFC">
        <w:rPr>
          <w:rStyle w:val="CorpsdetexteCarCar"/>
        </w:rPr>
        <w:t xml:space="preserve"> CFP (911,</w:t>
      </w:r>
      <w:r w:rsidR="00B67570">
        <w:rPr>
          <w:rStyle w:val="CorpsdetexteCarCar"/>
        </w:rPr>
        <w:t>7</w:t>
      </w:r>
      <w:r w:rsidR="00183EFC">
        <w:rPr>
          <w:rStyle w:val="CorpsdetexteCarCar"/>
        </w:rPr>
        <w:t>4</w:t>
      </w:r>
      <w:r w:rsidR="00B67570">
        <w:rPr>
          <w:rStyle w:val="CorpsdetexteCarCar"/>
          <w:rFonts w:hint="eastAsia"/>
        </w:rPr>
        <w:t> </w:t>
      </w:r>
      <w:r w:rsidR="00183EFC">
        <w:rPr>
          <w:rStyle w:val="CorpsdetexteCarCar"/>
        </w:rPr>
        <w:t xml:space="preserve">€) </w:t>
      </w:r>
      <w:r w:rsidR="00743DE8">
        <w:rPr>
          <w:rStyle w:val="CorpsdetexteCarCar"/>
        </w:rPr>
        <w:t>augmenté</w:t>
      </w:r>
      <w:r w:rsidR="004964E3">
        <w:rPr>
          <w:rStyle w:val="CorpsdetexteCarCar"/>
        </w:rPr>
        <w:t>e</w:t>
      </w:r>
      <w:r w:rsidR="00743DE8">
        <w:rPr>
          <w:rStyle w:val="CorpsdetexteCarCar"/>
        </w:rPr>
        <w:t xml:space="preserve"> des intérêts de droit</w:t>
      </w:r>
      <w:r w:rsidR="00B8592C">
        <w:rPr>
          <w:rStyle w:val="CorpsdetexteCarCar"/>
        </w:rPr>
        <w:t xml:space="preserve"> </w:t>
      </w:r>
      <w:r w:rsidR="004964E3">
        <w:rPr>
          <w:rStyle w:val="CorpsdetexteCarCar"/>
        </w:rPr>
        <w:t>calculés à compter du 31</w:t>
      </w:r>
      <w:r w:rsidR="00B8592C">
        <w:rPr>
          <w:rStyle w:val="CorpsdetexteCarCar"/>
        </w:rPr>
        <w:t xml:space="preserve"> </w:t>
      </w:r>
      <w:r w:rsidR="004964E3">
        <w:rPr>
          <w:rStyle w:val="CorpsdetexteCarCar"/>
        </w:rPr>
        <w:t>janvier</w:t>
      </w:r>
      <w:r w:rsidR="00B8592C">
        <w:rPr>
          <w:rStyle w:val="CorpsdetexteCarCar"/>
        </w:rPr>
        <w:t xml:space="preserve"> </w:t>
      </w:r>
      <w:r w:rsidR="004964E3">
        <w:rPr>
          <w:rStyle w:val="CorpsdetexteCarCar"/>
        </w:rPr>
        <w:t>2012</w:t>
      </w:r>
      <w:r w:rsidR="00B8592C">
        <w:rPr>
          <w:rStyle w:val="CorpsdetexteCarCar"/>
        </w:rPr>
        <w:t> ;</w:t>
      </w:r>
    </w:p>
    <w:p w:rsidR="004964E3" w:rsidRDefault="00497A94" w:rsidP="004964E3">
      <w:pPr>
        <w:pStyle w:val="PS"/>
        <w:tabs>
          <w:tab w:val="left" w:pos="1701"/>
        </w:tabs>
        <w:rPr>
          <w:rFonts w:ascii="Times New Roman" w:hAnsi="Times New Roman"/>
        </w:rPr>
      </w:pPr>
      <w:r w:rsidRPr="00056E94">
        <w:rPr>
          <w:szCs w:val="24"/>
        </w:rPr>
        <w:t xml:space="preserve">Vu le réquisitoire du </w:t>
      </w:r>
      <w:r w:rsidR="00671DB5">
        <w:rPr>
          <w:szCs w:val="24"/>
        </w:rPr>
        <w:t>P</w:t>
      </w:r>
      <w:r w:rsidRPr="00056E94">
        <w:rPr>
          <w:szCs w:val="24"/>
        </w:rPr>
        <w:t>rocureur général</w:t>
      </w:r>
      <w:r w:rsidR="004964E3">
        <w:rPr>
          <w:szCs w:val="24"/>
        </w:rPr>
        <w:t xml:space="preserve"> près la Cour des comptes n°</w:t>
      </w:r>
      <w:r w:rsidR="00B67570">
        <w:rPr>
          <w:rFonts w:hint="eastAsia"/>
          <w:szCs w:val="24"/>
        </w:rPr>
        <w:t> </w:t>
      </w:r>
      <w:r w:rsidR="004964E3">
        <w:rPr>
          <w:szCs w:val="24"/>
        </w:rPr>
        <w:t>2013-12</w:t>
      </w:r>
      <w:r w:rsidRPr="00056E94">
        <w:rPr>
          <w:szCs w:val="24"/>
        </w:rPr>
        <w:t xml:space="preserve"> du </w:t>
      </w:r>
      <w:r w:rsidR="00183EFC">
        <w:rPr>
          <w:szCs w:val="24"/>
        </w:rPr>
        <w:t xml:space="preserve">4 avril </w:t>
      </w:r>
      <w:r w:rsidR="0081356E">
        <w:rPr>
          <w:szCs w:val="24"/>
        </w:rPr>
        <w:t>201</w:t>
      </w:r>
      <w:r w:rsidR="00743DE8">
        <w:rPr>
          <w:szCs w:val="24"/>
        </w:rPr>
        <w:t>3</w:t>
      </w:r>
      <w:r w:rsidRPr="00056E94">
        <w:rPr>
          <w:szCs w:val="24"/>
        </w:rPr>
        <w:t xml:space="preserve"> </w:t>
      </w:r>
      <w:r w:rsidR="00671DB5">
        <w:rPr>
          <w:szCs w:val="24"/>
        </w:rPr>
        <w:t>transmettant</w:t>
      </w:r>
      <w:r w:rsidRPr="00056E94">
        <w:rPr>
          <w:szCs w:val="24"/>
        </w:rPr>
        <w:t xml:space="preserve"> </w:t>
      </w:r>
      <w:r w:rsidR="004964E3">
        <w:rPr>
          <w:szCs w:val="24"/>
        </w:rPr>
        <w:t xml:space="preserve">à la Cour </w:t>
      </w:r>
      <w:r w:rsidRPr="00056E94">
        <w:rPr>
          <w:szCs w:val="24"/>
        </w:rPr>
        <w:t>la requête précitée</w:t>
      </w:r>
      <w:r w:rsidR="00743DE8">
        <w:rPr>
          <w:szCs w:val="24"/>
        </w:rPr>
        <w:t> ;</w:t>
      </w:r>
    </w:p>
    <w:p w:rsidR="004964E3" w:rsidRDefault="00743DE8" w:rsidP="004964E3">
      <w:pPr>
        <w:pStyle w:val="PS"/>
        <w:tabs>
          <w:tab w:val="left" w:pos="1701"/>
        </w:tabs>
        <w:rPr>
          <w:rStyle w:val="CorpsdetexteCarCar"/>
          <w:rFonts w:ascii="Times New Roman" w:hAnsi="Times New Roman"/>
        </w:rPr>
      </w:pPr>
      <w:r>
        <w:rPr>
          <w:szCs w:val="24"/>
        </w:rPr>
        <w:t xml:space="preserve">Vu </w:t>
      </w:r>
      <w:r w:rsidR="004964E3" w:rsidRPr="00056E94">
        <w:rPr>
          <w:rFonts w:ascii="Times New Roman" w:hAnsi="Times New Roman"/>
        </w:rPr>
        <w:t>les pièces de la procédure suivie en première instance</w:t>
      </w:r>
      <w:r w:rsidR="004964E3">
        <w:rPr>
          <w:rFonts w:ascii="Times New Roman" w:hAnsi="Times New Roman"/>
        </w:rPr>
        <w:t xml:space="preserve">, en particulier </w:t>
      </w:r>
      <w:r>
        <w:rPr>
          <w:szCs w:val="24"/>
        </w:rPr>
        <w:t xml:space="preserve">le </w:t>
      </w:r>
      <w:r>
        <w:rPr>
          <w:rStyle w:val="CorpsdetexteCarCar"/>
        </w:rPr>
        <w:t xml:space="preserve">réquisitoire du </w:t>
      </w:r>
      <w:r w:rsidR="00183EFC">
        <w:rPr>
          <w:rStyle w:val="CorpsdetexteCarCar"/>
        </w:rPr>
        <w:t xml:space="preserve">9 janvier 2012 </w:t>
      </w:r>
      <w:r>
        <w:rPr>
          <w:rStyle w:val="CorpsdetexteCarCar"/>
        </w:rPr>
        <w:t>par lequel le ministère public a</w:t>
      </w:r>
      <w:r w:rsidR="00B8592C">
        <w:rPr>
          <w:rStyle w:val="CorpsdetexteCarCar"/>
        </w:rPr>
        <w:t xml:space="preserve"> </w:t>
      </w:r>
      <w:r>
        <w:rPr>
          <w:rStyle w:val="CorpsdetexteCarCar"/>
        </w:rPr>
        <w:t>saisi la C</w:t>
      </w:r>
      <w:r w:rsidR="00183EFC">
        <w:rPr>
          <w:rStyle w:val="CorpsdetexteCarCar"/>
        </w:rPr>
        <w:t>T</w:t>
      </w:r>
      <w:r>
        <w:rPr>
          <w:rStyle w:val="CorpsdetexteCarCar"/>
        </w:rPr>
        <w:t>C à fin d’instruction de présomptions de charges concernant notamment la gestion de M. </w:t>
      </w:r>
      <w:r w:rsidR="001F2293">
        <w:rPr>
          <w:rStyle w:val="CorpsdetexteCarCar"/>
        </w:rPr>
        <w:t>X</w:t>
      </w:r>
      <w:r w:rsidR="00B8592C">
        <w:rPr>
          <w:rStyle w:val="CorpsdetexteCarCar"/>
          <w:rFonts w:hint="eastAsia"/>
        </w:rPr>
        <w:t> </w:t>
      </w:r>
      <w:r>
        <w:rPr>
          <w:rStyle w:val="CorpsdetexteCarCar"/>
        </w:rPr>
        <w:t>;</w:t>
      </w:r>
    </w:p>
    <w:p w:rsidR="004964E3" w:rsidRDefault="00743DE8" w:rsidP="004964E3">
      <w:pPr>
        <w:pStyle w:val="PS"/>
        <w:tabs>
          <w:tab w:val="left" w:pos="1701"/>
        </w:tabs>
        <w:rPr>
          <w:rFonts w:ascii="Times New Roman" w:hAnsi="Times New Roman"/>
        </w:rPr>
      </w:pPr>
      <w:r>
        <w:rPr>
          <w:rFonts w:ascii="Times New Roman" w:hAnsi="Times New Roman"/>
        </w:rPr>
        <w:t>Vu les pièces obtenues par le rapporteur au cours d</w:t>
      </w:r>
      <w:r w:rsidRPr="00183EFC">
        <w:rPr>
          <w:rFonts w:ascii="Times New Roman" w:hAnsi="Times New Roman"/>
          <w:szCs w:val="24"/>
        </w:rPr>
        <w:t>e l’instruction ;</w:t>
      </w:r>
    </w:p>
    <w:p w:rsidR="004964E3" w:rsidRDefault="00B30F64" w:rsidP="004964E3">
      <w:pPr>
        <w:pStyle w:val="PS"/>
        <w:tabs>
          <w:tab w:val="left" w:pos="1701"/>
        </w:tabs>
        <w:rPr>
          <w:rFonts w:ascii="Times New Roman" w:hAnsi="Times New Roman"/>
        </w:rPr>
      </w:pPr>
      <w:r w:rsidRPr="00183EFC">
        <w:rPr>
          <w:rFonts w:ascii="Times New Roman" w:hAnsi="Times New Roman"/>
          <w:szCs w:val="24"/>
        </w:rPr>
        <w:lastRenderedPageBreak/>
        <w:t xml:space="preserve">Vu l’article 60 de la loi de finances </w:t>
      </w:r>
      <w:r w:rsidR="007B529F" w:rsidRPr="00183EFC">
        <w:rPr>
          <w:rFonts w:ascii="Times New Roman" w:hAnsi="Times New Roman"/>
          <w:szCs w:val="24"/>
        </w:rPr>
        <w:t>n° 63-156 du 23 février 1963 modifiée</w:t>
      </w:r>
      <w:r w:rsidR="00B8592C">
        <w:rPr>
          <w:rFonts w:ascii="Times New Roman" w:hAnsi="Times New Roman"/>
          <w:szCs w:val="24"/>
        </w:rPr>
        <w:t> </w:t>
      </w:r>
      <w:r w:rsidRPr="00183EFC">
        <w:rPr>
          <w:rFonts w:ascii="Times New Roman" w:hAnsi="Times New Roman"/>
          <w:szCs w:val="24"/>
        </w:rPr>
        <w:t>;</w:t>
      </w:r>
    </w:p>
    <w:p w:rsidR="00FD16B8" w:rsidRDefault="00B30F64" w:rsidP="00FD16B8">
      <w:pPr>
        <w:pStyle w:val="PS"/>
        <w:tabs>
          <w:tab w:val="left" w:pos="1701"/>
        </w:tabs>
        <w:rPr>
          <w:rFonts w:ascii="Times New Roman" w:hAnsi="Times New Roman"/>
        </w:rPr>
      </w:pPr>
      <w:r w:rsidRPr="00183EFC">
        <w:rPr>
          <w:rFonts w:ascii="Times New Roman" w:hAnsi="Times New Roman"/>
          <w:szCs w:val="24"/>
        </w:rPr>
        <w:t>Vu le décret n°</w:t>
      </w:r>
      <w:r w:rsidR="00B67570">
        <w:rPr>
          <w:rFonts w:ascii="Times New Roman" w:hAnsi="Times New Roman"/>
          <w:szCs w:val="24"/>
        </w:rPr>
        <w:t> </w:t>
      </w:r>
      <w:r w:rsidR="00183EFC" w:rsidRPr="00183EFC">
        <w:rPr>
          <w:rFonts w:ascii="Times New Roman" w:hAnsi="Times New Roman"/>
          <w:szCs w:val="24"/>
        </w:rPr>
        <w:t xml:space="preserve">92-163 du 20 février 1992 </w:t>
      </w:r>
      <w:r w:rsidR="00183EFC" w:rsidRPr="00B67570">
        <w:rPr>
          <w:rStyle w:val="Normal1"/>
          <w:rFonts w:ascii="Times New Roman" w:hAnsi="Times New Roman"/>
          <w:szCs w:val="24"/>
        </w:rPr>
        <w:t>relatif à l'application de la loi n° 90-1247 du 29 décembre 1990 portant suppression de la tutelle administrative et financière sur les communes de Nouvelle-Calédonie et dispositions diverses relatives à ce territoire et relatif au régime budgétaire et comptable applicable dans le territoire de la Nouvelle-Calédonie</w:t>
      </w:r>
      <w:r w:rsidR="00183EFC">
        <w:rPr>
          <w:rStyle w:val="Normal1"/>
          <w:rFonts w:ascii="Times New Roman" w:hAnsi="Times New Roman"/>
          <w:color w:val="000000"/>
          <w:szCs w:val="24"/>
        </w:rPr>
        <w:t xml:space="preserve"> </w:t>
      </w:r>
      <w:r w:rsidRPr="00183EFC">
        <w:rPr>
          <w:rFonts w:ascii="Times New Roman" w:hAnsi="Times New Roman"/>
          <w:szCs w:val="24"/>
        </w:rPr>
        <w:t>;</w:t>
      </w:r>
    </w:p>
    <w:p w:rsidR="00FD16B8" w:rsidRDefault="00671DB5" w:rsidP="00FD16B8">
      <w:pPr>
        <w:pStyle w:val="PS"/>
        <w:tabs>
          <w:tab w:val="left" w:pos="1701"/>
        </w:tabs>
        <w:rPr>
          <w:rFonts w:ascii="Times New Roman" w:hAnsi="Times New Roman"/>
        </w:rPr>
      </w:pPr>
      <w:r w:rsidRPr="00183EFC">
        <w:rPr>
          <w:rFonts w:ascii="Times New Roman" w:hAnsi="Times New Roman"/>
          <w:szCs w:val="24"/>
        </w:rPr>
        <w:t>Vu le code des juridictions financières ;</w:t>
      </w:r>
    </w:p>
    <w:p w:rsidR="00FD16B8" w:rsidRDefault="00497A94" w:rsidP="00FD16B8">
      <w:pPr>
        <w:pStyle w:val="PS"/>
        <w:tabs>
          <w:tab w:val="left" w:pos="1701"/>
        </w:tabs>
        <w:rPr>
          <w:rFonts w:ascii="Times New Roman" w:hAnsi="Times New Roman"/>
        </w:rPr>
      </w:pPr>
      <w:r>
        <w:rPr>
          <w:rFonts w:ascii="Times New Roman" w:hAnsi="Times New Roman"/>
        </w:rPr>
        <w:t>Vu</w:t>
      </w:r>
      <w:r w:rsidR="003201CD" w:rsidRPr="00056E94">
        <w:rPr>
          <w:rFonts w:ascii="Times New Roman" w:hAnsi="Times New Roman"/>
        </w:rPr>
        <w:t xml:space="preserve"> le rapport de M.</w:t>
      </w:r>
      <w:r w:rsidR="000E01C4">
        <w:rPr>
          <w:rFonts w:ascii="Times New Roman" w:hAnsi="Times New Roman"/>
        </w:rPr>
        <w:t> </w:t>
      </w:r>
      <w:r w:rsidR="00BF2546">
        <w:rPr>
          <w:rFonts w:ascii="Times New Roman" w:hAnsi="Times New Roman"/>
        </w:rPr>
        <w:t xml:space="preserve">Philippe </w:t>
      </w:r>
      <w:r w:rsidR="0081356E">
        <w:rPr>
          <w:rFonts w:ascii="Times New Roman" w:hAnsi="Times New Roman"/>
        </w:rPr>
        <w:t>G</w:t>
      </w:r>
      <w:r w:rsidR="00414099">
        <w:rPr>
          <w:rFonts w:ascii="Times New Roman" w:hAnsi="Times New Roman"/>
        </w:rPr>
        <w:t>eoffroy</w:t>
      </w:r>
      <w:r w:rsidR="00180E4F">
        <w:rPr>
          <w:rFonts w:ascii="Times New Roman" w:hAnsi="Times New Roman"/>
        </w:rPr>
        <w:t xml:space="preserve">, </w:t>
      </w:r>
      <w:r w:rsidR="0081356E">
        <w:rPr>
          <w:rFonts w:ascii="Times New Roman" w:hAnsi="Times New Roman"/>
        </w:rPr>
        <w:t xml:space="preserve">conseiller maître </w:t>
      </w:r>
      <w:r w:rsidR="0039572C" w:rsidRPr="00056E94">
        <w:rPr>
          <w:rFonts w:ascii="Times New Roman" w:hAnsi="Times New Roman"/>
        </w:rPr>
        <w:t>;</w:t>
      </w:r>
    </w:p>
    <w:p w:rsidR="00FD16B8" w:rsidRDefault="0039572C" w:rsidP="00FD16B8">
      <w:pPr>
        <w:pStyle w:val="PS"/>
        <w:tabs>
          <w:tab w:val="left" w:pos="1701"/>
        </w:tabs>
        <w:rPr>
          <w:rFonts w:ascii="Times New Roman" w:hAnsi="Times New Roman"/>
        </w:rPr>
      </w:pPr>
      <w:r w:rsidRPr="00056E94">
        <w:rPr>
          <w:rFonts w:ascii="Times New Roman" w:hAnsi="Times New Roman"/>
        </w:rPr>
        <w:t>Vu les conclusions du Procureur général</w:t>
      </w:r>
      <w:r w:rsidR="007F2422">
        <w:rPr>
          <w:rFonts w:ascii="Times New Roman" w:hAnsi="Times New Roman"/>
        </w:rPr>
        <w:t xml:space="preserve"> </w:t>
      </w:r>
      <w:r w:rsidR="00FD16B8">
        <w:rPr>
          <w:rFonts w:ascii="Times New Roman" w:hAnsi="Times New Roman"/>
        </w:rPr>
        <w:t>n°</w:t>
      </w:r>
      <w:r w:rsidR="00B67570">
        <w:rPr>
          <w:rFonts w:ascii="Times New Roman" w:hAnsi="Times New Roman"/>
        </w:rPr>
        <w:t> </w:t>
      </w:r>
      <w:r w:rsidR="00FD16B8">
        <w:rPr>
          <w:rFonts w:ascii="Times New Roman" w:hAnsi="Times New Roman"/>
        </w:rPr>
        <w:t xml:space="preserve">525 du 15 juillet 2013 </w:t>
      </w:r>
      <w:r w:rsidRPr="00056E94">
        <w:rPr>
          <w:rFonts w:ascii="Times New Roman" w:hAnsi="Times New Roman"/>
        </w:rPr>
        <w:t>;</w:t>
      </w:r>
    </w:p>
    <w:p w:rsidR="00A745B4" w:rsidRDefault="0039572C" w:rsidP="00A745B4">
      <w:pPr>
        <w:pStyle w:val="PS"/>
        <w:tabs>
          <w:tab w:val="left" w:pos="1701"/>
        </w:tabs>
        <w:rPr>
          <w:rFonts w:ascii="Times New Roman" w:hAnsi="Times New Roman"/>
        </w:rPr>
      </w:pPr>
      <w:r w:rsidRPr="00056E94">
        <w:rPr>
          <w:rFonts w:ascii="Times New Roman" w:hAnsi="Times New Roman"/>
        </w:rPr>
        <w:t xml:space="preserve">Entendu, lors de l’audience publique de ce jour, </w:t>
      </w:r>
      <w:r w:rsidR="00497A94">
        <w:rPr>
          <w:rFonts w:ascii="Times New Roman" w:hAnsi="Times New Roman"/>
        </w:rPr>
        <w:t>M.</w:t>
      </w:r>
      <w:r w:rsidR="00B67570">
        <w:rPr>
          <w:rFonts w:ascii="Times New Roman" w:hAnsi="Times New Roman"/>
        </w:rPr>
        <w:t> </w:t>
      </w:r>
      <w:r w:rsidR="00BF2546">
        <w:rPr>
          <w:rFonts w:ascii="Times New Roman" w:hAnsi="Times New Roman"/>
        </w:rPr>
        <w:t>Philippe</w:t>
      </w:r>
      <w:r w:rsidR="000E01C4">
        <w:rPr>
          <w:rFonts w:ascii="Times New Roman" w:hAnsi="Times New Roman"/>
        </w:rPr>
        <w:t> </w:t>
      </w:r>
      <w:r w:rsidR="0081356E">
        <w:rPr>
          <w:rFonts w:ascii="Times New Roman" w:hAnsi="Times New Roman"/>
        </w:rPr>
        <w:t>G</w:t>
      </w:r>
      <w:r w:rsidR="00414099">
        <w:rPr>
          <w:rFonts w:ascii="Times New Roman" w:hAnsi="Times New Roman"/>
        </w:rPr>
        <w:t>eoffroy</w:t>
      </w:r>
      <w:r w:rsidR="00497A94">
        <w:rPr>
          <w:rFonts w:ascii="Times New Roman" w:hAnsi="Times New Roman"/>
        </w:rPr>
        <w:t>,</w:t>
      </w:r>
      <w:r w:rsidRPr="00056E94">
        <w:rPr>
          <w:rFonts w:ascii="Times New Roman" w:hAnsi="Times New Roman"/>
        </w:rPr>
        <w:t xml:space="preserve"> rappo</w:t>
      </w:r>
      <w:r w:rsidR="003201CD" w:rsidRPr="00056E94">
        <w:rPr>
          <w:rFonts w:ascii="Times New Roman" w:hAnsi="Times New Roman"/>
        </w:rPr>
        <w:t>rteur</w:t>
      </w:r>
      <w:r w:rsidR="006E020C">
        <w:rPr>
          <w:rFonts w:ascii="Times New Roman" w:hAnsi="Times New Roman"/>
        </w:rPr>
        <w:t>,</w:t>
      </w:r>
      <w:r w:rsidR="003201CD" w:rsidRPr="00056E94">
        <w:rPr>
          <w:rFonts w:ascii="Times New Roman" w:hAnsi="Times New Roman"/>
        </w:rPr>
        <w:t xml:space="preserve"> </w:t>
      </w:r>
      <w:r w:rsidR="00671DB5">
        <w:rPr>
          <w:rFonts w:ascii="Times New Roman" w:hAnsi="Times New Roman"/>
        </w:rPr>
        <w:t>en</w:t>
      </w:r>
      <w:r w:rsidR="003201CD" w:rsidRPr="00056E94">
        <w:rPr>
          <w:rFonts w:ascii="Times New Roman" w:hAnsi="Times New Roman"/>
        </w:rPr>
        <w:t xml:space="preserve"> son </w:t>
      </w:r>
      <w:r w:rsidR="00671DB5">
        <w:rPr>
          <w:rFonts w:ascii="Times New Roman" w:hAnsi="Times New Roman"/>
        </w:rPr>
        <w:t>rapport</w:t>
      </w:r>
      <w:r w:rsidR="003201CD" w:rsidRPr="00056E94">
        <w:rPr>
          <w:rFonts w:ascii="Times New Roman" w:hAnsi="Times New Roman"/>
        </w:rPr>
        <w:t>, M.</w:t>
      </w:r>
      <w:r w:rsidR="00B67570">
        <w:rPr>
          <w:rFonts w:ascii="Times New Roman" w:hAnsi="Times New Roman"/>
        </w:rPr>
        <w:t> </w:t>
      </w:r>
      <w:r w:rsidR="00FD16B8">
        <w:rPr>
          <w:rFonts w:ascii="Times New Roman" w:hAnsi="Times New Roman"/>
        </w:rPr>
        <w:t>Christian Michaut</w:t>
      </w:r>
      <w:r w:rsidRPr="00056E94">
        <w:rPr>
          <w:rFonts w:ascii="Times New Roman" w:hAnsi="Times New Roman"/>
        </w:rPr>
        <w:t xml:space="preserve">, </w:t>
      </w:r>
      <w:r w:rsidR="00FD16B8">
        <w:rPr>
          <w:rFonts w:ascii="Times New Roman" w:hAnsi="Times New Roman"/>
        </w:rPr>
        <w:t>avocat général, en l</w:t>
      </w:r>
      <w:r w:rsidRPr="00056E94">
        <w:rPr>
          <w:rFonts w:ascii="Times New Roman" w:hAnsi="Times New Roman"/>
        </w:rPr>
        <w:t>es conclusions</w:t>
      </w:r>
      <w:r w:rsidR="00FD16B8">
        <w:rPr>
          <w:rFonts w:ascii="Times New Roman" w:hAnsi="Times New Roman"/>
        </w:rPr>
        <w:t xml:space="preserve"> du ministère public</w:t>
      </w:r>
      <w:r w:rsidRPr="00056E94">
        <w:rPr>
          <w:rFonts w:ascii="Times New Roman" w:hAnsi="Times New Roman"/>
        </w:rPr>
        <w:t>, l’appelant, informé de l’audience,</w:t>
      </w:r>
      <w:r w:rsidR="00180E4F">
        <w:rPr>
          <w:rFonts w:ascii="Times New Roman" w:hAnsi="Times New Roman"/>
        </w:rPr>
        <w:t xml:space="preserve"> </w:t>
      </w:r>
      <w:r w:rsidRPr="00FD16B8">
        <w:rPr>
          <w:rFonts w:ascii="Times New Roman" w:hAnsi="Times New Roman"/>
        </w:rPr>
        <w:t>n’étant</w:t>
      </w:r>
      <w:r w:rsidR="00FD16B8" w:rsidRPr="00FD16B8">
        <w:rPr>
          <w:rFonts w:ascii="Times New Roman" w:hAnsi="Times New Roman"/>
        </w:rPr>
        <w:t xml:space="preserve"> ni</w:t>
      </w:r>
      <w:r w:rsidRPr="00FD16B8">
        <w:rPr>
          <w:rFonts w:ascii="Times New Roman" w:hAnsi="Times New Roman"/>
        </w:rPr>
        <w:t xml:space="preserve"> présent</w:t>
      </w:r>
      <w:r w:rsidR="00180E4F" w:rsidRPr="00FD16B8">
        <w:rPr>
          <w:rFonts w:ascii="Times New Roman" w:hAnsi="Times New Roman"/>
        </w:rPr>
        <w:t xml:space="preserve"> </w:t>
      </w:r>
      <w:r w:rsidR="00FD16B8" w:rsidRPr="00FD16B8">
        <w:rPr>
          <w:rFonts w:ascii="Times New Roman" w:hAnsi="Times New Roman"/>
        </w:rPr>
        <w:t>ni représenté</w:t>
      </w:r>
      <w:r w:rsidRPr="00FD16B8">
        <w:rPr>
          <w:rFonts w:ascii="Times New Roman" w:hAnsi="Times New Roman"/>
        </w:rPr>
        <w:t> ;</w:t>
      </w:r>
    </w:p>
    <w:p w:rsidR="00A745B4" w:rsidRDefault="00FF6674" w:rsidP="00A745B4">
      <w:pPr>
        <w:pStyle w:val="PS"/>
        <w:tabs>
          <w:tab w:val="left" w:pos="1701"/>
        </w:tabs>
        <w:rPr>
          <w:rFonts w:ascii="Times New Roman" w:hAnsi="Times New Roman"/>
        </w:rPr>
      </w:pPr>
      <w:r w:rsidRPr="00056E94">
        <w:rPr>
          <w:rFonts w:ascii="Times New Roman" w:hAnsi="Times New Roman"/>
        </w:rPr>
        <w:t xml:space="preserve">Entendu, </w:t>
      </w:r>
      <w:r w:rsidR="00671DB5">
        <w:rPr>
          <w:rFonts w:ascii="Times New Roman" w:hAnsi="Times New Roman"/>
        </w:rPr>
        <w:t>en délibéré</w:t>
      </w:r>
      <w:r w:rsidRPr="00056E94">
        <w:rPr>
          <w:rFonts w:ascii="Times New Roman" w:hAnsi="Times New Roman"/>
        </w:rPr>
        <w:t>, M.</w:t>
      </w:r>
      <w:r w:rsidR="00B67570">
        <w:rPr>
          <w:rFonts w:ascii="Times New Roman" w:hAnsi="Times New Roman"/>
        </w:rPr>
        <w:t> </w:t>
      </w:r>
      <w:r w:rsidR="00A745B4">
        <w:rPr>
          <w:rFonts w:ascii="Times New Roman" w:hAnsi="Times New Roman"/>
        </w:rPr>
        <w:t>Roch-Olivier Maistre</w:t>
      </w:r>
      <w:r w:rsidR="00180E4F">
        <w:rPr>
          <w:rFonts w:ascii="Times New Roman" w:hAnsi="Times New Roman"/>
        </w:rPr>
        <w:t xml:space="preserve">, </w:t>
      </w:r>
      <w:r w:rsidR="0081356E">
        <w:rPr>
          <w:rFonts w:ascii="Times New Roman" w:hAnsi="Times New Roman"/>
        </w:rPr>
        <w:t>conseiller maître</w:t>
      </w:r>
      <w:r w:rsidR="006E020C">
        <w:rPr>
          <w:rFonts w:ascii="Times New Roman" w:hAnsi="Times New Roman"/>
        </w:rPr>
        <w:t xml:space="preserve">, </w:t>
      </w:r>
      <w:r w:rsidRPr="00056E94">
        <w:rPr>
          <w:rFonts w:ascii="Times New Roman" w:hAnsi="Times New Roman"/>
        </w:rPr>
        <w:t>en ses observations ;</w:t>
      </w:r>
    </w:p>
    <w:p w:rsidR="00A745B4" w:rsidRDefault="005F30FD" w:rsidP="00A745B4">
      <w:pPr>
        <w:pStyle w:val="PS"/>
        <w:tabs>
          <w:tab w:val="left" w:pos="1701"/>
        </w:tabs>
        <w:rPr>
          <w:rFonts w:ascii="Times New Roman" w:hAnsi="Times New Roman"/>
        </w:rPr>
      </w:pPr>
      <w:r w:rsidRPr="0068514B">
        <w:t>Attendu</w:t>
      </w:r>
      <w:r>
        <w:t xml:space="preserve"> que</w:t>
      </w:r>
      <w:r w:rsidR="00414099">
        <w:t>, par le jugement entrepris,</w:t>
      </w:r>
      <w:r>
        <w:t xml:space="preserve"> la </w:t>
      </w:r>
      <w:r w:rsidR="00743DE8">
        <w:t>C</w:t>
      </w:r>
      <w:r w:rsidR="0085010B">
        <w:t>T</w:t>
      </w:r>
      <w:r w:rsidR="00743DE8">
        <w:t xml:space="preserve">C </w:t>
      </w:r>
      <w:r>
        <w:t xml:space="preserve">a relevé que </w:t>
      </w:r>
      <w:r w:rsidR="00743DE8">
        <w:t>M.</w:t>
      </w:r>
      <w:r w:rsidR="00B67570">
        <w:rPr>
          <w:rFonts w:hint="eastAsia"/>
        </w:rPr>
        <w:t> </w:t>
      </w:r>
      <w:r w:rsidR="001F2293">
        <w:t>X</w:t>
      </w:r>
      <w:r w:rsidR="00183EFC">
        <w:t xml:space="preserve"> </w:t>
      </w:r>
      <w:r w:rsidR="00743DE8">
        <w:t>a</w:t>
      </w:r>
      <w:r w:rsidR="00701616">
        <w:t>vait</w:t>
      </w:r>
      <w:r w:rsidR="00183EFC">
        <w:t xml:space="preserve">, en l’absence de diligences, laissé prescrire sous sa gestion une créance de 108 800 </w:t>
      </w:r>
      <w:r w:rsidR="00E004B5">
        <w:t>F</w:t>
      </w:r>
      <w:r w:rsidR="00183EFC">
        <w:t xml:space="preserve"> CFP détenue par la commune de </w:t>
      </w:r>
      <w:r w:rsidR="00A745B4">
        <w:t>P</w:t>
      </w:r>
      <w:r w:rsidR="00B67570">
        <w:t>aïta</w:t>
      </w:r>
      <w:r w:rsidR="00183EFC">
        <w:t xml:space="preserve"> sur la Province Sud, cette somme</w:t>
      </w:r>
      <w:r w:rsidR="0085010B">
        <w:t xml:space="preserve"> </w:t>
      </w:r>
      <w:r w:rsidR="00183EFC">
        <w:t>figurant à l’état des restes à recouvrer au 31</w:t>
      </w:r>
      <w:r w:rsidR="00B8592C">
        <w:t xml:space="preserve"> </w:t>
      </w:r>
      <w:r w:rsidR="00183EFC">
        <w:t>décembre</w:t>
      </w:r>
      <w:r w:rsidR="00B8592C">
        <w:t xml:space="preserve"> </w:t>
      </w:r>
      <w:r w:rsidR="00183EFC">
        <w:t>2009</w:t>
      </w:r>
      <w:r w:rsidR="0085010B">
        <w:t xml:space="preserve"> </w:t>
      </w:r>
      <w:r w:rsidR="00E004B5">
        <w:t xml:space="preserve">pour le </w:t>
      </w:r>
      <w:r w:rsidR="0085010B">
        <w:t>titre n°</w:t>
      </w:r>
      <w:r w:rsidR="00B67570">
        <w:rPr>
          <w:rFonts w:hint="eastAsia"/>
        </w:rPr>
        <w:t> </w:t>
      </w:r>
      <w:r w:rsidR="0085010B">
        <w:t>31</w:t>
      </w:r>
      <w:r w:rsidR="00E004B5">
        <w:t xml:space="preserve">, </w:t>
      </w:r>
      <w:r w:rsidR="0085010B">
        <w:t>émis le 27 février 2002 pour un montant de 468</w:t>
      </w:r>
      <w:r w:rsidR="00B8592C">
        <w:t> </w:t>
      </w:r>
      <w:r w:rsidR="0085010B">
        <w:t>300</w:t>
      </w:r>
      <w:r w:rsidR="00B8592C">
        <w:rPr>
          <w:rFonts w:hint="eastAsia"/>
        </w:rPr>
        <w:t> </w:t>
      </w:r>
      <w:r w:rsidR="0085010B">
        <w:t>F CFP</w:t>
      </w:r>
      <w:r w:rsidR="00B8592C">
        <w:rPr>
          <w:rFonts w:hint="eastAsia"/>
        </w:rPr>
        <w:t> </w:t>
      </w:r>
      <w:r w:rsidR="00701616">
        <w:t>;</w:t>
      </w:r>
    </w:p>
    <w:p w:rsidR="00A745B4" w:rsidRDefault="0085010B" w:rsidP="00A745B4">
      <w:pPr>
        <w:pStyle w:val="PS"/>
        <w:tabs>
          <w:tab w:val="left" w:pos="1701"/>
        </w:tabs>
        <w:rPr>
          <w:rFonts w:ascii="Times New Roman" w:hAnsi="Times New Roman"/>
        </w:rPr>
      </w:pPr>
      <w:r>
        <w:t>Attendu que M.</w:t>
      </w:r>
      <w:r w:rsidR="00B67570">
        <w:rPr>
          <w:rFonts w:hint="eastAsia"/>
        </w:rPr>
        <w:t> </w:t>
      </w:r>
      <w:r w:rsidR="001F2293">
        <w:t>X</w:t>
      </w:r>
      <w:r>
        <w:t xml:space="preserve"> f</w:t>
      </w:r>
      <w:r w:rsidR="00E004B5">
        <w:t>a</w:t>
      </w:r>
      <w:r>
        <w:t xml:space="preserve">it </w:t>
      </w:r>
      <w:r w:rsidR="00E004B5">
        <w:t xml:space="preserve">notamment </w:t>
      </w:r>
      <w:r>
        <w:t>valoir que les créances correspondantes auraient déjà été recouvrées, puis régularisées par l’émission du titre n°</w:t>
      </w:r>
      <w:r w:rsidR="0025629F">
        <w:rPr>
          <w:rFonts w:hint="eastAsia"/>
        </w:rPr>
        <w:t> </w:t>
      </w:r>
      <w:r>
        <w:t>128 du 1</w:t>
      </w:r>
      <w:r w:rsidRPr="0085010B">
        <w:rPr>
          <w:vertAlign w:val="superscript"/>
        </w:rPr>
        <w:t>er</w:t>
      </w:r>
      <w:r w:rsidR="0025629F">
        <w:rPr>
          <w:rFonts w:hint="eastAsia"/>
          <w:vertAlign w:val="superscript"/>
        </w:rPr>
        <w:t> </w:t>
      </w:r>
      <w:r>
        <w:t>juillet</w:t>
      </w:r>
      <w:r w:rsidR="0025629F">
        <w:rPr>
          <w:rFonts w:hint="eastAsia"/>
        </w:rPr>
        <w:t> </w:t>
      </w:r>
      <w:r>
        <w:t xml:space="preserve">2002 ; qu’il indique que le titre litigieux a fait l’objet d’une annulation à due concurrence par mandat </w:t>
      </w:r>
      <w:r w:rsidR="00B67570">
        <w:br/>
      </w:r>
      <w:r>
        <w:t>n°</w:t>
      </w:r>
      <w:r w:rsidR="00B67570">
        <w:rPr>
          <w:rFonts w:hint="eastAsia"/>
        </w:rPr>
        <w:t> </w:t>
      </w:r>
      <w:r>
        <w:t>4518 du 22 novembre 2012 ;</w:t>
      </w:r>
    </w:p>
    <w:p w:rsidR="00A745B4" w:rsidRDefault="0085010B" w:rsidP="00A745B4">
      <w:pPr>
        <w:pStyle w:val="PS"/>
        <w:tabs>
          <w:tab w:val="left" w:pos="1701"/>
        </w:tabs>
        <w:rPr>
          <w:rFonts w:ascii="Times New Roman" w:hAnsi="Times New Roman"/>
        </w:rPr>
      </w:pPr>
      <w:r>
        <w:t>Considérant que la prise en charge d’un titre par le comptable présume de l’existence de la créance ; qu’en cas de titre non soldé, il revient au comptable mis en cause d’apporter la preuve que la créance n’avait pas à être recouvrée ; qu’en particulier l’annulation par l’ordonnateur d’un titre non recouvré ne décharge le comptable de sa responsabilité que si elle se fonde sur des pièces attestant de l’inexistence de la créance associée au</w:t>
      </w:r>
      <w:r w:rsidR="00B8592C">
        <w:t xml:space="preserve"> </w:t>
      </w:r>
      <w:r>
        <w:t>titre ;</w:t>
      </w:r>
    </w:p>
    <w:p w:rsidR="00A745B4" w:rsidRDefault="0085010B" w:rsidP="00A745B4">
      <w:pPr>
        <w:pStyle w:val="PS"/>
        <w:tabs>
          <w:tab w:val="left" w:pos="1701"/>
        </w:tabs>
        <w:rPr>
          <w:rFonts w:ascii="Times New Roman" w:hAnsi="Times New Roman"/>
        </w:rPr>
      </w:pPr>
      <w:r>
        <w:lastRenderedPageBreak/>
        <w:t>Attendu qu’il ressort d</w:t>
      </w:r>
      <w:r w:rsidR="002D6F65">
        <w:t>es pièces du</w:t>
      </w:r>
      <w:r>
        <w:t xml:space="preserve"> dossier</w:t>
      </w:r>
      <w:r w:rsidR="008107C0">
        <w:t>, s’</w:t>
      </w:r>
      <w:r w:rsidR="00A745B4">
        <w:t>agissant des titres n</w:t>
      </w:r>
      <w:r w:rsidR="00857107" w:rsidRPr="00857107">
        <w:rPr>
          <w:vertAlign w:val="superscript"/>
        </w:rPr>
        <w:t xml:space="preserve">os </w:t>
      </w:r>
      <w:r w:rsidR="00B67570">
        <w:rPr>
          <w:rFonts w:hint="eastAsia"/>
        </w:rPr>
        <w:t> </w:t>
      </w:r>
      <w:r w:rsidR="00A745B4">
        <w:t xml:space="preserve">31 et </w:t>
      </w:r>
      <w:r w:rsidR="002D6F65">
        <w:t xml:space="preserve">128, </w:t>
      </w:r>
      <w:r>
        <w:t xml:space="preserve">que la nature de la dépense </w:t>
      </w:r>
      <w:r w:rsidR="00E004B5">
        <w:t>et le débiteur</w:t>
      </w:r>
      <w:r w:rsidR="002D6F65">
        <w:t xml:space="preserve"> sont identiques ; que si </w:t>
      </w:r>
      <w:r>
        <w:t>le titre n° 31 s’établit à 108</w:t>
      </w:r>
      <w:r w:rsidR="0025629F">
        <w:t> </w:t>
      </w:r>
      <w:r>
        <w:t>800</w:t>
      </w:r>
      <w:r w:rsidR="0025629F">
        <w:rPr>
          <w:rFonts w:hint="eastAsia"/>
        </w:rPr>
        <w:t> </w:t>
      </w:r>
      <w:r>
        <w:t>F</w:t>
      </w:r>
      <w:r w:rsidR="002D6F65">
        <w:t xml:space="preserve"> </w:t>
      </w:r>
      <w:r w:rsidR="00E004B5">
        <w:t xml:space="preserve">CFP </w:t>
      </w:r>
      <w:r w:rsidR="002D6F65">
        <w:t>de reste à recouvrer et le ti</w:t>
      </w:r>
      <w:r w:rsidR="00E004B5">
        <w:t>t</w:t>
      </w:r>
      <w:r w:rsidR="002D6F65">
        <w:t>re</w:t>
      </w:r>
      <w:r w:rsidR="00DB1F5E">
        <w:t xml:space="preserve"> </w:t>
      </w:r>
      <w:r w:rsidR="002D6F65">
        <w:t>n°</w:t>
      </w:r>
      <w:r w:rsidR="00B67570">
        <w:rPr>
          <w:rFonts w:hint="eastAsia"/>
        </w:rPr>
        <w:t> </w:t>
      </w:r>
      <w:r w:rsidR="002D6F65">
        <w:t>128 à 105</w:t>
      </w:r>
      <w:r w:rsidR="00361E67">
        <w:t> </w:t>
      </w:r>
      <w:r w:rsidR="002D6F65">
        <w:t>600</w:t>
      </w:r>
      <w:r w:rsidR="00361E67">
        <w:rPr>
          <w:rFonts w:hint="eastAsia"/>
        </w:rPr>
        <w:t> </w:t>
      </w:r>
      <w:r w:rsidR="002D6F65">
        <w:t>F</w:t>
      </w:r>
      <w:r w:rsidR="00E004B5">
        <w:t xml:space="preserve"> CFP</w:t>
      </w:r>
      <w:r w:rsidR="002D6F65">
        <w:t>, une édition informatique présentant des sécurités suffisantes détaille le montant de 108</w:t>
      </w:r>
      <w:r w:rsidR="00361E67">
        <w:t> </w:t>
      </w:r>
      <w:r w:rsidR="002D6F65">
        <w:t>800</w:t>
      </w:r>
      <w:r w:rsidR="00361E67">
        <w:rPr>
          <w:rFonts w:hint="eastAsia"/>
        </w:rPr>
        <w:t> </w:t>
      </w:r>
      <w:r w:rsidR="002D6F65">
        <w:t xml:space="preserve">F </w:t>
      </w:r>
      <w:r w:rsidR="00E004B5">
        <w:t xml:space="preserve">CFP </w:t>
      </w:r>
      <w:r w:rsidR="002D6F65">
        <w:t>restant à recouvrer au 31</w:t>
      </w:r>
      <w:r w:rsidR="00B8592C">
        <w:t xml:space="preserve"> d</w:t>
      </w:r>
      <w:r w:rsidR="002D6F65">
        <w:t>écembre</w:t>
      </w:r>
      <w:r w:rsidR="00B8592C">
        <w:t xml:space="preserve"> </w:t>
      </w:r>
      <w:r w:rsidR="002D6F65">
        <w:t xml:space="preserve">2003 comme étant la somme d’un </w:t>
      </w:r>
      <w:r>
        <w:t>principal de 105 600 F</w:t>
      </w:r>
      <w:r w:rsidR="002D6F65">
        <w:t xml:space="preserve"> </w:t>
      </w:r>
      <w:r w:rsidR="00E004B5">
        <w:t xml:space="preserve">CFP </w:t>
      </w:r>
      <w:r w:rsidR="002D6F65">
        <w:t xml:space="preserve">et </w:t>
      </w:r>
      <w:r>
        <w:t>de frais de commandement de payer de 3</w:t>
      </w:r>
      <w:r w:rsidR="00361E67">
        <w:t> </w:t>
      </w:r>
      <w:r>
        <w:t>200</w:t>
      </w:r>
      <w:r w:rsidR="00361E67">
        <w:rPr>
          <w:rFonts w:hint="eastAsia"/>
        </w:rPr>
        <w:t> </w:t>
      </w:r>
      <w:r>
        <w:t>F</w:t>
      </w:r>
      <w:r w:rsidR="002D6F65">
        <w:t> </w:t>
      </w:r>
      <w:r w:rsidR="00E004B5">
        <w:t>CFP</w:t>
      </w:r>
      <w:r w:rsidR="00B8592C">
        <w:rPr>
          <w:rFonts w:hint="eastAsia"/>
        </w:rPr>
        <w:t> </w:t>
      </w:r>
      <w:r w:rsidR="002D6F65">
        <w:t xml:space="preserve">; que le comptable produit </w:t>
      </w:r>
      <w:r w:rsidR="00A745B4">
        <w:t xml:space="preserve">à l’appui de sa requête </w:t>
      </w:r>
      <w:r w:rsidR="002D6F65">
        <w:t>un état d’encaissement de sommes reçues avant émission de titres, en date du 31</w:t>
      </w:r>
      <w:r w:rsidR="00B8592C">
        <w:t xml:space="preserve"> </w:t>
      </w:r>
      <w:r w:rsidR="002D6F65">
        <w:t>mai</w:t>
      </w:r>
      <w:r w:rsidR="00B8592C">
        <w:t xml:space="preserve"> </w:t>
      </w:r>
      <w:r w:rsidR="002D6F65">
        <w:t xml:space="preserve">2002, </w:t>
      </w:r>
      <w:r w:rsidR="00E004B5">
        <w:t xml:space="preserve">faisant état </w:t>
      </w:r>
      <w:r w:rsidR="002D6F65">
        <w:t>du recouvrement d’une somme de 10</w:t>
      </w:r>
      <w:r w:rsidR="00B86543">
        <w:t>5</w:t>
      </w:r>
      <w:r w:rsidR="002D6F65">
        <w:t> </w:t>
      </w:r>
      <w:r w:rsidR="00B86543">
        <w:t>6</w:t>
      </w:r>
      <w:r w:rsidR="002D6F65">
        <w:t>00 F </w:t>
      </w:r>
      <w:r w:rsidR="00E004B5">
        <w:t>CFP</w:t>
      </w:r>
      <w:r w:rsidR="00B8592C">
        <w:t> ;</w:t>
      </w:r>
    </w:p>
    <w:p w:rsidR="00A745B4" w:rsidRDefault="002D6F65" w:rsidP="00A745B4">
      <w:pPr>
        <w:pStyle w:val="PS"/>
        <w:tabs>
          <w:tab w:val="left" w:pos="1701"/>
        </w:tabs>
        <w:rPr>
          <w:rFonts w:ascii="Times New Roman" w:hAnsi="Times New Roman"/>
        </w:rPr>
      </w:pPr>
      <w:r>
        <w:t>Considérant q</w:t>
      </w:r>
      <w:r w:rsidR="000128BD">
        <w:t>u’</w:t>
      </w:r>
      <w:r w:rsidR="00A745B4">
        <w:t>il résulte des éléments rappelés ci-dessus que</w:t>
      </w:r>
      <w:r w:rsidR="000128BD">
        <w:t xml:space="preserve"> le comptable a apporté </w:t>
      </w:r>
      <w:r w:rsidR="00E247C5">
        <w:t xml:space="preserve">en appel </w:t>
      </w:r>
      <w:r w:rsidR="000128BD">
        <w:t xml:space="preserve">la preuve </w:t>
      </w:r>
      <w:r>
        <w:t xml:space="preserve">à la fois du caractère doublonnant du titrage et du recouvrement du principal </w:t>
      </w:r>
      <w:r w:rsidR="00746810">
        <w:t>de 105</w:t>
      </w:r>
      <w:r w:rsidR="00B67570">
        <w:t> </w:t>
      </w:r>
      <w:r w:rsidR="00746810">
        <w:t>600</w:t>
      </w:r>
      <w:r w:rsidR="00B67570">
        <w:rPr>
          <w:rFonts w:hint="eastAsia"/>
        </w:rPr>
        <w:t> </w:t>
      </w:r>
      <w:r w:rsidR="00746810">
        <w:t>F</w:t>
      </w:r>
      <w:r w:rsidR="006C6A05">
        <w:t>.</w:t>
      </w:r>
      <w:r w:rsidR="00361E67">
        <w:rPr>
          <w:rFonts w:hint="eastAsia"/>
        </w:rPr>
        <w:t> </w:t>
      </w:r>
      <w:r w:rsidR="006C6A05">
        <w:t>CFP</w:t>
      </w:r>
      <w:r w:rsidR="00B8592C">
        <w:rPr>
          <w:rFonts w:hint="eastAsia"/>
        </w:rPr>
        <w:t> </w:t>
      </w:r>
      <w:r w:rsidR="000128BD">
        <w:t>;</w:t>
      </w:r>
      <w:r w:rsidR="00D87AB7">
        <w:t xml:space="preserve"> </w:t>
      </w:r>
      <w:r w:rsidR="006C6A05">
        <w:t>qu’en conséquence il n’y a pas lieu de constituer l’intéressé débiteur de la commune de P</w:t>
      </w:r>
      <w:r w:rsidR="00B67570">
        <w:t>aïta</w:t>
      </w:r>
      <w:r w:rsidR="00B8592C">
        <w:t xml:space="preserve"> </w:t>
      </w:r>
      <w:r w:rsidR="006C6A05">
        <w:t>et que le jugement contesté doit être infirmé</w:t>
      </w:r>
      <w:r w:rsidR="00B8592C">
        <w:t> ;</w:t>
      </w:r>
    </w:p>
    <w:p w:rsidR="00746810" w:rsidRPr="00A745B4" w:rsidRDefault="00746810" w:rsidP="00A745B4">
      <w:pPr>
        <w:pStyle w:val="PS"/>
        <w:tabs>
          <w:tab w:val="left" w:pos="1701"/>
        </w:tabs>
        <w:rPr>
          <w:rFonts w:ascii="Times New Roman" w:hAnsi="Times New Roman"/>
        </w:rPr>
      </w:pPr>
      <w:r>
        <w:t xml:space="preserve">Considérant </w:t>
      </w:r>
      <w:r w:rsidR="006C6A05">
        <w:t xml:space="preserve">de plus </w:t>
      </w:r>
      <w:r>
        <w:t xml:space="preserve">qu’en </w:t>
      </w:r>
      <w:r w:rsidR="00E004B5">
        <w:t xml:space="preserve">raison de </w:t>
      </w:r>
      <w:r>
        <w:t xml:space="preserve">l’impossibilité légale d’exercer à l’encontre de la Province Sud une </w:t>
      </w:r>
      <w:r w:rsidR="00E004B5">
        <w:t>mesure</w:t>
      </w:r>
      <w:r>
        <w:t xml:space="preserve"> d’exécution forcée, les frais de commandement de payer figurant pour 3</w:t>
      </w:r>
      <w:r w:rsidR="00B67570">
        <w:t> </w:t>
      </w:r>
      <w:r>
        <w:t>200</w:t>
      </w:r>
      <w:r w:rsidR="00B67570">
        <w:rPr>
          <w:rFonts w:hint="eastAsia"/>
        </w:rPr>
        <w:t> </w:t>
      </w:r>
      <w:r>
        <w:t>F</w:t>
      </w:r>
      <w:r w:rsidR="006C6A05" w:rsidRPr="006C6A05">
        <w:t xml:space="preserve"> </w:t>
      </w:r>
      <w:r w:rsidR="006C6A05">
        <w:t>CFP</w:t>
      </w:r>
      <w:r>
        <w:t xml:space="preserve"> au titre litigieux étaient </w:t>
      </w:r>
      <w:r w:rsidR="00E004B5">
        <w:t xml:space="preserve">en toute hypothèse </w:t>
      </w:r>
      <w:r>
        <w:t>irrécouvrables</w:t>
      </w:r>
      <w:r w:rsidR="00B8592C">
        <w:t xml:space="preserve"> </w:t>
      </w:r>
      <w:r w:rsidR="00E004B5">
        <w:t>avant la prise de fonctions de M.</w:t>
      </w:r>
      <w:r w:rsidR="00B67570">
        <w:rPr>
          <w:rFonts w:hint="eastAsia"/>
        </w:rPr>
        <w:t> </w:t>
      </w:r>
      <w:r w:rsidR="001F2293">
        <w:t>X</w:t>
      </w:r>
      <w:r w:rsidR="00B8592C">
        <w:rPr>
          <w:rFonts w:hint="eastAsia"/>
        </w:rPr>
        <w:t> </w:t>
      </w:r>
      <w:r>
        <w:t>; qu’ainsi, en dépit de l’absence de réserves émises par M.</w:t>
      </w:r>
      <w:r w:rsidR="00B67570">
        <w:rPr>
          <w:rFonts w:hint="eastAsia"/>
        </w:rPr>
        <w:t> </w:t>
      </w:r>
      <w:r w:rsidR="001F2293">
        <w:t>X</w:t>
      </w:r>
      <w:r w:rsidR="00E004B5">
        <w:t xml:space="preserve"> sur ce titre</w:t>
      </w:r>
      <w:r>
        <w:t xml:space="preserve">, </w:t>
      </w:r>
      <w:r w:rsidR="00C85BBC">
        <w:t xml:space="preserve">ces frais </w:t>
      </w:r>
      <w:r>
        <w:t xml:space="preserve">ne peuvent </w:t>
      </w:r>
      <w:r w:rsidR="00C85BBC">
        <w:t xml:space="preserve">davantage </w:t>
      </w:r>
      <w:r>
        <w:t>être mis à sa charge ;</w:t>
      </w:r>
    </w:p>
    <w:p w:rsidR="00365006" w:rsidRPr="00056E94" w:rsidRDefault="00365006" w:rsidP="006C6A05">
      <w:pPr>
        <w:pStyle w:val="PS"/>
        <w:ind w:left="0" w:firstLine="2835"/>
        <w:rPr>
          <w:rFonts w:ascii="Times New Roman" w:hAnsi="Times New Roman"/>
        </w:rPr>
      </w:pPr>
      <w:r>
        <w:t>Par ces motifs,</w:t>
      </w:r>
    </w:p>
    <w:p w:rsidR="00F363E5" w:rsidRPr="00056E94" w:rsidRDefault="000128BD" w:rsidP="00F363E5">
      <w:pPr>
        <w:pStyle w:val="PS"/>
        <w:ind w:left="0" w:firstLine="0"/>
        <w:jc w:val="center"/>
        <w:rPr>
          <w:rFonts w:ascii="Times New Roman" w:hAnsi="Times New Roman"/>
          <w:b/>
        </w:rPr>
      </w:pPr>
      <w:r>
        <w:rPr>
          <w:rFonts w:ascii="Times New Roman" w:hAnsi="Times New Roman"/>
          <w:b/>
        </w:rPr>
        <w:t>D</w:t>
      </w:r>
      <w:r w:rsidR="00B8592C" w:rsidRPr="00B8592C">
        <w:rPr>
          <w:rFonts w:ascii="Times New Roman Gras" w:hAnsi="Times New Roman Gras"/>
          <w:b/>
          <w:caps/>
        </w:rPr>
        <w:t>é</w:t>
      </w:r>
      <w:r>
        <w:rPr>
          <w:rFonts w:ascii="Times New Roman" w:hAnsi="Times New Roman"/>
          <w:b/>
        </w:rPr>
        <w:t>CID</w:t>
      </w:r>
      <w:r w:rsidR="00F363E5" w:rsidRPr="00056E94">
        <w:rPr>
          <w:rFonts w:ascii="Times New Roman" w:hAnsi="Times New Roman"/>
          <w:b/>
        </w:rPr>
        <w:t>E :</w:t>
      </w:r>
    </w:p>
    <w:p w:rsidR="005F30FD" w:rsidRDefault="000128BD" w:rsidP="006C6A05">
      <w:pPr>
        <w:pStyle w:val="PS"/>
        <w:rPr>
          <w:rStyle w:val="CorpsdetexteCarCar"/>
        </w:rPr>
      </w:pPr>
      <w:r>
        <w:rPr>
          <w:rFonts w:ascii="Times New Roman" w:hAnsi="Times New Roman"/>
        </w:rPr>
        <w:t>Article 1</w:t>
      </w:r>
      <w:r w:rsidRPr="000128BD">
        <w:rPr>
          <w:rFonts w:ascii="Times New Roman" w:hAnsi="Times New Roman"/>
          <w:vertAlign w:val="superscript"/>
        </w:rPr>
        <w:t>er</w:t>
      </w:r>
      <w:r w:rsidR="006C6A05">
        <w:rPr>
          <w:rFonts w:ascii="Times New Roman" w:hAnsi="Times New Roman"/>
          <w:vertAlign w:val="superscript"/>
        </w:rPr>
        <w:t xml:space="preserve"> </w:t>
      </w:r>
      <w:r w:rsidR="006C6A05">
        <w:rPr>
          <w:rFonts w:ascii="Times New Roman" w:hAnsi="Times New Roman"/>
        </w:rPr>
        <w:t xml:space="preserve">- </w:t>
      </w:r>
      <w:r w:rsidR="00EC29C2">
        <w:rPr>
          <w:rFonts w:ascii="Times New Roman" w:hAnsi="Times New Roman"/>
        </w:rPr>
        <w:t xml:space="preserve">Le </w:t>
      </w:r>
      <w:r w:rsidR="00746810">
        <w:t xml:space="preserve">jugement </w:t>
      </w:r>
      <w:r w:rsidR="006C6A05" w:rsidRPr="00056E94">
        <w:t xml:space="preserve">de la chambre </w:t>
      </w:r>
      <w:r w:rsidR="006C6A05">
        <w:t xml:space="preserve">territoriale </w:t>
      </w:r>
      <w:r w:rsidR="006C6A05" w:rsidRPr="00056E94">
        <w:t>des comptes d</w:t>
      </w:r>
      <w:r w:rsidR="006C6A05">
        <w:t>e Nouvelle-Calédonie</w:t>
      </w:r>
      <w:r w:rsidR="006C6A05">
        <w:rPr>
          <w:rStyle w:val="CorpsdetexteCarCar"/>
        </w:rPr>
        <w:t xml:space="preserve"> </w:t>
      </w:r>
      <w:r w:rsidR="00746810">
        <w:rPr>
          <w:rStyle w:val="CorpsdetexteCarCar"/>
        </w:rPr>
        <w:t>n° 12-01 du 14 août 2012 est infirmé en ce qu’il a constitué M.</w:t>
      </w:r>
      <w:r w:rsidR="00600570">
        <w:rPr>
          <w:rStyle w:val="CorpsdetexteCarCar"/>
          <w:rFonts w:hint="eastAsia"/>
        </w:rPr>
        <w:t> </w:t>
      </w:r>
      <w:r w:rsidR="001F2293">
        <w:rPr>
          <w:rStyle w:val="CorpsdetexteCarCar"/>
        </w:rPr>
        <w:t>X</w:t>
      </w:r>
      <w:r w:rsidR="006C6A05">
        <w:rPr>
          <w:rStyle w:val="CorpsdetexteCarCar"/>
        </w:rPr>
        <w:t xml:space="preserve"> </w:t>
      </w:r>
      <w:r w:rsidR="00746810">
        <w:rPr>
          <w:rStyle w:val="CorpsdetexteCarCar"/>
        </w:rPr>
        <w:t xml:space="preserve">débiteur de la commune de </w:t>
      </w:r>
      <w:r w:rsidR="006C6A05">
        <w:rPr>
          <w:rStyle w:val="CorpsdetexteCarCar"/>
        </w:rPr>
        <w:t>P</w:t>
      </w:r>
      <w:r w:rsidR="00600570">
        <w:rPr>
          <w:rStyle w:val="CorpsdetexteCarCar"/>
        </w:rPr>
        <w:t>aïta</w:t>
      </w:r>
      <w:r w:rsidR="00746810">
        <w:rPr>
          <w:rStyle w:val="CorpsdetexteCarCar"/>
        </w:rPr>
        <w:t xml:space="preserve"> </w:t>
      </w:r>
      <w:r w:rsidR="006C6A05">
        <w:rPr>
          <w:rStyle w:val="CorpsdetexteCarCar"/>
        </w:rPr>
        <w:t>de la somme de</w:t>
      </w:r>
      <w:r w:rsidR="00746810">
        <w:rPr>
          <w:rStyle w:val="CorpsdetexteCarCar"/>
        </w:rPr>
        <w:t xml:space="preserve"> 108</w:t>
      </w:r>
      <w:r w:rsidR="00600570">
        <w:rPr>
          <w:rStyle w:val="CorpsdetexteCarCar"/>
        </w:rPr>
        <w:t> </w:t>
      </w:r>
      <w:r w:rsidR="00746810">
        <w:rPr>
          <w:rStyle w:val="CorpsdetexteCarCar"/>
        </w:rPr>
        <w:t>800</w:t>
      </w:r>
      <w:r w:rsidR="00600570">
        <w:rPr>
          <w:rStyle w:val="CorpsdetexteCarCar"/>
          <w:rFonts w:hint="eastAsia"/>
        </w:rPr>
        <w:t> </w:t>
      </w:r>
      <w:r w:rsidR="00600570">
        <w:rPr>
          <w:rStyle w:val="CorpsdetexteCarCar"/>
        </w:rPr>
        <w:t>F</w:t>
      </w:r>
      <w:r w:rsidR="00B8592C">
        <w:rPr>
          <w:rStyle w:val="CorpsdetexteCarCar"/>
          <w:rFonts w:hint="eastAsia"/>
        </w:rPr>
        <w:t> </w:t>
      </w:r>
      <w:r w:rsidR="00600570">
        <w:rPr>
          <w:rStyle w:val="CorpsdetexteCarCar"/>
        </w:rPr>
        <w:t>CFP (911,7</w:t>
      </w:r>
      <w:r w:rsidR="00746810">
        <w:rPr>
          <w:rStyle w:val="CorpsdetexteCarCar"/>
        </w:rPr>
        <w:t>4</w:t>
      </w:r>
      <w:r w:rsidR="00600570">
        <w:rPr>
          <w:rStyle w:val="CorpsdetexteCarCar"/>
          <w:rFonts w:hint="eastAsia"/>
        </w:rPr>
        <w:t> </w:t>
      </w:r>
      <w:r w:rsidR="00746810">
        <w:rPr>
          <w:rStyle w:val="CorpsdetexteCarCar"/>
        </w:rPr>
        <w:t>€) augmenté</w:t>
      </w:r>
      <w:r w:rsidR="006C6A05">
        <w:rPr>
          <w:rStyle w:val="CorpsdetexteCarCar"/>
        </w:rPr>
        <w:t>e</w:t>
      </w:r>
      <w:r w:rsidR="00746810">
        <w:rPr>
          <w:rStyle w:val="CorpsdetexteCarCar"/>
        </w:rPr>
        <w:t xml:space="preserve"> des intérêts de droit ;</w:t>
      </w:r>
    </w:p>
    <w:p w:rsidR="000128BD" w:rsidRPr="00056E94" w:rsidRDefault="000128BD" w:rsidP="006C6A05">
      <w:pPr>
        <w:pStyle w:val="PS"/>
        <w:rPr>
          <w:rFonts w:ascii="Times New Roman" w:hAnsi="Times New Roman"/>
        </w:rPr>
      </w:pPr>
      <w:r>
        <w:rPr>
          <w:rStyle w:val="CorpsdetexteCarCar"/>
        </w:rPr>
        <w:t>Article 2</w:t>
      </w:r>
      <w:r w:rsidR="006C6A05">
        <w:rPr>
          <w:rStyle w:val="CorpsdetexteCarCar"/>
        </w:rPr>
        <w:t xml:space="preserve"> -</w:t>
      </w:r>
      <w:r>
        <w:rPr>
          <w:rStyle w:val="CorpsdetexteCarCar"/>
        </w:rPr>
        <w:t xml:space="preserve"> Il n’y a pas lieu à charge </w:t>
      </w:r>
      <w:r w:rsidR="00E004B5">
        <w:rPr>
          <w:rStyle w:val="CorpsdetexteCarCar"/>
        </w:rPr>
        <w:t>en ce qui concerne l</w:t>
      </w:r>
      <w:r w:rsidR="00746810">
        <w:rPr>
          <w:rStyle w:val="CorpsdetexteCarCar"/>
        </w:rPr>
        <w:t>es restes à recouvrer au 31 décembre 2009 figurant à hauteur de 108</w:t>
      </w:r>
      <w:r w:rsidR="00600570">
        <w:rPr>
          <w:rStyle w:val="CorpsdetexteCarCar"/>
        </w:rPr>
        <w:t> </w:t>
      </w:r>
      <w:r w:rsidR="00746810">
        <w:rPr>
          <w:rStyle w:val="CorpsdetexteCarCar"/>
        </w:rPr>
        <w:t>800</w:t>
      </w:r>
      <w:r w:rsidR="00600570">
        <w:rPr>
          <w:rStyle w:val="CorpsdetexteCarCar"/>
          <w:rFonts w:hint="eastAsia"/>
        </w:rPr>
        <w:t> </w:t>
      </w:r>
      <w:r w:rsidR="00746810">
        <w:rPr>
          <w:rStyle w:val="CorpsdetexteCarCar"/>
        </w:rPr>
        <w:t>F</w:t>
      </w:r>
      <w:r w:rsidR="00B8592C">
        <w:rPr>
          <w:rStyle w:val="CorpsdetexteCarCar"/>
          <w:rFonts w:hint="eastAsia"/>
        </w:rPr>
        <w:t> </w:t>
      </w:r>
      <w:bookmarkStart w:id="0" w:name="_GoBack"/>
      <w:bookmarkEnd w:id="0"/>
      <w:r w:rsidR="006C6A05">
        <w:rPr>
          <w:rStyle w:val="CorpsdetexteCarCar"/>
        </w:rPr>
        <w:t xml:space="preserve">CFP </w:t>
      </w:r>
      <w:r w:rsidR="00746810">
        <w:rPr>
          <w:rStyle w:val="CorpsdetexteCarCar"/>
        </w:rPr>
        <w:t>sur le titre n°</w:t>
      </w:r>
      <w:r w:rsidR="00D83C91">
        <w:rPr>
          <w:rStyle w:val="CorpsdetexteCarCar"/>
          <w:rFonts w:hint="eastAsia"/>
        </w:rPr>
        <w:t> </w:t>
      </w:r>
      <w:r w:rsidR="00746810">
        <w:rPr>
          <w:rStyle w:val="CorpsdetexteCarCar"/>
        </w:rPr>
        <w:t xml:space="preserve">31 du </w:t>
      </w:r>
      <w:r w:rsidR="00E004B5">
        <w:rPr>
          <w:rStyle w:val="CorpsdetexteCarCar"/>
        </w:rPr>
        <w:t>27 février 2002</w:t>
      </w:r>
      <w:r w:rsidR="00A81D65">
        <w:t>.</w:t>
      </w:r>
    </w:p>
    <w:p w:rsidR="00B30F64" w:rsidRPr="00056E94" w:rsidRDefault="00B30F64" w:rsidP="00600570">
      <w:pPr>
        <w:pStyle w:val="PS"/>
        <w:ind w:firstLine="0"/>
        <w:jc w:val="center"/>
        <w:rPr>
          <w:rFonts w:ascii="Times New Roman" w:hAnsi="Times New Roman"/>
        </w:rPr>
      </w:pPr>
      <w:r w:rsidRPr="00056E94">
        <w:rPr>
          <w:rFonts w:ascii="Times New Roman" w:hAnsi="Times New Roman"/>
        </w:rPr>
        <w:t>------------</w:t>
      </w:r>
    </w:p>
    <w:p w:rsidR="00D83C91" w:rsidRPr="000E01C4" w:rsidRDefault="0025629F" w:rsidP="00AF0B52">
      <w:pPr>
        <w:spacing w:after="480"/>
        <w:ind w:left="1559" w:firstLine="1276"/>
        <w:jc w:val="both"/>
        <w:rPr>
          <w:sz w:val="24"/>
          <w:szCs w:val="24"/>
        </w:rPr>
      </w:pPr>
      <w:r>
        <w:rPr>
          <w:sz w:val="24"/>
        </w:rPr>
        <w:br w:type="page"/>
      </w:r>
      <w:r w:rsidR="00B30F64" w:rsidRPr="000E01C4">
        <w:rPr>
          <w:sz w:val="24"/>
        </w:rPr>
        <w:lastRenderedPageBreak/>
        <w:t xml:space="preserve">Fait et jugé </w:t>
      </w:r>
      <w:r w:rsidR="006534E7" w:rsidRPr="000E01C4">
        <w:rPr>
          <w:sz w:val="24"/>
        </w:rPr>
        <w:t>en la Cour des comptes,</w:t>
      </w:r>
      <w:r w:rsidR="007C77E2" w:rsidRPr="000E01C4">
        <w:rPr>
          <w:sz w:val="24"/>
        </w:rPr>
        <w:t xml:space="preserve"> </w:t>
      </w:r>
      <w:r w:rsidR="00B30F64" w:rsidRPr="000E01C4">
        <w:rPr>
          <w:sz w:val="24"/>
        </w:rPr>
        <w:t>quatrième chambr</w:t>
      </w:r>
      <w:r w:rsidR="006534E7" w:rsidRPr="000E01C4">
        <w:rPr>
          <w:sz w:val="24"/>
        </w:rPr>
        <w:t>e, première section</w:t>
      </w:r>
      <w:r w:rsidR="001C4E87" w:rsidRPr="000E01C4">
        <w:rPr>
          <w:sz w:val="24"/>
        </w:rPr>
        <w:t xml:space="preserve">. </w:t>
      </w:r>
      <w:r w:rsidR="007B2171" w:rsidRPr="000E01C4">
        <w:rPr>
          <w:sz w:val="24"/>
        </w:rPr>
        <w:t>Présents</w:t>
      </w:r>
      <w:r w:rsidR="000E01C4">
        <w:rPr>
          <w:sz w:val="24"/>
        </w:rPr>
        <w:t> : </w:t>
      </w:r>
      <w:r w:rsidR="007B2171" w:rsidRPr="000E01C4">
        <w:rPr>
          <w:sz w:val="24"/>
        </w:rPr>
        <w:t>M</w:t>
      </w:r>
      <w:r w:rsidR="009A25F6" w:rsidRPr="000E01C4">
        <w:rPr>
          <w:sz w:val="24"/>
        </w:rPr>
        <w:t>M</w:t>
      </w:r>
      <w:r w:rsidR="009F580A">
        <w:rPr>
          <w:sz w:val="24"/>
        </w:rPr>
        <w:t>.</w:t>
      </w:r>
      <w:r w:rsidR="00AE3410" w:rsidRPr="000E01C4">
        <w:rPr>
          <w:sz w:val="24"/>
        </w:rPr>
        <w:t> </w:t>
      </w:r>
      <w:r w:rsidR="00EC29C2" w:rsidRPr="000E01C4">
        <w:rPr>
          <w:sz w:val="24"/>
        </w:rPr>
        <w:t>Bayle</w:t>
      </w:r>
      <w:r w:rsidR="009A25F6" w:rsidRPr="000E01C4">
        <w:rPr>
          <w:sz w:val="24"/>
        </w:rPr>
        <w:t xml:space="preserve">, </w:t>
      </w:r>
      <w:r w:rsidR="000E01C4">
        <w:rPr>
          <w:sz w:val="24"/>
        </w:rPr>
        <w:t xml:space="preserve">président, </w:t>
      </w:r>
      <w:r w:rsidR="00D83C91" w:rsidRPr="000E01C4">
        <w:rPr>
          <w:sz w:val="24"/>
          <w:szCs w:val="24"/>
        </w:rPr>
        <w:t xml:space="preserve">Maistre, président de section, Lafaure, Vermeulen, Vachia, Mme Gadriot-Renard, </w:t>
      </w:r>
      <w:r w:rsidR="000E01C4">
        <w:rPr>
          <w:sz w:val="24"/>
          <w:szCs w:val="24"/>
        </w:rPr>
        <w:t>et Rousselot</w:t>
      </w:r>
      <w:r w:rsidR="00D83C91" w:rsidRPr="000E01C4">
        <w:rPr>
          <w:sz w:val="24"/>
          <w:szCs w:val="24"/>
        </w:rPr>
        <w:t>, conseillers maîtres.</w:t>
      </w:r>
    </w:p>
    <w:p w:rsidR="00D83C91" w:rsidRPr="00962CBF" w:rsidRDefault="00D83C91" w:rsidP="00AB5943">
      <w:pPr>
        <w:spacing w:after="480"/>
        <w:ind w:firstLine="2835"/>
        <w:jc w:val="both"/>
        <w:rPr>
          <w:sz w:val="24"/>
          <w:szCs w:val="24"/>
        </w:rPr>
      </w:pPr>
      <w:r w:rsidRPr="00962CBF">
        <w:rPr>
          <w:sz w:val="24"/>
          <w:szCs w:val="24"/>
        </w:rPr>
        <w:t xml:space="preserve">Signé : </w:t>
      </w:r>
      <w:r>
        <w:rPr>
          <w:sz w:val="24"/>
          <w:szCs w:val="24"/>
        </w:rPr>
        <w:t>Bayle, président</w:t>
      </w:r>
      <w:r w:rsidR="00441922">
        <w:rPr>
          <w:sz w:val="24"/>
          <w:szCs w:val="24"/>
        </w:rPr>
        <w:t>,</w:t>
      </w:r>
      <w:r>
        <w:rPr>
          <w:sz w:val="24"/>
          <w:szCs w:val="24"/>
        </w:rPr>
        <w:t xml:space="preserve"> et Le Baron, greffier.</w:t>
      </w:r>
    </w:p>
    <w:p w:rsidR="00AF0B52" w:rsidRDefault="00D83C91" w:rsidP="00AF0B52">
      <w:pPr>
        <w:spacing w:after="600"/>
        <w:ind w:left="1559" w:firstLine="1276"/>
        <w:jc w:val="both"/>
        <w:rPr>
          <w:sz w:val="24"/>
          <w:szCs w:val="24"/>
        </w:rPr>
      </w:pPr>
      <w:r w:rsidRPr="00962CBF">
        <w:rPr>
          <w:sz w:val="24"/>
          <w:szCs w:val="24"/>
        </w:rPr>
        <w:t>Collationné, certifié conforme à la minute étant au greffe de la</w:t>
      </w:r>
      <w:r w:rsidR="000E01C4">
        <w:rPr>
          <w:sz w:val="24"/>
          <w:szCs w:val="24"/>
        </w:rPr>
        <w:t> </w:t>
      </w:r>
      <w:r w:rsidRPr="00962CBF">
        <w:rPr>
          <w:sz w:val="24"/>
          <w:szCs w:val="24"/>
        </w:rPr>
        <w:t>Cour des comptes</w:t>
      </w:r>
      <w:r w:rsidR="00AF0B52" w:rsidRPr="00AF0B52">
        <w:rPr>
          <w:sz w:val="24"/>
          <w:szCs w:val="24"/>
        </w:rPr>
        <w:t xml:space="preserve"> </w:t>
      </w:r>
      <w:r w:rsidR="00AF0B52">
        <w:rPr>
          <w:sz w:val="24"/>
          <w:szCs w:val="24"/>
        </w:rPr>
        <w:t>et d</w:t>
      </w:r>
      <w:r w:rsidR="00AF0B52" w:rsidRPr="00962CBF">
        <w:rPr>
          <w:sz w:val="24"/>
          <w:szCs w:val="24"/>
        </w:rPr>
        <w:t>élivré par moi, secrétaire général.</w:t>
      </w:r>
    </w:p>
    <w:p w:rsidR="00D83C91" w:rsidRPr="00742CE3" w:rsidRDefault="00D83C91" w:rsidP="000E01C4">
      <w:pPr>
        <w:ind w:left="540" w:firstLine="5130"/>
        <w:jc w:val="center"/>
        <w:rPr>
          <w:rFonts w:ascii="Times New Roman Gras" w:hAnsi="Times New Roman Gras"/>
          <w:b/>
          <w:bCs/>
          <w:sz w:val="24"/>
        </w:rPr>
      </w:pPr>
      <w:r w:rsidRPr="00742CE3">
        <w:rPr>
          <w:rFonts w:ascii="Times New Roman Gras" w:hAnsi="Times New Roman Gras"/>
          <w:b/>
          <w:bCs/>
          <w:sz w:val="24"/>
        </w:rPr>
        <w:t>Pour le Secrétaire général</w:t>
      </w:r>
    </w:p>
    <w:p w:rsidR="00D83C91" w:rsidRPr="00742CE3" w:rsidRDefault="00D83C91" w:rsidP="000E01C4">
      <w:pPr>
        <w:ind w:left="540" w:firstLine="5130"/>
        <w:jc w:val="center"/>
        <w:rPr>
          <w:rFonts w:ascii="Times New Roman Gras" w:hAnsi="Times New Roman Gras"/>
          <w:b/>
          <w:bCs/>
          <w:sz w:val="24"/>
        </w:rPr>
      </w:pPr>
      <w:r w:rsidRPr="00742CE3">
        <w:rPr>
          <w:rFonts w:ascii="Times New Roman Gras" w:hAnsi="Times New Roman Gras"/>
          <w:b/>
          <w:bCs/>
          <w:sz w:val="24"/>
        </w:rPr>
        <w:t>et par délégation,</w:t>
      </w:r>
    </w:p>
    <w:p w:rsidR="00D83C91" w:rsidRPr="00742CE3" w:rsidRDefault="00D83C91" w:rsidP="00071224">
      <w:pPr>
        <w:spacing w:after="1920"/>
        <w:ind w:left="539" w:firstLine="5131"/>
        <w:jc w:val="center"/>
        <w:rPr>
          <w:rFonts w:ascii="Times New Roman Gras" w:hAnsi="Times New Roman Gras"/>
          <w:b/>
          <w:bCs/>
          <w:sz w:val="24"/>
        </w:rPr>
      </w:pPr>
      <w:r>
        <w:rPr>
          <w:rFonts w:ascii="Times New Roman Gras" w:hAnsi="Times New Roman Gras"/>
          <w:b/>
          <w:bCs/>
          <w:sz w:val="24"/>
        </w:rPr>
        <w:t xml:space="preserve">le Chef du Greffe </w:t>
      </w:r>
      <w:r w:rsidRPr="00742CE3">
        <w:rPr>
          <w:rFonts w:ascii="Times New Roman Gras" w:hAnsi="Times New Roman Gras"/>
          <w:b/>
          <w:bCs/>
          <w:sz w:val="24"/>
        </w:rPr>
        <w:t>contentieux</w:t>
      </w:r>
    </w:p>
    <w:p w:rsidR="00D83C91" w:rsidRPr="00742CE3" w:rsidRDefault="00D83C91" w:rsidP="00441922">
      <w:pPr>
        <w:spacing w:before="120" w:after="360"/>
        <w:ind w:left="540" w:firstLine="5556"/>
        <w:jc w:val="center"/>
        <w:rPr>
          <w:rFonts w:ascii="Times New Roman Gras" w:hAnsi="Times New Roman Gras"/>
          <w:b/>
          <w:bCs/>
          <w:sz w:val="24"/>
        </w:rPr>
      </w:pPr>
      <w:r w:rsidRPr="00742CE3">
        <w:rPr>
          <w:rFonts w:ascii="Times New Roman Gras" w:hAnsi="Times New Roman Gras"/>
          <w:b/>
          <w:bCs/>
          <w:sz w:val="24"/>
        </w:rPr>
        <w:t>Daniel FEREZ</w:t>
      </w:r>
    </w:p>
    <w:sectPr w:rsidR="00D83C91" w:rsidRPr="00742CE3" w:rsidSect="000E01C4">
      <w:headerReference w:type="default" r:id="rId9"/>
      <w:footerReference w:type="default" r:id="rId10"/>
      <w:headerReference w:type="first" r:id="rId11"/>
      <w:pgSz w:w="11906" w:h="16838"/>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D63" w:rsidRDefault="004B6D63" w:rsidP="003F176A">
      <w:r>
        <w:separator/>
      </w:r>
    </w:p>
  </w:endnote>
  <w:endnote w:type="continuationSeparator" w:id="0">
    <w:p w:rsidR="004B6D63" w:rsidRDefault="004B6D63" w:rsidP="003F1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G Times (W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BBC" w:rsidRDefault="00C85BBC">
    <w:pPr>
      <w:pStyle w:val="Pieddepage"/>
      <w:jc w:val="center"/>
    </w:pPr>
  </w:p>
  <w:p w:rsidR="00C85BBC" w:rsidRDefault="00C85BB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D63" w:rsidRDefault="004B6D63" w:rsidP="003F176A">
      <w:r>
        <w:separator/>
      </w:r>
    </w:p>
  </w:footnote>
  <w:footnote w:type="continuationSeparator" w:id="0">
    <w:p w:rsidR="004B6D63" w:rsidRDefault="004B6D63" w:rsidP="003F17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99C" w:rsidRDefault="00B2799C">
    <w:pPr>
      <w:pStyle w:val="En-tte"/>
      <w:jc w:val="right"/>
    </w:pPr>
    <w:r>
      <w:fldChar w:fldCharType="begin"/>
    </w:r>
    <w:r>
      <w:instrText>PAGE   \* MERGEFORMAT</w:instrText>
    </w:r>
    <w:r>
      <w:fldChar w:fldCharType="separate"/>
    </w:r>
    <w:r w:rsidR="00B8592C">
      <w:rPr>
        <w:noProof/>
      </w:rPr>
      <w:t>4</w:t>
    </w:r>
    <w:r>
      <w:fldChar w:fldCharType="end"/>
    </w:r>
  </w:p>
  <w:p w:rsidR="00B2799C" w:rsidRPr="00B2799C" w:rsidRDefault="00B2799C" w:rsidP="00B279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C4" w:rsidRDefault="000E01C4">
    <w:pPr>
      <w:pStyle w:val="En-tte"/>
      <w:jc w:val="right"/>
    </w:pPr>
  </w:p>
  <w:p w:rsidR="000E01C4" w:rsidRDefault="000E01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4530"/>
    <w:multiLevelType w:val="hybridMultilevel"/>
    <w:tmpl w:val="1D5462A8"/>
    <w:lvl w:ilvl="0" w:tplc="7E4A6168">
      <w:start w:val="1"/>
      <w:numFmt w:val="bullet"/>
      <w:lvlText w:val="−"/>
      <w:lvlJc w:val="left"/>
      <w:pPr>
        <w:tabs>
          <w:tab w:val="num" w:pos="709"/>
        </w:tabs>
        <w:ind w:left="1429" w:hanging="360"/>
      </w:pPr>
      <w:rPr>
        <w:rFonts w:ascii="Verdana" w:hAnsi="Tahoma" w:hint="default"/>
      </w:rPr>
    </w:lvl>
    <w:lvl w:ilvl="1" w:tplc="040C0003" w:tentative="1">
      <w:start w:val="1"/>
      <w:numFmt w:val="bullet"/>
      <w:lvlText w:val="o"/>
      <w:lvlJc w:val="left"/>
      <w:pPr>
        <w:tabs>
          <w:tab w:val="num" w:pos="2520"/>
        </w:tabs>
        <w:ind w:left="2520" w:hanging="360"/>
      </w:pPr>
      <w:rPr>
        <w:rFonts w:ascii="Courier New" w:hAnsi="Courier New" w:cs="Arial"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Arial"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Arial"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
    <w:nsid w:val="46723C24"/>
    <w:multiLevelType w:val="multilevel"/>
    <w:tmpl w:val="E168022A"/>
    <w:lvl w:ilvl="0">
      <w:start w:val="1"/>
      <w:numFmt w:val="decimal"/>
      <w:pStyle w:val="enumration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D421BA7"/>
    <w:multiLevelType w:val="hybridMultilevel"/>
    <w:tmpl w:val="486CA6EE"/>
    <w:lvl w:ilvl="0" w:tplc="1E9A824E">
      <w:start w:val="13"/>
      <w:numFmt w:val="bullet"/>
      <w:lvlText w:val="-"/>
      <w:lvlJc w:val="left"/>
      <w:pPr>
        <w:tabs>
          <w:tab w:val="num" w:pos="1069"/>
        </w:tabs>
        <w:ind w:left="1069" w:hanging="360"/>
      </w:pPr>
      <w:rPr>
        <w:rFonts w:ascii="Times New Roman" w:eastAsia="Times New Roman" w:hAnsi="Times New Roman" w:cs="Times New Roman"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00109B"/>
    <w:rsid w:val="00002923"/>
    <w:rsid w:val="000128BD"/>
    <w:rsid w:val="00014E10"/>
    <w:rsid w:val="00042DE1"/>
    <w:rsid w:val="0005530F"/>
    <w:rsid w:val="00056E94"/>
    <w:rsid w:val="00062706"/>
    <w:rsid w:val="00071224"/>
    <w:rsid w:val="00074849"/>
    <w:rsid w:val="000966AD"/>
    <w:rsid w:val="00097CB1"/>
    <w:rsid w:val="000B1525"/>
    <w:rsid w:val="000C25A7"/>
    <w:rsid w:val="000C78C8"/>
    <w:rsid w:val="000E01C4"/>
    <w:rsid w:val="000F5742"/>
    <w:rsid w:val="0010360D"/>
    <w:rsid w:val="00103B5D"/>
    <w:rsid w:val="00120038"/>
    <w:rsid w:val="0013719D"/>
    <w:rsid w:val="00137E59"/>
    <w:rsid w:val="0014213B"/>
    <w:rsid w:val="00170EE5"/>
    <w:rsid w:val="00172BF4"/>
    <w:rsid w:val="00173ABE"/>
    <w:rsid w:val="00173F27"/>
    <w:rsid w:val="00180908"/>
    <w:rsid w:val="00180E4F"/>
    <w:rsid w:val="00183EFC"/>
    <w:rsid w:val="00190224"/>
    <w:rsid w:val="001943B8"/>
    <w:rsid w:val="001B7368"/>
    <w:rsid w:val="001C1F1D"/>
    <w:rsid w:val="001C4E87"/>
    <w:rsid w:val="001D2A4A"/>
    <w:rsid w:val="001E2CBB"/>
    <w:rsid w:val="001F2293"/>
    <w:rsid w:val="001F482A"/>
    <w:rsid w:val="0020413B"/>
    <w:rsid w:val="00211381"/>
    <w:rsid w:val="00211F06"/>
    <w:rsid w:val="00223D38"/>
    <w:rsid w:val="00225A35"/>
    <w:rsid w:val="00243E9C"/>
    <w:rsid w:val="0025629F"/>
    <w:rsid w:val="00262E91"/>
    <w:rsid w:val="00263F74"/>
    <w:rsid w:val="00274748"/>
    <w:rsid w:val="002A3420"/>
    <w:rsid w:val="002A5F51"/>
    <w:rsid w:val="002B01CB"/>
    <w:rsid w:val="002D6F65"/>
    <w:rsid w:val="002E020E"/>
    <w:rsid w:val="002E20DA"/>
    <w:rsid w:val="002E3963"/>
    <w:rsid w:val="002F4064"/>
    <w:rsid w:val="002F76D8"/>
    <w:rsid w:val="00313B8C"/>
    <w:rsid w:val="00317CAF"/>
    <w:rsid w:val="003201CD"/>
    <w:rsid w:val="00325C98"/>
    <w:rsid w:val="00326EE5"/>
    <w:rsid w:val="00327FD1"/>
    <w:rsid w:val="0033084B"/>
    <w:rsid w:val="00331626"/>
    <w:rsid w:val="00346D93"/>
    <w:rsid w:val="00353439"/>
    <w:rsid w:val="00361E67"/>
    <w:rsid w:val="00365006"/>
    <w:rsid w:val="00383468"/>
    <w:rsid w:val="00383A5C"/>
    <w:rsid w:val="0039572C"/>
    <w:rsid w:val="003A24CE"/>
    <w:rsid w:val="003A4ED8"/>
    <w:rsid w:val="003A6169"/>
    <w:rsid w:val="003B4919"/>
    <w:rsid w:val="003C72B0"/>
    <w:rsid w:val="003E0466"/>
    <w:rsid w:val="003F176A"/>
    <w:rsid w:val="003F52FD"/>
    <w:rsid w:val="00410A6D"/>
    <w:rsid w:val="0041218E"/>
    <w:rsid w:val="00413EE5"/>
    <w:rsid w:val="00414099"/>
    <w:rsid w:val="004149E8"/>
    <w:rsid w:val="00415B20"/>
    <w:rsid w:val="00421AE2"/>
    <w:rsid w:val="004268EA"/>
    <w:rsid w:val="0042731C"/>
    <w:rsid w:val="00441922"/>
    <w:rsid w:val="00457496"/>
    <w:rsid w:val="004627EC"/>
    <w:rsid w:val="004648E6"/>
    <w:rsid w:val="004651B3"/>
    <w:rsid w:val="004709AD"/>
    <w:rsid w:val="00475C59"/>
    <w:rsid w:val="00475D4C"/>
    <w:rsid w:val="004806C4"/>
    <w:rsid w:val="00481C50"/>
    <w:rsid w:val="0048440B"/>
    <w:rsid w:val="00496016"/>
    <w:rsid w:val="004964E3"/>
    <w:rsid w:val="00496FA2"/>
    <w:rsid w:val="00497A94"/>
    <w:rsid w:val="004B6D63"/>
    <w:rsid w:val="004D01A1"/>
    <w:rsid w:val="004D206B"/>
    <w:rsid w:val="004D2F96"/>
    <w:rsid w:val="004D52EB"/>
    <w:rsid w:val="004D539F"/>
    <w:rsid w:val="004D6186"/>
    <w:rsid w:val="004E32D2"/>
    <w:rsid w:val="004F66C0"/>
    <w:rsid w:val="004F7ACC"/>
    <w:rsid w:val="00502230"/>
    <w:rsid w:val="00510767"/>
    <w:rsid w:val="0051078B"/>
    <w:rsid w:val="00513823"/>
    <w:rsid w:val="00521414"/>
    <w:rsid w:val="00531098"/>
    <w:rsid w:val="00533F20"/>
    <w:rsid w:val="00543ECD"/>
    <w:rsid w:val="0054418D"/>
    <w:rsid w:val="00545E6A"/>
    <w:rsid w:val="005618A9"/>
    <w:rsid w:val="00565E05"/>
    <w:rsid w:val="00566BAE"/>
    <w:rsid w:val="00575005"/>
    <w:rsid w:val="005846B1"/>
    <w:rsid w:val="00586186"/>
    <w:rsid w:val="00586D35"/>
    <w:rsid w:val="005953B8"/>
    <w:rsid w:val="00597F3F"/>
    <w:rsid w:val="005B5D15"/>
    <w:rsid w:val="005C14F9"/>
    <w:rsid w:val="005D170D"/>
    <w:rsid w:val="005D1BD8"/>
    <w:rsid w:val="005D3707"/>
    <w:rsid w:val="005D5CE7"/>
    <w:rsid w:val="005E5AE6"/>
    <w:rsid w:val="005E7EE8"/>
    <w:rsid w:val="005F30FD"/>
    <w:rsid w:val="005F41EA"/>
    <w:rsid w:val="005F641F"/>
    <w:rsid w:val="006003CD"/>
    <w:rsid w:val="00600570"/>
    <w:rsid w:val="0060163F"/>
    <w:rsid w:val="00610701"/>
    <w:rsid w:val="0061118A"/>
    <w:rsid w:val="0061419D"/>
    <w:rsid w:val="00616174"/>
    <w:rsid w:val="0063019B"/>
    <w:rsid w:val="00636CD3"/>
    <w:rsid w:val="00645620"/>
    <w:rsid w:val="006534E7"/>
    <w:rsid w:val="0065778C"/>
    <w:rsid w:val="00660A6D"/>
    <w:rsid w:val="00671DB5"/>
    <w:rsid w:val="0068514B"/>
    <w:rsid w:val="00686BA5"/>
    <w:rsid w:val="006A4388"/>
    <w:rsid w:val="006B005F"/>
    <w:rsid w:val="006B14D0"/>
    <w:rsid w:val="006C3E92"/>
    <w:rsid w:val="006C6A05"/>
    <w:rsid w:val="006C6EDF"/>
    <w:rsid w:val="006D476B"/>
    <w:rsid w:val="006E020C"/>
    <w:rsid w:val="006E1A1A"/>
    <w:rsid w:val="006F13C8"/>
    <w:rsid w:val="00701616"/>
    <w:rsid w:val="00701DFF"/>
    <w:rsid w:val="007152BB"/>
    <w:rsid w:val="00723F09"/>
    <w:rsid w:val="007438F0"/>
    <w:rsid w:val="00743DE8"/>
    <w:rsid w:val="00746810"/>
    <w:rsid w:val="0075670D"/>
    <w:rsid w:val="00756723"/>
    <w:rsid w:val="0076707B"/>
    <w:rsid w:val="0077454F"/>
    <w:rsid w:val="007A56E4"/>
    <w:rsid w:val="007B2171"/>
    <w:rsid w:val="007B529F"/>
    <w:rsid w:val="007C7178"/>
    <w:rsid w:val="007C77E2"/>
    <w:rsid w:val="007D4AE2"/>
    <w:rsid w:val="007E28A9"/>
    <w:rsid w:val="007F0929"/>
    <w:rsid w:val="007F1E40"/>
    <w:rsid w:val="007F2422"/>
    <w:rsid w:val="007F3AC0"/>
    <w:rsid w:val="008107C0"/>
    <w:rsid w:val="0081356E"/>
    <w:rsid w:val="008240D6"/>
    <w:rsid w:val="00824B43"/>
    <w:rsid w:val="0083095B"/>
    <w:rsid w:val="008324E1"/>
    <w:rsid w:val="00832E34"/>
    <w:rsid w:val="00845E76"/>
    <w:rsid w:val="00847E1B"/>
    <w:rsid w:val="0085010B"/>
    <w:rsid w:val="00857107"/>
    <w:rsid w:val="008601E8"/>
    <w:rsid w:val="008617C3"/>
    <w:rsid w:val="00866D4B"/>
    <w:rsid w:val="0087650E"/>
    <w:rsid w:val="00883D06"/>
    <w:rsid w:val="00891B02"/>
    <w:rsid w:val="0089201C"/>
    <w:rsid w:val="008A5054"/>
    <w:rsid w:val="008B4B65"/>
    <w:rsid w:val="008B5911"/>
    <w:rsid w:val="008C5F81"/>
    <w:rsid w:val="008E0C8D"/>
    <w:rsid w:val="00903F79"/>
    <w:rsid w:val="0090446E"/>
    <w:rsid w:val="00906B6C"/>
    <w:rsid w:val="0091221D"/>
    <w:rsid w:val="009450CF"/>
    <w:rsid w:val="00975116"/>
    <w:rsid w:val="00976D12"/>
    <w:rsid w:val="00977E23"/>
    <w:rsid w:val="0099190A"/>
    <w:rsid w:val="00996E94"/>
    <w:rsid w:val="009A25F6"/>
    <w:rsid w:val="009A28D7"/>
    <w:rsid w:val="009A5C3E"/>
    <w:rsid w:val="009D350F"/>
    <w:rsid w:val="009E63F3"/>
    <w:rsid w:val="009F2DB9"/>
    <w:rsid w:val="009F580A"/>
    <w:rsid w:val="00A1234D"/>
    <w:rsid w:val="00A15E17"/>
    <w:rsid w:val="00A21A31"/>
    <w:rsid w:val="00A338DA"/>
    <w:rsid w:val="00A36AE2"/>
    <w:rsid w:val="00A406E5"/>
    <w:rsid w:val="00A42557"/>
    <w:rsid w:val="00A44C20"/>
    <w:rsid w:val="00A745B4"/>
    <w:rsid w:val="00A81D65"/>
    <w:rsid w:val="00A95152"/>
    <w:rsid w:val="00A97D8B"/>
    <w:rsid w:val="00AB0802"/>
    <w:rsid w:val="00AB5943"/>
    <w:rsid w:val="00AC7A51"/>
    <w:rsid w:val="00AD146C"/>
    <w:rsid w:val="00AD2BC6"/>
    <w:rsid w:val="00AD31F8"/>
    <w:rsid w:val="00AE3410"/>
    <w:rsid w:val="00AF0B52"/>
    <w:rsid w:val="00AF1D55"/>
    <w:rsid w:val="00AF2001"/>
    <w:rsid w:val="00AF4392"/>
    <w:rsid w:val="00AF7246"/>
    <w:rsid w:val="00B10A4C"/>
    <w:rsid w:val="00B21366"/>
    <w:rsid w:val="00B2799C"/>
    <w:rsid w:val="00B30F64"/>
    <w:rsid w:val="00B62210"/>
    <w:rsid w:val="00B67570"/>
    <w:rsid w:val="00B80CA2"/>
    <w:rsid w:val="00B82C1D"/>
    <w:rsid w:val="00B8592C"/>
    <w:rsid w:val="00B85FD6"/>
    <w:rsid w:val="00B86543"/>
    <w:rsid w:val="00B92A4C"/>
    <w:rsid w:val="00BA223E"/>
    <w:rsid w:val="00BA5580"/>
    <w:rsid w:val="00BA6A11"/>
    <w:rsid w:val="00BC5727"/>
    <w:rsid w:val="00BD01E8"/>
    <w:rsid w:val="00BD6431"/>
    <w:rsid w:val="00BE4CC6"/>
    <w:rsid w:val="00BE6210"/>
    <w:rsid w:val="00BF2546"/>
    <w:rsid w:val="00C10827"/>
    <w:rsid w:val="00C35A41"/>
    <w:rsid w:val="00C36F08"/>
    <w:rsid w:val="00C664A0"/>
    <w:rsid w:val="00C72063"/>
    <w:rsid w:val="00C72D1E"/>
    <w:rsid w:val="00C85BBC"/>
    <w:rsid w:val="00CD06DD"/>
    <w:rsid w:val="00CF4D0B"/>
    <w:rsid w:val="00D05BB4"/>
    <w:rsid w:val="00D072D8"/>
    <w:rsid w:val="00D07D63"/>
    <w:rsid w:val="00D22973"/>
    <w:rsid w:val="00D533FB"/>
    <w:rsid w:val="00D5542B"/>
    <w:rsid w:val="00D57ECF"/>
    <w:rsid w:val="00D83C91"/>
    <w:rsid w:val="00D87AB7"/>
    <w:rsid w:val="00D9102D"/>
    <w:rsid w:val="00D969BC"/>
    <w:rsid w:val="00DA7123"/>
    <w:rsid w:val="00DB1F5E"/>
    <w:rsid w:val="00DB549E"/>
    <w:rsid w:val="00DB5EED"/>
    <w:rsid w:val="00DF26F3"/>
    <w:rsid w:val="00DF7926"/>
    <w:rsid w:val="00E004B5"/>
    <w:rsid w:val="00E13B6C"/>
    <w:rsid w:val="00E22E23"/>
    <w:rsid w:val="00E247C5"/>
    <w:rsid w:val="00E2523A"/>
    <w:rsid w:val="00E258A5"/>
    <w:rsid w:val="00E3119C"/>
    <w:rsid w:val="00E32BF6"/>
    <w:rsid w:val="00E600D6"/>
    <w:rsid w:val="00E73F93"/>
    <w:rsid w:val="00E82264"/>
    <w:rsid w:val="00E86457"/>
    <w:rsid w:val="00E9175E"/>
    <w:rsid w:val="00E97808"/>
    <w:rsid w:val="00EB2E4C"/>
    <w:rsid w:val="00EB6713"/>
    <w:rsid w:val="00EB739E"/>
    <w:rsid w:val="00EB7BB4"/>
    <w:rsid w:val="00EC29C2"/>
    <w:rsid w:val="00ED36C8"/>
    <w:rsid w:val="00ED5089"/>
    <w:rsid w:val="00F36307"/>
    <w:rsid w:val="00F363E5"/>
    <w:rsid w:val="00F50222"/>
    <w:rsid w:val="00F56C7A"/>
    <w:rsid w:val="00F62B9B"/>
    <w:rsid w:val="00F736D0"/>
    <w:rsid w:val="00F74ADE"/>
    <w:rsid w:val="00F818F3"/>
    <w:rsid w:val="00F8640B"/>
    <w:rsid w:val="00F949A9"/>
    <w:rsid w:val="00FA0011"/>
    <w:rsid w:val="00FA133F"/>
    <w:rsid w:val="00FA1D0B"/>
    <w:rsid w:val="00FB0233"/>
    <w:rsid w:val="00FB6C0A"/>
    <w:rsid w:val="00FC475F"/>
    <w:rsid w:val="00FD16B8"/>
    <w:rsid w:val="00FD4177"/>
    <w:rsid w:val="00FD4C49"/>
    <w:rsid w:val="00FE3DDE"/>
    <w:rsid w:val="00FE66A0"/>
    <w:rsid w:val="00FE7CFC"/>
    <w:rsid w:val="00FF14A8"/>
    <w:rsid w:val="00FF6674"/>
    <w:rsid w:val="00FF6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8B4B65"/>
    <w:rPr>
      <w:sz w:val="24"/>
      <w:lang w:val="fr-FR" w:eastAsia="fr-FR" w:bidi="ar-SA"/>
    </w:rPr>
  </w:style>
  <w:style w:type="paragraph" w:customStyle="1" w:styleId="CarCar1">
    <w:name w:val="Car Car1"/>
    <w:basedOn w:val="Normal"/>
    <w:rsid w:val="007E28A9"/>
    <w:pPr>
      <w:spacing w:after="160" w:line="240" w:lineRule="exact"/>
    </w:pPr>
    <w:rPr>
      <w:rFonts w:ascii="Tahoma" w:hAnsi="Tahoma"/>
      <w:lang w:val="en-US" w:eastAsia="en-US"/>
    </w:rPr>
  </w:style>
  <w:style w:type="character" w:styleId="Marquedecommentaire">
    <w:name w:val="annotation reference"/>
    <w:uiPriority w:val="99"/>
    <w:semiHidden/>
    <w:unhideWhenUsed/>
    <w:rsid w:val="00056E94"/>
    <w:rPr>
      <w:sz w:val="16"/>
      <w:szCs w:val="16"/>
    </w:rPr>
  </w:style>
  <w:style w:type="paragraph" w:styleId="Commentaire">
    <w:name w:val="annotation text"/>
    <w:basedOn w:val="Normal"/>
    <w:link w:val="CommentaireCar"/>
    <w:uiPriority w:val="99"/>
    <w:semiHidden/>
    <w:unhideWhenUsed/>
    <w:rsid w:val="00056E94"/>
  </w:style>
  <w:style w:type="character" w:customStyle="1" w:styleId="CommentaireCar">
    <w:name w:val="Commentaire Car"/>
    <w:basedOn w:val="Policepardfaut"/>
    <w:link w:val="Commentaire"/>
    <w:uiPriority w:val="99"/>
    <w:semiHidden/>
    <w:rsid w:val="00056E94"/>
  </w:style>
  <w:style w:type="paragraph" w:styleId="Objetducommentaire">
    <w:name w:val="annotation subject"/>
    <w:basedOn w:val="Commentaire"/>
    <w:next w:val="Commentaire"/>
    <w:link w:val="ObjetducommentaireCar"/>
    <w:uiPriority w:val="99"/>
    <w:semiHidden/>
    <w:unhideWhenUsed/>
    <w:rsid w:val="00056E94"/>
    <w:rPr>
      <w:b/>
      <w:bCs/>
    </w:rPr>
  </w:style>
  <w:style w:type="character" w:customStyle="1" w:styleId="ObjetducommentaireCar">
    <w:name w:val="Objet du commentaire Car"/>
    <w:link w:val="Objetducommentaire"/>
    <w:uiPriority w:val="99"/>
    <w:semiHidden/>
    <w:rsid w:val="00056E94"/>
    <w:rPr>
      <w:b/>
      <w:bCs/>
    </w:rPr>
  </w:style>
  <w:style w:type="paragraph" w:customStyle="1" w:styleId="enumration2">
    <w:name w:val="enumération 2"/>
    <w:basedOn w:val="Normal"/>
    <w:rsid w:val="003F176A"/>
    <w:pPr>
      <w:numPr>
        <w:numId w:val="3"/>
      </w:numPr>
      <w:spacing w:before="120" w:after="120"/>
      <w:jc w:val="both"/>
    </w:pPr>
    <w:rPr>
      <w:sz w:val="24"/>
    </w:rPr>
  </w:style>
  <w:style w:type="character" w:styleId="Numrodepage">
    <w:name w:val="page number"/>
    <w:rsid w:val="003F176A"/>
  </w:style>
  <w:style w:type="character" w:customStyle="1" w:styleId="Normal1">
    <w:name w:val="Normal1"/>
    <w:rsid w:val="00183EFC"/>
  </w:style>
  <w:style w:type="paragraph" w:styleId="En-tte">
    <w:name w:val="header"/>
    <w:basedOn w:val="Normal"/>
    <w:link w:val="En-tteCar"/>
    <w:uiPriority w:val="99"/>
    <w:unhideWhenUsed/>
    <w:rsid w:val="00C85BBC"/>
    <w:pPr>
      <w:tabs>
        <w:tab w:val="center" w:pos="4536"/>
        <w:tab w:val="right" w:pos="9072"/>
      </w:tabs>
    </w:pPr>
  </w:style>
  <w:style w:type="character" w:customStyle="1" w:styleId="En-tteCar">
    <w:name w:val="En-tête Car"/>
    <w:basedOn w:val="Policepardfaut"/>
    <w:link w:val="En-tte"/>
    <w:uiPriority w:val="99"/>
    <w:rsid w:val="00C85BBC"/>
  </w:style>
  <w:style w:type="paragraph" w:styleId="Pieddepage">
    <w:name w:val="footer"/>
    <w:basedOn w:val="Normal"/>
    <w:link w:val="PieddepageCar"/>
    <w:uiPriority w:val="99"/>
    <w:unhideWhenUsed/>
    <w:rsid w:val="00C85BBC"/>
    <w:pPr>
      <w:tabs>
        <w:tab w:val="center" w:pos="4536"/>
        <w:tab w:val="right" w:pos="9072"/>
      </w:tabs>
    </w:pPr>
  </w:style>
  <w:style w:type="character" w:customStyle="1" w:styleId="PieddepageCar">
    <w:name w:val="Pied de page Car"/>
    <w:basedOn w:val="Policepardfaut"/>
    <w:link w:val="Pieddepage"/>
    <w:uiPriority w:val="99"/>
    <w:rsid w:val="00C85BBC"/>
  </w:style>
  <w:style w:type="paragraph" w:customStyle="1" w:styleId="P0">
    <w:name w:val="P0"/>
    <w:basedOn w:val="Normal"/>
    <w:link w:val="P0Car"/>
    <w:rsid w:val="00D83C91"/>
    <w:pPr>
      <w:ind w:left="1701"/>
      <w:jc w:val="both"/>
    </w:pPr>
    <w:rPr>
      <w:sz w:val="24"/>
      <w:szCs w:val="24"/>
    </w:rPr>
  </w:style>
  <w:style w:type="paragraph" w:customStyle="1" w:styleId="ps0">
    <w:name w:val="ps"/>
    <w:basedOn w:val="Normal"/>
    <w:rsid w:val="00D83C91"/>
    <w:pPr>
      <w:spacing w:before="100" w:beforeAutospacing="1" w:after="100" w:afterAutospacing="1"/>
    </w:pPr>
    <w:rPr>
      <w:sz w:val="24"/>
      <w:szCs w:val="24"/>
    </w:rPr>
  </w:style>
  <w:style w:type="character" w:customStyle="1" w:styleId="P0Car">
    <w:name w:val="P0 Car"/>
    <w:link w:val="P0"/>
    <w:rsid w:val="00D83C91"/>
    <w:rPr>
      <w:sz w:val="24"/>
      <w:szCs w:val="24"/>
    </w:rPr>
  </w:style>
  <w:style w:type="paragraph" w:styleId="Rvision">
    <w:name w:val="Revision"/>
    <w:hidden/>
    <w:uiPriority w:val="99"/>
    <w:semiHidden/>
    <w:rsid w:val="004651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A1ECB-FE6F-4DAE-8D42-C133F149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 appel1.dot</Template>
  <TotalTime>6</TotalTime>
  <Pages>4</Pages>
  <Words>894</Words>
  <Characters>4922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Montferrat, arrêt</vt:lpstr>
    </vt:vector>
  </TitlesOfParts>
  <Company>COUR DES COMPTES</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Jean-Pierre Bonin</cp:lastModifiedBy>
  <cp:revision>4</cp:revision>
  <cp:lastPrinted>2013-10-01T15:53:00Z</cp:lastPrinted>
  <dcterms:created xsi:type="dcterms:W3CDTF">2013-10-29T17:35:00Z</dcterms:created>
  <dcterms:modified xsi:type="dcterms:W3CDTF">2013-10-30T19:44:00Z</dcterms:modified>
</cp:coreProperties>
</file>