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9" w:type="dxa"/>
        <w:tblInd w:w="-497" w:type="dxa"/>
        <w:tblLayout w:type="fixed"/>
        <w:tblCellMar>
          <w:left w:w="70" w:type="dxa"/>
          <w:right w:w="70" w:type="dxa"/>
        </w:tblCellMar>
        <w:tblLook w:val="0000" w:firstRow="0" w:lastRow="0" w:firstColumn="0" w:lastColumn="0" w:noHBand="0" w:noVBand="0"/>
      </w:tblPr>
      <w:tblGrid>
        <w:gridCol w:w="2835"/>
        <w:gridCol w:w="2552"/>
        <w:gridCol w:w="4252"/>
      </w:tblGrid>
      <w:tr w:rsidR="00C46413">
        <w:tc>
          <w:tcPr>
            <w:tcW w:w="2835" w:type="dxa"/>
            <w:vAlign w:val="center"/>
          </w:tcPr>
          <w:p w:rsidR="00865348" w:rsidRPr="00B772D6" w:rsidRDefault="00865348" w:rsidP="00C46413">
            <w:pPr>
              <w:pStyle w:val="1pageCour"/>
            </w:pPr>
            <w:r w:rsidRPr="00B772D6">
              <w:t>Cour des comptes</w:t>
            </w:r>
          </w:p>
        </w:tc>
        <w:tc>
          <w:tcPr>
            <w:tcW w:w="2552" w:type="dxa"/>
            <w:vAlign w:val="center"/>
          </w:tcPr>
          <w:p w:rsidR="00C46413" w:rsidRDefault="00C46413" w:rsidP="00C46413">
            <w:pPr>
              <w:pStyle w:val="1pageCour"/>
            </w:pPr>
          </w:p>
        </w:tc>
        <w:tc>
          <w:tcPr>
            <w:tcW w:w="4252" w:type="dxa"/>
            <w:vAlign w:val="center"/>
          </w:tcPr>
          <w:p w:rsidR="00C46413" w:rsidRDefault="00C46413" w:rsidP="00C46413">
            <w:pPr>
              <w:pStyle w:val="1pageCour"/>
            </w:pPr>
          </w:p>
        </w:tc>
      </w:tr>
      <w:tr w:rsidR="00C46413" w:rsidRPr="00C176ED">
        <w:tc>
          <w:tcPr>
            <w:tcW w:w="2835" w:type="dxa"/>
            <w:vAlign w:val="center"/>
          </w:tcPr>
          <w:p w:rsidR="00C46413" w:rsidRPr="00C176ED" w:rsidRDefault="00C46413" w:rsidP="00C46413">
            <w:pPr>
              <w:pStyle w:val="1pageCour"/>
              <w:rPr>
                <w:sz w:val="16"/>
                <w:szCs w:val="16"/>
              </w:rPr>
            </w:pPr>
            <w:r w:rsidRPr="00C176ED">
              <w:rPr>
                <w:sz w:val="16"/>
                <w:szCs w:val="16"/>
              </w:rPr>
              <w:t>----------</w:t>
            </w:r>
          </w:p>
        </w:tc>
        <w:tc>
          <w:tcPr>
            <w:tcW w:w="2552" w:type="dxa"/>
            <w:vAlign w:val="center"/>
          </w:tcPr>
          <w:p w:rsidR="00C46413" w:rsidRPr="00C176ED" w:rsidRDefault="00C46413" w:rsidP="00C46413">
            <w:pPr>
              <w:pStyle w:val="1pageCour"/>
              <w:rPr>
                <w:sz w:val="16"/>
                <w:szCs w:val="16"/>
              </w:rPr>
            </w:pPr>
          </w:p>
        </w:tc>
        <w:tc>
          <w:tcPr>
            <w:tcW w:w="4252" w:type="dxa"/>
            <w:vAlign w:val="center"/>
          </w:tcPr>
          <w:p w:rsidR="00C46413" w:rsidRPr="00C176ED" w:rsidRDefault="00C46413" w:rsidP="00C46413">
            <w:pPr>
              <w:pStyle w:val="1pageCour"/>
              <w:rPr>
                <w:sz w:val="16"/>
                <w:szCs w:val="16"/>
              </w:rPr>
            </w:pPr>
          </w:p>
        </w:tc>
      </w:tr>
      <w:tr w:rsidR="00C46413">
        <w:trPr>
          <w:trHeight w:val="498"/>
        </w:trPr>
        <w:tc>
          <w:tcPr>
            <w:tcW w:w="2835" w:type="dxa"/>
            <w:vAlign w:val="center"/>
          </w:tcPr>
          <w:p w:rsidR="00C46413" w:rsidRDefault="00C46413" w:rsidP="00C46413">
            <w:pPr>
              <w:pStyle w:val="1pageChambre"/>
            </w:pPr>
            <w:r>
              <w:t>Quatrième chambre</w:t>
            </w:r>
          </w:p>
        </w:tc>
        <w:tc>
          <w:tcPr>
            <w:tcW w:w="2552" w:type="dxa"/>
            <w:vAlign w:val="center"/>
          </w:tcPr>
          <w:p w:rsidR="00C46413" w:rsidRDefault="00C46413" w:rsidP="00C46413">
            <w:pPr>
              <w:pStyle w:val="1pageCour"/>
            </w:pPr>
          </w:p>
        </w:tc>
        <w:tc>
          <w:tcPr>
            <w:tcW w:w="4252" w:type="dxa"/>
            <w:vAlign w:val="center"/>
          </w:tcPr>
          <w:p w:rsidR="00C46413" w:rsidRDefault="00C46413" w:rsidP="00C46413">
            <w:pPr>
              <w:pStyle w:val="1pageCour"/>
            </w:pPr>
          </w:p>
        </w:tc>
      </w:tr>
      <w:tr w:rsidR="00C46413" w:rsidRPr="00C176ED">
        <w:tc>
          <w:tcPr>
            <w:tcW w:w="2835" w:type="dxa"/>
            <w:vAlign w:val="center"/>
          </w:tcPr>
          <w:p w:rsidR="00C46413" w:rsidRPr="00C176ED" w:rsidRDefault="00C46413" w:rsidP="00C46413">
            <w:pPr>
              <w:pStyle w:val="1pageChambre"/>
              <w:rPr>
                <w:sz w:val="16"/>
                <w:szCs w:val="16"/>
              </w:rPr>
            </w:pPr>
            <w:r w:rsidRPr="00C176ED">
              <w:rPr>
                <w:sz w:val="16"/>
                <w:szCs w:val="16"/>
              </w:rPr>
              <w:t>----------</w:t>
            </w:r>
          </w:p>
        </w:tc>
        <w:tc>
          <w:tcPr>
            <w:tcW w:w="2552" w:type="dxa"/>
            <w:vAlign w:val="center"/>
          </w:tcPr>
          <w:p w:rsidR="00C46413" w:rsidRPr="00C176ED" w:rsidRDefault="00C46413" w:rsidP="00C46413">
            <w:pPr>
              <w:pStyle w:val="1pageCour"/>
              <w:rPr>
                <w:sz w:val="16"/>
                <w:szCs w:val="16"/>
              </w:rPr>
            </w:pPr>
          </w:p>
        </w:tc>
        <w:tc>
          <w:tcPr>
            <w:tcW w:w="4252" w:type="dxa"/>
            <w:vAlign w:val="center"/>
          </w:tcPr>
          <w:p w:rsidR="00C46413" w:rsidRPr="00C176ED" w:rsidRDefault="00C46413" w:rsidP="00C46413">
            <w:pPr>
              <w:pStyle w:val="1pageCour"/>
              <w:rPr>
                <w:sz w:val="16"/>
                <w:szCs w:val="16"/>
              </w:rPr>
            </w:pPr>
          </w:p>
        </w:tc>
      </w:tr>
      <w:tr w:rsidR="00C46413" w:rsidRPr="00BE69A2">
        <w:tc>
          <w:tcPr>
            <w:tcW w:w="2835" w:type="dxa"/>
            <w:vAlign w:val="center"/>
          </w:tcPr>
          <w:p w:rsidR="00C46413" w:rsidRPr="00F30C3C" w:rsidRDefault="00C46413" w:rsidP="00C46413">
            <w:pPr>
              <w:pStyle w:val="1pageChambre"/>
            </w:pPr>
            <w:r w:rsidRPr="00F30C3C">
              <w:t>Première section</w:t>
            </w:r>
          </w:p>
        </w:tc>
        <w:tc>
          <w:tcPr>
            <w:tcW w:w="2552" w:type="dxa"/>
            <w:vAlign w:val="center"/>
          </w:tcPr>
          <w:p w:rsidR="00C46413" w:rsidRPr="00BE69A2" w:rsidRDefault="00C46413" w:rsidP="00C46413">
            <w:pPr>
              <w:pStyle w:val="1pageCour"/>
              <w:rPr>
                <w:sz w:val="16"/>
                <w:szCs w:val="16"/>
              </w:rPr>
            </w:pPr>
          </w:p>
        </w:tc>
        <w:tc>
          <w:tcPr>
            <w:tcW w:w="4252" w:type="dxa"/>
            <w:vAlign w:val="center"/>
          </w:tcPr>
          <w:p w:rsidR="00C46413" w:rsidRPr="00BE69A2" w:rsidRDefault="00C46413" w:rsidP="00C46413">
            <w:pPr>
              <w:pStyle w:val="1pageCour"/>
              <w:rPr>
                <w:sz w:val="16"/>
                <w:szCs w:val="16"/>
              </w:rPr>
            </w:pPr>
          </w:p>
        </w:tc>
      </w:tr>
      <w:tr w:rsidR="00C46413" w:rsidRPr="00C176ED">
        <w:tc>
          <w:tcPr>
            <w:tcW w:w="2835" w:type="dxa"/>
            <w:vAlign w:val="center"/>
          </w:tcPr>
          <w:p w:rsidR="00C46413" w:rsidRPr="00C176ED" w:rsidRDefault="00C46413" w:rsidP="009F552E">
            <w:pPr>
              <w:pStyle w:val="1pageCour"/>
              <w:spacing w:after="120"/>
              <w:rPr>
                <w:sz w:val="16"/>
                <w:szCs w:val="16"/>
              </w:rPr>
            </w:pPr>
            <w:r w:rsidRPr="00C176ED">
              <w:rPr>
                <w:sz w:val="16"/>
                <w:szCs w:val="16"/>
              </w:rPr>
              <w:t>----------</w:t>
            </w:r>
            <w:r w:rsidR="009F552E">
              <w:rPr>
                <w:sz w:val="16"/>
                <w:szCs w:val="16"/>
              </w:rPr>
              <w:t>-</w:t>
            </w:r>
          </w:p>
        </w:tc>
        <w:tc>
          <w:tcPr>
            <w:tcW w:w="2552" w:type="dxa"/>
            <w:vAlign w:val="center"/>
          </w:tcPr>
          <w:p w:rsidR="00C46413" w:rsidRPr="00C176ED" w:rsidRDefault="00C46413" w:rsidP="00C46413">
            <w:pPr>
              <w:pStyle w:val="1pageCour"/>
              <w:rPr>
                <w:sz w:val="16"/>
                <w:szCs w:val="16"/>
              </w:rPr>
            </w:pPr>
          </w:p>
        </w:tc>
        <w:tc>
          <w:tcPr>
            <w:tcW w:w="4252" w:type="dxa"/>
            <w:vAlign w:val="center"/>
          </w:tcPr>
          <w:p w:rsidR="00C46413" w:rsidRPr="00C176ED" w:rsidRDefault="00C46413" w:rsidP="00C46413">
            <w:pPr>
              <w:pStyle w:val="1pageCour"/>
              <w:rPr>
                <w:sz w:val="16"/>
                <w:szCs w:val="16"/>
              </w:rPr>
            </w:pPr>
          </w:p>
        </w:tc>
      </w:tr>
      <w:tr w:rsidR="00C46413" w:rsidRPr="00DA003C">
        <w:tc>
          <w:tcPr>
            <w:tcW w:w="2835" w:type="dxa"/>
            <w:vAlign w:val="center"/>
          </w:tcPr>
          <w:p w:rsidR="00C46413" w:rsidRPr="009F552E" w:rsidRDefault="00C46413" w:rsidP="00DF340F">
            <w:pPr>
              <w:pStyle w:val="Corpsdetexte"/>
              <w:spacing w:before="0" w:after="240"/>
              <w:ind w:left="0" w:firstLine="0"/>
              <w:jc w:val="center"/>
              <w:rPr>
                <w:b/>
                <w:i/>
                <w:sz w:val="22"/>
                <w:szCs w:val="22"/>
              </w:rPr>
            </w:pPr>
            <w:r w:rsidRPr="009F552E">
              <w:rPr>
                <w:b/>
                <w:i/>
                <w:sz w:val="22"/>
                <w:szCs w:val="22"/>
              </w:rPr>
              <w:t>Arrêt n°</w:t>
            </w:r>
            <w:r w:rsidR="009F552E" w:rsidRPr="009F552E">
              <w:rPr>
                <w:b/>
                <w:i/>
                <w:sz w:val="22"/>
                <w:szCs w:val="22"/>
              </w:rPr>
              <w:t xml:space="preserve"> 68700</w:t>
            </w:r>
          </w:p>
        </w:tc>
        <w:tc>
          <w:tcPr>
            <w:tcW w:w="2552" w:type="dxa"/>
            <w:vAlign w:val="center"/>
          </w:tcPr>
          <w:p w:rsidR="00C46413" w:rsidRPr="00DA003C" w:rsidRDefault="00C46413" w:rsidP="00C46413">
            <w:pPr>
              <w:pStyle w:val="Corpsdetexte"/>
              <w:spacing w:before="0" w:after="0"/>
              <w:ind w:left="0" w:firstLine="0"/>
              <w:jc w:val="center"/>
              <w:rPr>
                <w:i/>
                <w:sz w:val="22"/>
                <w:szCs w:val="22"/>
              </w:rPr>
            </w:pPr>
          </w:p>
        </w:tc>
        <w:tc>
          <w:tcPr>
            <w:tcW w:w="4252" w:type="dxa"/>
            <w:vAlign w:val="center"/>
          </w:tcPr>
          <w:p w:rsidR="00C46413" w:rsidRPr="00DA003C" w:rsidRDefault="00C46413" w:rsidP="00C46413">
            <w:pPr>
              <w:pStyle w:val="Corpsdetexte"/>
              <w:spacing w:before="0" w:after="0"/>
              <w:ind w:left="0" w:firstLine="0"/>
              <w:jc w:val="center"/>
              <w:rPr>
                <w:i/>
                <w:sz w:val="22"/>
                <w:szCs w:val="22"/>
              </w:rPr>
            </w:pPr>
          </w:p>
        </w:tc>
      </w:tr>
      <w:tr w:rsidR="00C46413">
        <w:tc>
          <w:tcPr>
            <w:tcW w:w="2835" w:type="dxa"/>
            <w:vAlign w:val="center"/>
          </w:tcPr>
          <w:p w:rsidR="00C46413" w:rsidRPr="00FA2BFF" w:rsidRDefault="00C46413" w:rsidP="00C46413">
            <w:pPr>
              <w:pStyle w:val="Corpsdetexte"/>
              <w:spacing w:before="0" w:after="0"/>
              <w:ind w:left="0" w:firstLine="0"/>
              <w:jc w:val="center"/>
              <w:rPr>
                <w:sz w:val="16"/>
                <w:szCs w:val="16"/>
              </w:rPr>
            </w:pPr>
          </w:p>
        </w:tc>
        <w:tc>
          <w:tcPr>
            <w:tcW w:w="2552" w:type="dxa"/>
            <w:vAlign w:val="center"/>
          </w:tcPr>
          <w:p w:rsidR="00C46413" w:rsidRDefault="00C46413" w:rsidP="00C46413">
            <w:pPr>
              <w:pStyle w:val="Corpsdetexte"/>
              <w:spacing w:before="0" w:after="0"/>
              <w:ind w:left="0" w:firstLine="0"/>
              <w:jc w:val="left"/>
            </w:pPr>
          </w:p>
        </w:tc>
        <w:tc>
          <w:tcPr>
            <w:tcW w:w="4252" w:type="dxa"/>
            <w:vAlign w:val="center"/>
          </w:tcPr>
          <w:p w:rsidR="00C46413" w:rsidRDefault="00C46413" w:rsidP="00C46413">
            <w:pPr>
              <w:pStyle w:val="Corpstextegauche"/>
              <w:spacing w:before="0" w:after="0"/>
              <w:jc w:val="left"/>
              <w:rPr>
                <w:caps/>
              </w:rPr>
            </w:pPr>
            <w:r>
              <w:rPr>
                <w:caps/>
              </w:rPr>
              <w:t xml:space="preserve">Commune de </w:t>
            </w:r>
            <w:r w:rsidR="00733A1F">
              <w:rPr>
                <w:caps/>
              </w:rPr>
              <w:t>BULGNEVILLE</w:t>
            </w:r>
          </w:p>
          <w:p w:rsidR="00C46413" w:rsidRPr="009F552E" w:rsidRDefault="009F552E" w:rsidP="009F552E">
            <w:pPr>
              <w:pStyle w:val="Corpsdetexte"/>
              <w:spacing w:before="0" w:after="240"/>
              <w:ind w:left="0" w:firstLine="0"/>
            </w:pPr>
            <w:r w:rsidRPr="009F552E">
              <w:t>(VOSGES)</w:t>
            </w:r>
          </w:p>
        </w:tc>
      </w:tr>
      <w:tr w:rsidR="00C46413">
        <w:tc>
          <w:tcPr>
            <w:tcW w:w="2835" w:type="dxa"/>
            <w:vAlign w:val="center"/>
          </w:tcPr>
          <w:p w:rsidR="00C46413" w:rsidRDefault="00C46413" w:rsidP="00C46413">
            <w:pPr>
              <w:pStyle w:val="Corpsdetexte"/>
              <w:spacing w:before="60" w:after="60"/>
              <w:ind w:left="0" w:firstLine="0"/>
              <w:jc w:val="center"/>
            </w:pPr>
          </w:p>
        </w:tc>
        <w:tc>
          <w:tcPr>
            <w:tcW w:w="2552" w:type="dxa"/>
            <w:vAlign w:val="center"/>
          </w:tcPr>
          <w:p w:rsidR="00C46413" w:rsidRDefault="00C46413" w:rsidP="00C46413">
            <w:pPr>
              <w:pStyle w:val="Corpsdetexte"/>
              <w:spacing w:before="60" w:after="60"/>
              <w:ind w:left="0" w:firstLine="0"/>
              <w:jc w:val="left"/>
            </w:pPr>
          </w:p>
        </w:tc>
        <w:tc>
          <w:tcPr>
            <w:tcW w:w="4252" w:type="dxa"/>
            <w:vAlign w:val="center"/>
          </w:tcPr>
          <w:p w:rsidR="00C46413" w:rsidRPr="001732E8" w:rsidRDefault="00C46413" w:rsidP="00733A1F">
            <w:pPr>
              <w:pStyle w:val="Corpstextegauche"/>
            </w:pPr>
            <w:r>
              <w:t>Appel d’un jugement de la chambre régionale des comptes de L</w:t>
            </w:r>
            <w:r w:rsidR="00733A1F">
              <w:t>orraine</w:t>
            </w:r>
          </w:p>
        </w:tc>
      </w:tr>
      <w:tr w:rsidR="00C46413">
        <w:tc>
          <w:tcPr>
            <w:tcW w:w="2835" w:type="dxa"/>
            <w:vAlign w:val="center"/>
          </w:tcPr>
          <w:p w:rsidR="00C46413" w:rsidRDefault="00C46413" w:rsidP="00C46413">
            <w:pPr>
              <w:pStyle w:val="Corpsdetexte"/>
              <w:spacing w:before="60" w:after="60"/>
              <w:ind w:left="0" w:firstLine="0"/>
              <w:jc w:val="center"/>
            </w:pPr>
          </w:p>
        </w:tc>
        <w:tc>
          <w:tcPr>
            <w:tcW w:w="2552" w:type="dxa"/>
            <w:vAlign w:val="center"/>
          </w:tcPr>
          <w:p w:rsidR="00C46413" w:rsidRDefault="00C46413" w:rsidP="00C46413">
            <w:pPr>
              <w:pStyle w:val="Corpsdetexte"/>
              <w:spacing w:before="60" w:after="60"/>
              <w:ind w:left="0" w:firstLine="0"/>
              <w:jc w:val="left"/>
            </w:pPr>
          </w:p>
        </w:tc>
        <w:tc>
          <w:tcPr>
            <w:tcW w:w="4252" w:type="dxa"/>
            <w:vAlign w:val="center"/>
          </w:tcPr>
          <w:p w:rsidR="00C46413" w:rsidRDefault="00C46413" w:rsidP="00733A1F">
            <w:pPr>
              <w:pStyle w:val="Corpstextegauche"/>
            </w:pPr>
            <w:r>
              <w:t>Rapport n° 2013-</w:t>
            </w:r>
            <w:r w:rsidR="00733A1F">
              <w:t>570</w:t>
            </w:r>
            <w:r>
              <w:t>-0</w:t>
            </w:r>
          </w:p>
        </w:tc>
      </w:tr>
      <w:tr w:rsidR="00C46413">
        <w:tc>
          <w:tcPr>
            <w:tcW w:w="2835" w:type="dxa"/>
            <w:vAlign w:val="center"/>
          </w:tcPr>
          <w:p w:rsidR="00C46413" w:rsidRDefault="00C46413" w:rsidP="00C46413">
            <w:pPr>
              <w:pStyle w:val="Corpsdetexte"/>
              <w:spacing w:before="60" w:after="60"/>
              <w:ind w:left="0" w:firstLine="0"/>
              <w:jc w:val="center"/>
            </w:pPr>
          </w:p>
        </w:tc>
        <w:tc>
          <w:tcPr>
            <w:tcW w:w="2552" w:type="dxa"/>
            <w:vAlign w:val="center"/>
          </w:tcPr>
          <w:p w:rsidR="00C46413" w:rsidRDefault="00C46413" w:rsidP="00C46413">
            <w:pPr>
              <w:pStyle w:val="Corpsdetexte"/>
              <w:spacing w:before="60" w:after="60"/>
              <w:ind w:left="0" w:firstLine="0"/>
              <w:jc w:val="left"/>
            </w:pPr>
          </w:p>
        </w:tc>
        <w:tc>
          <w:tcPr>
            <w:tcW w:w="4252" w:type="dxa"/>
            <w:vAlign w:val="center"/>
          </w:tcPr>
          <w:p w:rsidR="00C46413" w:rsidRDefault="00C46413" w:rsidP="009F552E">
            <w:pPr>
              <w:pStyle w:val="Corpstextegauche"/>
            </w:pPr>
            <w:r>
              <w:t xml:space="preserve">Audience publique et délibéré du </w:t>
            </w:r>
            <w:r w:rsidR="00733A1F">
              <w:t>5</w:t>
            </w:r>
            <w:r w:rsidR="009F552E">
              <w:t> </w:t>
            </w:r>
            <w:r w:rsidR="00733A1F">
              <w:t>décembre</w:t>
            </w:r>
            <w:r>
              <w:t xml:space="preserve"> 2013</w:t>
            </w:r>
          </w:p>
        </w:tc>
      </w:tr>
      <w:tr w:rsidR="00C46413">
        <w:tc>
          <w:tcPr>
            <w:tcW w:w="2835" w:type="dxa"/>
            <w:vAlign w:val="center"/>
          </w:tcPr>
          <w:p w:rsidR="00C46413" w:rsidRDefault="00C46413" w:rsidP="00C46413">
            <w:pPr>
              <w:pStyle w:val="Corpsdetexte"/>
              <w:spacing w:before="60" w:after="60"/>
              <w:ind w:left="0" w:firstLine="0"/>
              <w:jc w:val="center"/>
            </w:pPr>
          </w:p>
        </w:tc>
        <w:tc>
          <w:tcPr>
            <w:tcW w:w="2552" w:type="dxa"/>
            <w:vAlign w:val="center"/>
          </w:tcPr>
          <w:p w:rsidR="00C46413" w:rsidRDefault="00C46413" w:rsidP="00C46413">
            <w:pPr>
              <w:pStyle w:val="Corpsdetexte"/>
              <w:spacing w:before="60" w:after="60"/>
              <w:ind w:left="0" w:firstLine="0"/>
              <w:jc w:val="left"/>
            </w:pPr>
          </w:p>
        </w:tc>
        <w:tc>
          <w:tcPr>
            <w:tcW w:w="4252" w:type="dxa"/>
            <w:vAlign w:val="center"/>
          </w:tcPr>
          <w:p w:rsidR="00C46413" w:rsidRDefault="00C46413" w:rsidP="009F552E">
            <w:pPr>
              <w:pStyle w:val="Corpstextegauche"/>
              <w:spacing w:after="480"/>
            </w:pPr>
            <w:r>
              <w:t xml:space="preserve">Lecture publique du </w:t>
            </w:r>
            <w:r w:rsidR="009F552E">
              <w:t>30 janvier 2014</w:t>
            </w:r>
          </w:p>
        </w:tc>
      </w:tr>
    </w:tbl>
    <w:p w:rsidR="00C46413" w:rsidRPr="0079686A" w:rsidRDefault="0079686A" w:rsidP="0079686A">
      <w:pPr>
        <w:pStyle w:val="Corpsdetexte"/>
        <w:spacing w:after="240"/>
        <w:jc w:val="left"/>
      </w:pPr>
      <w:r w:rsidRPr="0079686A">
        <w:t>LA COUR DES COMPTES a rendu l’arrêt suivant :</w:t>
      </w:r>
    </w:p>
    <w:p w:rsidR="00C46413" w:rsidRDefault="00C46413" w:rsidP="00C46413">
      <w:pPr>
        <w:pStyle w:val="Corpsdetexte"/>
      </w:pPr>
    </w:p>
    <w:p w:rsidR="00E70AA0" w:rsidRPr="00972D9F" w:rsidRDefault="00E70AA0" w:rsidP="00733A1F">
      <w:pPr>
        <w:spacing w:before="240" w:after="240"/>
        <w:ind w:left="0" w:firstLine="2835"/>
      </w:pPr>
      <w:r w:rsidRPr="00972D9F">
        <w:t>L</w:t>
      </w:r>
      <w:r w:rsidR="009F552E">
        <w:t>A</w:t>
      </w:r>
      <w:r w:rsidRPr="00972D9F">
        <w:t xml:space="preserve"> COUR,</w:t>
      </w:r>
    </w:p>
    <w:p w:rsidR="00403AA7" w:rsidRPr="00972D9F" w:rsidRDefault="00E70AA0" w:rsidP="00403AA7">
      <w:pPr>
        <w:spacing w:before="240" w:after="240"/>
        <w:ind w:left="1701"/>
      </w:pPr>
      <w:r w:rsidRPr="00972D9F">
        <w:t xml:space="preserve">Vu les requêtes, enregistrées </w:t>
      </w:r>
      <w:r w:rsidR="00403AA7" w:rsidRPr="00972D9F">
        <w:t>respectivement les 4</w:t>
      </w:r>
      <w:r w:rsidRPr="00972D9F">
        <w:t xml:space="preserve">, 6 </w:t>
      </w:r>
      <w:r w:rsidR="00403AA7" w:rsidRPr="00972D9F">
        <w:t>et 10</w:t>
      </w:r>
      <w:r w:rsidR="007734F0">
        <w:t xml:space="preserve"> </w:t>
      </w:r>
      <w:r w:rsidRPr="00972D9F">
        <w:t>avril</w:t>
      </w:r>
      <w:r w:rsidR="007734F0">
        <w:t xml:space="preserve"> </w:t>
      </w:r>
      <w:r w:rsidRPr="00972D9F">
        <w:t xml:space="preserve">2012 au greffe de la chambre régionale des comptes de Lorraine, par lesquelles </w:t>
      </w:r>
      <w:r w:rsidR="00733A1F" w:rsidRPr="00972D9F">
        <w:t>M.</w:t>
      </w:r>
      <w:r w:rsidR="009F552E">
        <w:t> </w:t>
      </w:r>
      <w:r w:rsidR="006435CA">
        <w:t>X</w:t>
      </w:r>
      <w:r w:rsidR="00733A1F" w:rsidRPr="00972D9F">
        <w:t xml:space="preserve">, </w:t>
      </w:r>
      <w:r w:rsidRPr="00972D9F">
        <w:t>M.</w:t>
      </w:r>
      <w:r w:rsidR="009F552E">
        <w:t> </w:t>
      </w:r>
      <w:r w:rsidR="006435CA">
        <w:t>Y</w:t>
      </w:r>
      <w:r w:rsidR="00733A1F" w:rsidRPr="00972D9F">
        <w:t xml:space="preserve"> et</w:t>
      </w:r>
      <w:r w:rsidRPr="00972D9F">
        <w:t xml:space="preserve"> </w:t>
      </w:r>
      <w:r w:rsidR="006435CA">
        <w:t>M</w:t>
      </w:r>
      <w:r w:rsidR="006435CA" w:rsidRPr="007734F0">
        <w:rPr>
          <w:vertAlign w:val="superscript"/>
        </w:rPr>
        <w:t>me</w:t>
      </w:r>
      <w:r w:rsidR="006435CA">
        <w:t xml:space="preserve"> Z</w:t>
      </w:r>
      <w:r w:rsidRPr="00972D9F">
        <w:t>, comptables successifs de la commune de</w:t>
      </w:r>
      <w:r w:rsidR="007734F0">
        <w:t xml:space="preserve"> </w:t>
      </w:r>
      <w:r w:rsidRPr="00972D9F">
        <w:t>Bulgnéville</w:t>
      </w:r>
      <w:r w:rsidR="00733A1F" w:rsidRPr="00972D9F">
        <w:t xml:space="preserve"> pour les exercices 2006 à 2008</w:t>
      </w:r>
      <w:r w:rsidRPr="00972D9F">
        <w:t>, ont élevé appel du jugement</w:t>
      </w:r>
      <w:r w:rsidR="00070EE8">
        <w:t xml:space="preserve"> </w:t>
      </w:r>
      <w:r w:rsidRPr="00972D9F">
        <w:t>n°</w:t>
      </w:r>
      <w:r w:rsidR="00070EE8">
        <w:t> </w:t>
      </w:r>
      <w:r w:rsidRPr="00972D9F">
        <w:t>2011</w:t>
      </w:r>
      <w:r w:rsidR="00733A1F" w:rsidRPr="00972D9F">
        <w:t>-0015 du</w:t>
      </w:r>
      <w:r w:rsidRPr="00972D9F">
        <w:t xml:space="preserve"> 2 février 2012</w:t>
      </w:r>
      <w:r w:rsidR="00733A1F" w:rsidRPr="00972D9F">
        <w:t xml:space="preserve"> par lequel ladite chambre</w:t>
      </w:r>
      <w:r w:rsidRPr="00972D9F">
        <w:t xml:space="preserve"> les </w:t>
      </w:r>
      <w:r w:rsidR="00733A1F" w:rsidRPr="00972D9F">
        <w:t xml:space="preserve">a </w:t>
      </w:r>
      <w:r w:rsidRPr="00972D9F">
        <w:t>constitu</w:t>
      </w:r>
      <w:r w:rsidR="00733A1F" w:rsidRPr="00972D9F">
        <w:t>és</w:t>
      </w:r>
      <w:r w:rsidRPr="00972D9F">
        <w:t xml:space="preserve"> débiteurs </w:t>
      </w:r>
      <w:r w:rsidR="00403AA7" w:rsidRPr="00972D9F">
        <w:t>de cette commune des</w:t>
      </w:r>
      <w:r w:rsidRPr="00972D9F">
        <w:t xml:space="preserve"> sommes respectives de</w:t>
      </w:r>
      <w:r w:rsidR="00403AA7" w:rsidRPr="00972D9F">
        <w:t xml:space="preserve"> 4</w:t>
      </w:r>
      <w:r w:rsidR="00070EE8">
        <w:t> 754,69 </w:t>
      </w:r>
      <w:r w:rsidR="00403AA7" w:rsidRPr="00972D9F">
        <w:t>€ (M.</w:t>
      </w:r>
      <w:r w:rsidR="009F552E">
        <w:t> </w:t>
      </w:r>
      <w:r w:rsidR="006435CA">
        <w:t>X</w:t>
      </w:r>
      <w:r w:rsidR="00403AA7" w:rsidRPr="00972D9F">
        <w:t xml:space="preserve">), </w:t>
      </w:r>
      <w:r w:rsidRPr="00972D9F">
        <w:t>2</w:t>
      </w:r>
      <w:r w:rsidR="00070EE8">
        <w:t> 771,69 </w:t>
      </w:r>
      <w:r w:rsidRPr="00972D9F">
        <w:t>€ (M.</w:t>
      </w:r>
      <w:r w:rsidR="009F552E">
        <w:t> </w:t>
      </w:r>
      <w:r w:rsidR="006435CA">
        <w:t>Y</w:t>
      </w:r>
      <w:r w:rsidRPr="00972D9F">
        <w:t>)</w:t>
      </w:r>
      <w:r w:rsidR="00403AA7" w:rsidRPr="00972D9F">
        <w:t xml:space="preserve"> et</w:t>
      </w:r>
      <w:r w:rsidRPr="00972D9F">
        <w:t xml:space="preserve"> 2</w:t>
      </w:r>
      <w:r w:rsidR="00070EE8">
        <w:t> 952,31 </w:t>
      </w:r>
      <w:r w:rsidRPr="00972D9F">
        <w:t>€ (M</w:t>
      </w:r>
      <w:r w:rsidRPr="007734F0">
        <w:rPr>
          <w:vertAlign w:val="superscript"/>
        </w:rPr>
        <w:t>me</w:t>
      </w:r>
      <w:r w:rsidRPr="00972D9F">
        <w:t xml:space="preserve"> </w:t>
      </w:r>
      <w:r w:rsidR="006435CA">
        <w:t>Z</w:t>
      </w:r>
      <w:r w:rsidRPr="00972D9F">
        <w:t xml:space="preserve">), augmentées des intérêts de droit </w:t>
      </w:r>
      <w:r w:rsidR="00403AA7" w:rsidRPr="00972D9F">
        <w:t xml:space="preserve">calculés </w:t>
      </w:r>
      <w:r w:rsidR="00E9554F" w:rsidRPr="00972D9F">
        <w:t>à compter du 9 mars 2011 ;</w:t>
      </w:r>
    </w:p>
    <w:p w:rsidR="00BE17F0" w:rsidRPr="00972D9F" w:rsidRDefault="00E70AA0" w:rsidP="00BE17F0">
      <w:pPr>
        <w:spacing w:before="240" w:after="240"/>
        <w:ind w:left="1701"/>
      </w:pPr>
      <w:r w:rsidRPr="00972D9F">
        <w:t xml:space="preserve">Vu le réquisitoire du Procureur général </w:t>
      </w:r>
      <w:r w:rsidR="00403AA7" w:rsidRPr="00972D9F">
        <w:t xml:space="preserve">près la Cour des comptes </w:t>
      </w:r>
      <w:r w:rsidRPr="00972D9F">
        <w:t>n°</w:t>
      </w:r>
      <w:r w:rsidR="009F552E">
        <w:t> </w:t>
      </w:r>
      <w:r w:rsidR="00BE17F0" w:rsidRPr="00972D9F">
        <w:t xml:space="preserve">2012-49 </w:t>
      </w:r>
      <w:r w:rsidRPr="00972D9F">
        <w:t xml:space="preserve">du 28 août 2012 transmettant </w:t>
      </w:r>
      <w:r w:rsidR="00BE17F0" w:rsidRPr="00972D9F">
        <w:t xml:space="preserve">les requêtes précitées </w:t>
      </w:r>
      <w:r w:rsidRPr="00972D9F">
        <w:t>à la Cour</w:t>
      </w:r>
      <w:r w:rsidR="00BE17F0" w:rsidRPr="00972D9F">
        <w:t xml:space="preserve"> </w:t>
      </w:r>
      <w:r w:rsidRPr="00972D9F">
        <w:t>;</w:t>
      </w:r>
    </w:p>
    <w:p w:rsidR="00BE17F0" w:rsidRPr="00972D9F" w:rsidRDefault="00E70AA0" w:rsidP="00BE17F0">
      <w:pPr>
        <w:spacing w:before="240" w:after="240"/>
        <w:ind w:left="1701"/>
      </w:pPr>
      <w:r w:rsidRPr="00972D9F">
        <w:t>Vu les pièces de la procédure suivie en première instance ;</w:t>
      </w:r>
    </w:p>
    <w:p w:rsidR="00BE17F0" w:rsidRPr="00972D9F" w:rsidRDefault="00E70AA0" w:rsidP="00BE17F0">
      <w:pPr>
        <w:spacing w:before="240" w:after="240"/>
        <w:ind w:left="1701"/>
      </w:pPr>
      <w:r w:rsidRPr="00972D9F">
        <w:t>Vu le code des juridictions financières ;</w:t>
      </w:r>
    </w:p>
    <w:p w:rsidR="00BE17F0" w:rsidRPr="00972D9F" w:rsidRDefault="00E70AA0" w:rsidP="00BE17F0">
      <w:pPr>
        <w:spacing w:before="240" w:after="240"/>
        <w:ind w:left="1701"/>
      </w:pPr>
      <w:r w:rsidRPr="00972D9F">
        <w:t>Vu le code général des collectivités territoriales</w:t>
      </w:r>
      <w:r w:rsidR="009F552E">
        <w:t xml:space="preserve"> (CGCT)</w:t>
      </w:r>
      <w:r w:rsidRPr="00972D9F">
        <w:t xml:space="preserve"> ; </w:t>
      </w:r>
    </w:p>
    <w:p w:rsidR="00BE17F0" w:rsidRPr="00972D9F" w:rsidRDefault="00E70AA0" w:rsidP="00BE17F0">
      <w:pPr>
        <w:spacing w:before="240" w:after="240"/>
        <w:ind w:left="1701"/>
      </w:pPr>
      <w:r w:rsidRPr="00972D9F">
        <w:t>Vu l’article 60 de la loi de finances n°</w:t>
      </w:r>
      <w:r w:rsidR="009F552E">
        <w:t> </w:t>
      </w:r>
      <w:r w:rsidRPr="00972D9F">
        <w:t>63-156 du 23</w:t>
      </w:r>
      <w:r w:rsidR="009F552E">
        <w:t> </w:t>
      </w:r>
      <w:r w:rsidRPr="00972D9F">
        <w:t>février</w:t>
      </w:r>
      <w:r w:rsidR="00DF340F">
        <w:t> </w:t>
      </w:r>
      <w:r w:rsidRPr="00972D9F">
        <w:t>1963 modifiée ;</w:t>
      </w:r>
    </w:p>
    <w:p w:rsidR="00C01382" w:rsidRDefault="00C01382" w:rsidP="00BE17F0">
      <w:pPr>
        <w:spacing w:before="240" w:after="240"/>
        <w:ind w:left="1701"/>
        <w:sectPr w:rsidR="00C01382" w:rsidSect="00A57630">
          <w:headerReference w:type="default" r:id="rId8"/>
          <w:footerReference w:type="default" r:id="rId9"/>
          <w:pgSz w:w="11900" w:h="16840"/>
          <w:pgMar w:top="1417" w:right="1417" w:bottom="1417" w:left="1417" w:header="708" w:footer="708" w:gutter="0"/>
          <w:cols w:space="708"/>
          <w:titlePg/>
          <w:docGrid w:linePitch="326"/>
        </w:sectPr>
      </w:pPr>
    </w:p>
    <w:p w:rsidR="00BE17F0" w:rsidRPr="00972D9F" w:rsidRDefault="00E70AA0" w:rsidP="005C74D3">
      <w:pPr>
        <w:spacing w:beforeLines="120" w:before="288" w:afterLines="120" w:after="288"/>
        <w:ind w:left="1701"/>
      </w:pPr>
      <w:r w:rsidRPr="00972D9F">
        <w:lastRenderedPageBreak/>
        <w:t>Vu le décret n°</w:t>
      </w:r>
      <w:r w:rsidR="009F552E">
        <w:t> </w:t>
      </w:r>
      <w:r w:rsidRPr="00972D9F">
        <w:t>62-1587 du 29 décembre 1962 modifié portant règlement général sur la comptabilité publique</w:t>
      </w:r>
      <w:r w:rsidR="00BE17F0" w:rsidRPr="00972D9F">
        <w:t>, en vigueur au moment des</w:t>
      </w:r>
      <w:r w:rsidR="007734F0">
        <w:t xml:space="preserve"> </w:t>
      </w:r>
      <w:r w:rsidR="00BE17F0" w:rsidRPr="00972D9F">
        <w:t>faits</w:t>
      </w:r>
      <w:r w:rsidRPr="00972D9F">
        <w:t> ;</w:t>
      </w:r>
    </w:p>
    <w:p w:rsidR="00E9554F" w:rsidRPr="00972D9F" w:rsidRDefault="00E70AA0" w:rsidP="005C74D3">
      <w:pPr>
        <w:spacing w:beforeLines="120" w:before="288" w:afterLines="120" w:after="288"/>
        <w:ind w:left="1701"/>
      </w:pPr>
      <w:r w:rsidRPr="00972D9F">
        <w:t>Vu la circulaire du 15 avril 1992 relative aux conditions d'exercice des mandats locaux - Régime indemnitaire des élus locaux</w:t>
      </w:r>
      <w:r w:rsidR="007734F0">
        <w:t> </w:t>
      </w:r>
      <w:r w:rsidRPr="00972D9F">
        <w:t>;</w:t>
      </w:r>
    </w:p>
    <w:p w:rsidR="00E9554F" w:rsidRPr="00972D9F" w:rsidRDefault="00E70AA0" w:rsidP="005C74D3">
      <w:pPr>
        <w:spacing w:beforeLines="120" w:before="288" w:afterLines="120" w:after="288"/>
        <w:ind w:left="1701"/>
      </w:pPr>
      <w:r w:rsidRPr="00972D9F">
        <w:t>Vu l’instruction codificatrice n°</w:t>
      </w:r>
      <w:r w:rsidR="009F552E">
        <w:t> </w:t>
      </w:r>
      <w:r w:rsidRPr="00972D9F">
        <w:t>06-021-M14 du 5 avril 2006 applicable aux communes et aux établissements publics intercommunaux ;</w:t>
      </w:r>
    </w:p>
    <w:p w:rsidR="00E9554F" w:rsidRPr="00972D9F" w:rsidRDefault="00E70AA0" w:rsidP="005C74D3">
      <w:pPr>
        <w:spacing w:beforeLines="120" w:before="288" w:afterLines="120" w:after="288"/>
        <w:ind w:left="1701"/>
      </w:pPr>
      <w:r w:rsidRPr="00972D9F">
        <w:t>Vu le rapport de M</w:t>
      </w:r>
      <w:r w:rsidRPr="007734F0">
        <w:rPr>
          <w:vertAlign w:val="superscript"/>
        </w:rPr>
        <w:t>me</w:t>
      </w:r>
      <w:r w:rsidRPr="00972D9F">
        <w:t xml:space="preserve"> Adeline </w:t>
      </w:r>
      <w:proofErr w:type="spellStart"/>
      <w:r w:rsidRPr="00972D9F">
        <w:t>Baldacchino</w:t>
      </w:r>
      <w:proofErr w:type="spellEnd"/>
      <w:r w:rsidRPr="00972D9F">
        <w:t>, conseillère référendaire ;</w:t>
      </w:r>
    </w:p>
    <w:p w:rsidR="00E9554F" w:rsidRPr="00972D9F" w:rsidRDefault="00E70AA0" w:rsidP="005C74D3">
      <w:pPr>
        <w:spacing w:beforeLines="120" w:before="288" w:afterLines="120" w:after="288"/>
        <w:ind w:left="1701"/>
      </w:pPr>
      <w:r w:rsidRPr="00972D9F">
        <w:t>Vu les conclusions du Procureur général</w:t>
      </w:r>
      <w:r w:rsidR="007734F0">
        <w:t xml:space="preserve"> </w:t>
      </w:r>
      <w:r w:rsidR="00E9554F" w:rsidRPr="00972D9F">
        <w:t>n°</w:t>
      </w:r>
      <w:r w:rsidR="009F552E">
        <w:t> </w:t>
      </w:r>
      <w:r w:rsidR="00E9554F" w:rsidRPr="00972D9F">
        <w:t xml:space="preserve">590 </w:t>
      </w:r>
      <w:r w:rsidRPr="00972D9F">
        <w:t>du 5 septembre 2013</w:t>
      </w:r>
      <w:r w:rsidR="00E9554F" w:rsidRPr="00972D9F">
        <w:t xml:space="preserve"> </w:t>
      </w:r>
      <w:r w:rsidRPr="00972D9F">
        <w:t>;</w:t>
      </w:r>
    </w:p>
    <w:p w:rsidR="00E9554F" w:rsidRPr="00972D9F" w:rsidRDefault="00E70AA0" w:rsidP="005C74D3">
      <w:pPr>
        <w:spacing w:beforeLines="120" w:before="288" w:afterLines="120" w:after="288"/>
        <w:ind w:left="1701"/>
      </w:pPr>
      <w:r w:rsidRPr="00972D9F">
        <w:t>Entendu, lors de l’audience publique du 5 décembre 2013, M</w:t>
      </w:r>
      <w:r w:rsidRPr="007734F0">
        <w:rPr>
          <w:vertAlign w:val="superscript"/>
        </w:rPr>
        <w:t>me</w:t>
      </w:r>
      <w:r w:rsidR="007734F0">
        <w:t> </w:t>
      </w:r>
      <w:r w:rsidRPr="00972D9F">
        <w:t>A</w:t>
      </w:r>
      <w:r w:rsidR="00E9554F" w:rsidRPr="00972D9F">
        <w:t xml:space="preserve">deline </w:t>
      </w:r>
      <w:proofErr w:type="spellStart"/>
      <w:r w:rsidR="00E9554F" w:rsidRPr="00972D9F">
        <w:t>Baldacchino</w:t>
      </w:r>
      <w:proofErr w:type="spellEnd"/>
      <w:r w:rsidR="00E9554F" w:rsidRPr="00972D9F">
        <w:t>,</w:t>
      </w:r>
      <w:r w:rsidRPr="00972D9F">
        <w:t xml:space="preserve"> en son rapport, M.</w:t>
      </w:r>
      <w:r w:rsidR="009F552E">
        <w:t> </w:t>
      </w:r>
      <w:r w:rsidRPr="00972D9F">
        <w:t>Y</w:t>
      </w:r>
      <w:r w:rsidR="00E9554F" w:rsidRPr="00972D9F">
        <w:t>ves Perrin, avocat général, en l</w:t>
      </w:r>
      <w:r w:rsidRPr="00972D9F">
        <w:t>es conclusions</w:t>
      </w:r>
      <w:r w:rsidR="00E9554F" w:rsidRPr="00972D9F">
        <w:t xml:space="preserve"> du ministère public</w:t>
      </w:r>
      <w:r w:rsidRPr="00972D9F">
        <w:t xml:space="preserve">, les appelants, informés de l’audience, </w:t>
      </w:r>
      <w:r w:rsidR="00E9554F" w:rsidRPr="00972D9F">
        <w:t>n’étant ni présents</w:t>
      </w:r>
      <w:r w:rsidR="007734F0">
        <w:t xml:space="preserve"> </w:t>
      </w:r>
      <w:r w:rsidR="00E9554F" w:rsidRPr="00972D9F">
        <w:t>ni représentés ;</w:t>
      </w:r>
    </w:p>
    <w:p w:rsidR="00E9554F" w:rsidRPr="00972D9F" w:rsidRDefault="00E70AA0" w:rsidP="005C74D3">
      <w:pPr>
        <w:spacing w:beforeLines="120" w:before="288" w:afterLines="120" w:after="288"/>
        <w:ind w:left="1701"/>
      </w:pPr>
      <w:r w:rsidRPr="00972D9F">
        <w:t>Entendu, en délibéré, M.</w:t>
      </w:r>
      <w:r w:rsidR="009F552E">
        <w:t> </w:t>
      </w:r>
      <w:r w:rsidRPr="00972D9F">
        <w:t>Roch-Olivier Maistre, conseiller</w:t>
      </w:r>
      <w:r w:rsidR="009F552E">
        <w:t xml:space="preserve"> </w:t>
      </w:r>
      <w:r w:rsidRPr="00972D9F">
        <w:t>maître, en ses observations ;</w:t>
      </w:r>
    </w:p>
    <w:p w:rsidR="00B75F0F" w:rsidRPr="00972D9F" w:rsidRDefault="00E70AA0" w:rsidP="005C74D3">
      <w:pPr>
        <w:spacing w:beforeLines="120" w:before="288" w:afterLines="120" w:after="288"/>
        <w:ind w:left="1701"/>
      </w:pPr>
      <w:r w:rsidRPr="00972D9F">
        <w:t>Atte</w:t>
      </w:r>
      <w:r w:rsidR="00972D9F" w:rsidRPr="00972D9F">
        <w:t>ndu que, par le jugement contesté</w:t>
      </w:r>
      <w:r w:rsidRPr="00972D9F">
        <w:t xml:space="preserve">, la chambre régionale des comptes de Lorraine a constitué </w:t>
      </w:r>
      <w:r w:rsidR="00E9554F" w:rsidRPr="00972D9F">
        <w:t>M.</w:t>
      </w:r>
      <w:r w:rsidR="00DF340F">
        <w:t> </w:t>
      </w:r>
      <w:r w:rsidR="006435CA">
        <w:t>X</w:t>
      </w:r>
      <w:r w:rsidR="00E9554F" w:rsidRPr="00972D9F">
        <w:t xml:space="preserve">, </w:t>
      </w:r>
      <w:r w:rsidRPr="00972D9F">
        <w:t>M.</w:t>
      </w:r>
      <w:r w:rsidR="00DF340F">
        <w:t> </w:t>
      </w:r>
      <w:r w:rsidR="006435CA">
        <w:t>Y</w:t>
      </w:r>
      <w:r w:rsidR="005C74D3" w:rsidRPr="00972D9F">
        <w:t xml:space="preserve"> </w:t>
      </w:r>
      <w:r w:rsidR="00E9554F" w:rsidRPr="00972D9F">
        <w:t>et</w:t>
      </w:r>
      <w:r w:rsidRPr="00972D9F">
        <w:t xml:space="preserve"> M</w:t>
      </w:r>
      <w:r w:rsidRPr="007734F0">
        <w:rPr>
          <w:vertAlign w:val="superscript"/>
        </w:rPr>
        <w:t>me</w:t>
      </w:r>
      <w:r w:rsidR="00070EE8">
        <w:t> </w:t>
      </w:r>
      <w:r w:rsidR="006435CA">
        <w:t>Z</w:t>
      </w:r>
      <w:r w:rsidR="005C74D3" w:rsidRPr="00972D9F">
        <w:t xml:space="preserve"> </w:t>
      </w:r>
      <w:r w:rsidRPr="00972D9F">
        <w:t>débiteurs de la commune de Bulgnéville</w:t>
      </w:r>
      <w:r w:rsidR="00E9554F" w:rsidRPr="00972D9F">
        <w:t xml:space="preserve"> </w:t>
      </w:r>
      <w:r w:rsidR="00972D9F" w:rsidRPr="00972D9F">
        <w:t xml:space="preserve">respectivement </w:t>
      </w:r>
      <w:r w:rsidR="00E9554F" w:rsidRPr="00972D9F">
        <w:t>des</w:t>
      </w:r>
      <w:r w:rsidR="00972D9F" w:rsidRPr="00972D9F">
        <w:t xml:space="preserve"> sommes </w:t>
      </w:r>
      <w:r w:rsidR="00E9554F" w:rsidRPr="00972D9F">
        <w:t xml:space="preserve">de </w:t>
      </w:r>
      <w:r w:rsidR="00972D9F" w:rsidRPr="00972D9F">
        <w:t>4</w:t>
      </w:r>
      <w:r w:rsidR="00070EE8">
        <w:t> </w:t>
      </w:r>
      <w:r w:rsidR="00972D9F" w:rsidRPr="00972D9F">
        <w:t>754,69</w:t>
      </w:r>
      <w:r w:rsidR="00070EE8">
        <w:t> </w:t>
      </w:r>
      <w:r w:rsidR="00972D9F" w:rsidRPr="00972D9F">
        <w:t>€</w:t>
      </w:r>
      <w:r w:rsidR="00070EE8">
        <w:t>, 2 </w:t>
      </w:r>
      <w:r w:rsidR="00972D9F" w:rsidRPr="00972D9F">
        <w:t>771,69</w:t>
      </w:r>
      <w:r w:rsidR="00070EE8">
        <w:t> </w:t>
      </w:r>
      <w:r w:rsidR="00972D9F" w:rsidRPr="00972D9F">
        <w:t xml:space="preserve">€ </w:t>
      </w:r>
      <w:r w:rsidR="00E9554F" w:rsidRPr="00972D9F">
        <w:t>et</w:t>
      </w:r>
      <w:r w:rsidR="00972D9F" w:rsidRPr="00972D9F">
        <w:t xml:space="preserve"> </w:t>
      </w:r>
      <w:r w:rsidR="00E9554F" w:rsidRPr="00972D9F">
        <w:t>2</w:t>
      </w:r>
      <w:r w:rsidR="00070EE8">
        <w:t> </w:t>
      </w:r>
      <w:r w:rsidR="00972D9F" w:rsidRPr="00972D9F">
        <w:t>952,31</w:t>
      </w:r>
      <w:r w:rsidR="00070EE8">
        <w:t> </w:t>
      </w:r>
      <w:r w:rsidR="00972D9F" w:rsidRPr="00972D9F">
        <w:t>€</w:t>
      </w:r>
      <w:r w:rsidR="00E9554F" w:rsidRPr="00972D9F">
        <w:t xml:space="preserve">, augmentées des intérêts de droit calculés à compter du 9 mars 2011, </w:t>
      </w:r>
      <w:r w:rsidRPr="00972D9F">
        <w:t>po</w:t>
      </w:r>
      <w:r w:rsidR="00B75F0F" w:rsidRPr="00972D9F">
        <w:t xml:space="preserve">ur avoir procédé </w:t>
      </w:r>
      <w:r w:rsidRPr="00972D9F">
        <w:t>au paiement, au titre de l’exercice 2006, de 13</w:t>
      </w:r>
      <w:r w:rsidR="007734F0">
        <w:t xml:space="preserve"> </w:t>
      </w:r>
      <w:r w:rsidRPr="00972D9F">
        <w:t>mandats (M.</w:t>
      </w:r>
      <w:r w:rsidR="009F552E">
        <w:t> </w:t>
      </w:r>
      <w:r w:rsidR="006435CA">
        <w:t>Y</w:t>
      </w:r>
      <w:r w:rsidRPr="00972D9F">
        <w:t>), au titre de l’exercice 2007, de 25</w:t>
      </w:r>
      <w:r w:rsidR="007734F0">
        <w:t xml:space="preserve"> </w:t>
      </w:r>
      <w:r w:rsidRPr="00972D9F">
        <w:t>mandats (Mme</w:t>
      </w:r>
      <w:r w:rsidR="009F552E">
        <w:t> </w:t>
      </w:r>
      <w:r w:rsidR="006435CA">
        <w:t>Z</w:t>
      </w:r>
      <w:r w:rsidRPr="00972D9F">
        <w:t>) et</w:t>
      </w:r>
      <w:r w:rsidR="00B75F0F" w:rsidRPr="00972D9F">
        <w:t>,</w:t>
      </w:r>
      <w:r w:rsidRPr="00972D9F">
        <w:t xml:space="preserve"> au titre des exercices 2007 et 2008, de 37 mandats (M.</w:t>
      </w:r>
      <w:r w:rsidR="009F552E">
        <w:t> </w:t>
      </w:r>
      <w:r w:rsidR="006435CA">
        <w:t>X</w:t>
      </w:r>
      <w:r w:rsidRPr="00972D9F">
        <w:t>), imputés au compte 6232 « </w:t>
      </w:r>
      <w:r w:rsidRPr="00972D9F">
        <w:rPr>
          <w:i/>
        </w:rPr>
        <w:t>fêtes et cérémonies</w:t>
      </w:r>
      <w:r w:rsidRPr="00972D9F">
        <w:t> » et appuyés de factures de restaurants établies au nom de la commune, sans avoir procédé ni au contrôle de l’exacte imputation des dépenses aux chapitres qu’elles concernent, ni, compte tenu de l’imputation à retenir, de la production des justifications prévues par la nomenclature ;</w:t>
      </w:r>
    </w:p>
    <w:p w:rsidR="00B75F0F" w:rsidRPr="00972D9F" w:rsidRDefault="00E70AA0" w:rsidP="005C74D3">
      <w:pPr>
        <w:spacing w:beforeLines="120" w:before="288" w:afterLines="120" w:after="288"/>
        <w:ind w:left="1701"/>
      </w:pPr>
      <w:r w:rsidRPr="00972D9F">
        <w:t>Attendu que les requérants présentent des moyens strictement équivalents et qu</w:t>
      </w:r>
      <w:r w:rsidR="00B75F0F" w:rsidRPr="00972D9F">
        <w:t>’en conséquence</w:t>
      </w:r>
      <w:r w:rsidRPr="00972D9F">
        <w:t xml:space="preserve"> leur</w:t>
      </w:r>
      <w:r w:rsidR="00B75F0F" w:rsidRPr="00972D9F">
        <w:t>s</w:t>
      </w:r>
      <w:r w:rsidRPr="00972D9F">
        <w:t xml:space="preserve"> requête</w:t>
      </w:r>
      <w:r w:rsidR="00B75F0F" w:rsidRPr="00972D9F">
        <w:t>s</w:t>
      </w:r>
      <w:r w:rsidRPr="00972D9F">
        <w:t xml:space="preserve"> peu</w:t>
      </w:r>
      <w:r w:rsidR="00B75F0F" w:rsidRPr="00972D9F">
        <w:t>ven</w:t>
      </w:r>
      <w:r w:rsidRPr="00972D9F">
        <w:t>t être jointe</w:t>
      </w:r>
      <w:r w:rsidR="00B75F0F" w:rsidRPr="00972D9F">
        <w:t>s</w:t>
      </w:r>
      <w:r w:rsidRPr="00972D9F">
        <w:t> ;</w:t>
      </w:r>
    </w:p>
    <w:p w:rsidR="00B75F0F" w:rsidRPr="00972D9F" w:rsidRDefault="00E70AA0" w:rsidP="005C74D3">
      <w:pPr>
        <w:spacing w:beforeLines="120" w:before="288" w:afterLines="120" w:after="288"/>
        <w:ind w:left="1701"/>
      </w:pPr>
      <w:r w:rsidRPr="00972D9F">
        <w:t>Attendu que les requérants font valoir, en premier lieu, que seul l’ordonnateur serait à même de disposer des éléments nécessaires au choix de la rubrique budgétaire la plus appropriée ; qu’il n’appartiendrait pas au comptable de vérifier les motifs d’un achat pour peu que la facture soit correctement libellée et comporte les mentions règlementaires ; qu’en</w:t>
      </w:r>
      <w:r w:rsidR="007734F0">
        <w:t xml:space="preserve"> </w:t>
      </w:r>
      <w:r w:rsidRPr="00972D9F">
        <w:t xml:space="preserve">conséquence ils n’avaient pas à exiger de pièces justificatives </w:t>
      </w:r>
      <w:r w:rsidRPr="00972D9F">
        <w:lastRenderedPageBreak/>
        <w:t>complémentaires pour procéder au paiement des mandats litigieux ; qu’au</w:t>
      </w:r>
      <w:r w:rsidR="007734F0">
        <w:t xml:space="preserve"> </w:t>
      </w:r>
      <w:r w:rsidRPr="00972D9F">
        <w:t>surplus une fiche technique, établie par l’ancienne direction générale de la comptabilité publique à la su</w:t>
      </w:r>
      <w:r w:rsidR="00070EE8">
        <w:t>ite de la parution du décret n° </w:t>
      </w:r>
      <w:r w:rsidRPr="00972D9F">
        <w:t>2006-781 du</w:t>
      </w:r>
      <w:r w:rsidR="007734F0">
        <w:t xml:space="preserve"> </w:t>
      </w:r>
      <w:r w:rsidRPr="00972D9F">
        <w:t>3</w:t>
      </w:r>
      <w:r w:rsidR="007734F0">
        <w:t> </w:t>
      </w:r>
      <w:r w:rsidRPr="00972D9F">
        <w:t>juillet</w:t>
      </w:r>
      <w:r w:rsidR="007734F0">
        <w:t xml:space="preserve"> </w:t>
      </w:r>
      <w:r w:rsidRPr="00972D9F">
        <w:t>2006 fixant les conditions et les modalités de règlement des frais occasionnés par les déplacements temporaires des personnels civils de l'Etat, mettait en exergue la diversité des imputations possibles dès lors qu'il y a</w:t>
      </w:r>
      <w:r w:rsidR="00070EE8">
        <w:t xml:space="preserve"> « </w:t>
      </w:r>
      <w:r w:rsidRPr="00972D9F">
        <w:rPr>
          <w:i/>
        </w:rPr>
        <w:t>prise en charge directe des frais des élus locaux</w:t>
      </w:r>
      <w:r w:rsidR="00070EE8">
        <w:t> </w:t>
      </w:r>
      <w:r w:rsidRPr="00972D9F">
        <w:t>»</w:t>
      </w:r>
      <w:r w:rsidR="007734F0">
        <w:t> </w:t>
      </w:r>
      <w:r w:rsidRPr="00972D9F">
        <w:t>; que le caractère imprécis en la matière de l'instruction codificatrice n°</w:t>
      </w:r>
      <w:r w:rsidR="00972D9F" w:rsidRPr="00972D9F">
        <w:t xml:space="preserve"> </w:t>
      </w:r>
      <w:r w:rsidRPr="00972D9F">
        <w:t>06-02l-M14 du 5 avril</w:t>
      </w:r>
      <w:r w:rsidR="00B75F0F" w:rsidRPr="00972D9F">
        <w:t xml:space="preserve"> 2006 susvisée devrait </w:t>
      </w:r>
      <w:r w:rsidRPr="00972D9F">
        <w:t>bénéficier au comptable ;</w:t>
      </w:r>
    </w:p>
    <w:p w:rsidR="0039725E" w:rsidRDefault="00E70AA0" w:rsidP="005C74D3">
      <w:pPr>
        <w:spacing w:beforeLines="120" w:before="288" w:afterLines="120" w:after="288"/>
        <w:ind w:left="1701"/>
      </w:pPr>
      <w:r w:rsidRPr="00972D9F">
        <w:t>Considérant qu'aux termes de l'article 12 du décret du 29</w:t>
      </w:r>
      <w:r w:rsidR="007734F0">
        <w:t xml:space="preserve"> </w:t>
      </w:r>
      <w:r w:rsidRPr="00972D9F">
        <w:t>décembre</w:t>
      </w:r>
      <w:r w:rsidR="007734F0">
        <w:t xml:space="preserve"> </w:t>
      </w:r>
      <w:r w:rsidRPr="00972D9F">
        <w:t xml:space="preserve">1962 susvisé, les comptables publics sont tenus d'exercer, en matière de dépenses, le contrôle </w:t>
      </w:r>
      <w:r w:rsidRPr="00972D9F">
        <w:rPr>
          <w:iCs/>
        </w:rPr>
        <w:t>«</w:t>
      </w:r>
      <w:r w:rsidR="007734F0">
        <w:rPr>
          <w:i/>
          <w:iCs/>
        </w:rPr>
        <w:t> </w:t>
      </w:r>
      <w:r w:rsidRPr="00972D9F">
        <w:rPr>
          <w:i/>
          <w:iCs/>
        </w:rPr>
        <w:t>de l'exacte imputation des dépenses aux chapitres qu'elles concernent selon leur nature ou leur objet ; de la validité de la créance dans les conditions prévues à l'article</w:t>
      </w:r>
      <w:r w:rsidR="007734F0">
        <w:rPr>
          <w:i/>
          <w:iCs/>
        </w:rPr>
        <w:t xml:space="preserve"> </w:t>
      </w:r>
      <w:r w:rsidRPr="007734F0">
        <w:rPr>
          <w:i/>
        </w:rPr>
        <w:t>13</w:t>
      </w:r>
      <w:r w:rsidR="007734F0">
        <w:t> </w:t>
      </w:r>
      <w:r w:rsidRPr="00972D9F">
        <w:t xml:space="preserve">» ; qu'en ce qui concerne la validité de la créance, l'article 13 du texte précité précise que le contrôle porte sur </w:t>
      </w:r>
      <w:r w:rsidRPr="00972D9F">
        <w:rPr>
          <w:iCs/>
        </w:rPr>
        <w:t>«</w:t>
      </w:r>
      <w:r w:rsidR="00B75F0F" w:rsidRPr="00972D9F">
        <w:rPr>
          <w:i/>
          <w:iCs/>
        </w:rPr>
        <w:t xml:space="preserve"> </w:t>
      </w:r>
      <w:r w:rsidRPr="00972D9F">
        <w:rPr>
          <w:i/>
          <w:iCs/>
        </w:rPr>
        <w:t>l'intervention préalable des contrôles réglementaires et la production des justifications</w:t>
      </w:r>
      <w:r w:rsidR="007734F0">
        <w:rPr>
          <w:i/>
          <w:iCs/>
        </w:rPr>
        <w:t> </w:t>
      </w:r>
      <w:r w:rsidRPr="00972D9F">
        <w:rPr>
          <w:iCs/>
        </w:rPr>
        <w:t>»</w:t>
      </w:r>
      <w:r w:rsidRPr="00972D9F">
        <w:rPr>
          <w:i/>
          <w:iCs/>
        </w:rPr>
        <w:t> </w:t>
      </w:r>
      <w:r w:rsidRPr="00972D9F">
        <w:rPr>
          <w:iCs/>
        </w:rPr>
        <w:t>;</w:t>
      </w:r>
      <w:r w:rsidRPr="00972D9F">
        <w:rPr>
          <w:i/>
          <w:iCs/>
        </w:rPr>
        <w:t xml:space="preserve"> </w:t>
      </w:r>
      <w:r w:rsidRPr="00972D9F">
        <w:t xml:space="preserve">que l'article 37 du même décret dispose que </w:t>
      </w:r>
      <w:r w:rsidRPr="00972D9F">
        <w:rPr>
          <w:iCs/>
        </w:rPr>
        <w:t>«</w:t>
      </w:r>
      <w:r w:rsidR="007734F0">
        <w:rPr>
          <w:i/>
          <w:iCs/>
        </w:rPr>
        <w:t> </w:t>
      </w:r>
      <w:r w:rsidRPr="00972D9F">
        <w:rPr>
          <w:i/>
          <w:iCs/>
        </w:rPr>
        <w:t>lorsque, à l'occasion de l'exercice du contrôle prévu à l'article</w:t>
      </w:r>
      <w:r w:rsidR="009F552E">
        <w:rPr>
          <w:i/>
          <w:iCs/>
        </w:rPr>
        <w:t> </w:t>
      </w:r>
      <w:r w:rsidRPr="00972D9F">
        <w:rPr>
          <w:i/>
          <w:iCs/>
        </w:rPr>
        <w:t>12 (alinéa B) ci-dessus, des irrégularités sont constatées, les comptables publics suspendent les paiements et en informent l'ordonnateur</w:t>
      </w:r>
      <w:r w:rsidR="007734F0">
        <w:rPr>
          <w:iCs/>
        </w:rPr>
        <w:t> </w:t>
      </w:r>
      <w:r w:rsidRPr="00972D9F">
        <w:rPr>
          <w:iCs/>
        </w:rPr>
        <w:t>»</w:t>
      </w:r>
      <w:r w:rsidRPr="00972D9F">
        <w:rPr>
          <w:i/>
          <w:iCs/>
        </w:rPr>
        <w:t xml:space="preserve"> </w:t>
      </w:r>
      <w:r w:rsidRPr="00972D9F">
        <w:t>; qu'il résulte des dispositions ainsi rappelées qu'il n'est pas demandé aux comptables publics de vérifier les motifs, mais la nature de la dépense, laquelle conditionne à la fois l'exactitude de l'imputation comptable et la production des justifications prévues par la réglementation</w:t>
      </w:r>
      <w:r w:rsidR="007734F0">
        <w:t> </w:t>
      </w:r>
      <w:r w:rsidRPr="00972D9F">
        <w:t>; que l'exercice de ce contrôle repose</w:t>
      </w:r>
      <w:r w:rsidR="0039725E">
        <w:t>,</w:t>
      </w:r>
      <w:r w:rsidRPr="00972D9F">
        <w:t xml:space="preserve"> non sur des présomptions ou des intentions, mais sur des éléments matériels et que, dans le cas où les éléments apportés par l'ordonnateur à l'appui d'un mandat ne permettent pas d'apprécier la nature de la dépense correspondante, il appartient au comptable de surseoir au paiement dudit mandat ; qu'ainsi, le moyen selon le</w:t>
      </w:r>
      <w:r w:rsidR="00B75F0F" w:rsidRPr="00972D9F">
        <w:t xml:space="preserve">quel </w:t>
      </w:r>
      <w:r w:rsidRPr="00972D9F">
        <w:t>l'ordonnateur serait seul à même de disposer des éléments nécessaires au choix de l'imputation budgétaire appropriée et que le simple fait que les factures soient correctement libellées et comportent les mentions réglementaires imposerait au comptable le paiement manque en droit</w:t>
      </w:r>
      <w:r w:rsidR="007734F0">
        <w:t> </w:t>
      </w:r>
      <w:r w:rsidRPr="00972D9F">
        <w:t>; qu'au surplus la charge ne reposant pas sur un défaut de contrôle des motifs de la dépense mais sur le défaut de contrôle de l'exacte imputation des dépenses et de la production des justifications, l'argument est inopérant</w:t>
      </w:r>
      <w:r w:rsidR="007734F0">
        <w:t> ;</w:t>
      </w:r>
    </w:p>
    <w:p w:rsidR="00EA149B" w:rsidRPr="00972D9F" w:rsidRDefault="0039725E" w:rsidP="005C74D3">
      <w:pPr>
        <w:spacing w:beforeLines="120" w:before="288" w:afterLines="120" w:after="288"/>
        <w:ind w:left="1701"/>
      </w:pPr>
      <w:r>
        <w:t xml:space="preserve">Considérant par ailleurs que </w:t>
      </w:r>
      <w:r w:rsidR="00E70AA0" w:rsidRPr="00972D9F">
        <w:t xml:space="preserve">l'instruction M14 susvisée distingue deux chapitres budgétaires différents pour l'imputation comptable respective d'un côté, des frais liés aux </w:t>
      </w:r>
      <w:r w:rsidR="00EA149B" w:rsidRPr="00972D9F">
        <w:t>« </w:t>
      </w:r>
      <w:r w:rsidR="00E70AA0" w:rsidRPr="00972D9F">
        <w:t>fêtes et cérémonies</w:t>
      </w:r>
      <w:r w:rsidR="00EA149B" w:rsidRPr="00972D9F">
        <w:t> »</w:t>
      </w:r>
      <w:r w:rsidR="00E70AA0" w:rsidRPr="00972D9F">
        <w:t xml:space="preserve"> et de l'autre, des </w:t>
      </w:r>
      <w:r w:rsidR="00EA149B" w:rsidRPr="00972D9F">
        <w:t>« </w:t>
      </w:r>
      <w:r w:rsidR="00E70AA0" w:rsidRPr="00972D9F">
        <w:t>frais</w:t>
      </w:r>
      <w:r w:rsidR="0078025E">
        <w:t> </w:t>
      </w:r>
      <w:r w:rsidR="00E70AA0" w:rsidRPr="00972D9F">
        <w:t>de représentation</w:t>
      </w:r>
      <w:r w:rsidR="00EA149B" w:rsidRPr="00972D9F">
        <w:t> »</w:t>
      </w:r>
      <w:r w:rsidR="00E70AA0" w:rsidRPr="00972D9F">
        <w:t xml:space="preserve"> qui ne sont pas liés à de telles manifestations</w:t>
      </w:r>
      <w:r w:rsidR="007734F0">
        <w:t> ;</w:t>
      </w:r>
      <w:r w:rsidR="00E70AA0" w:rsidRPr="00972D9F">
        <w:t xml:space="preserve"> qu'aux termes de la circulaire du 15</w:t>
      </w:r>
      <w:r w:rsidR="007734F0">
        <w:t xml:space="preserve"> </w:t>
      </w:r>
      <w:r w:rsidR="00E70AA0" w:rsidRPr="00972D9F">
        <w:t>avril</w:t>
      </w:r>
      <w:r w:rsidR="007734F0">
        <w:t xml:space="preserve"> </w:t>
      </w:r>
      <w:r w:rsidR="00E70AA0" w:rsidRPr="00972D9F">
        <w:t xml:space="preserve">1992 susvisée, les </w:t>
      </w:r>
      <w:r w:rsidR="00E70AA0" w:rsidRPr="00972D9F">
        <w:rPr>
          <w:i/>
          <w:iCs/>
        </w:rPr>
        <w:t>«</w:t>
      </w:r>
      <w:r w:rsidR="007734F0">
        <w:rPr>
          <w:i/>
          <w:iCs/>
        </w:rPr>
        <w:t> </w:t>
      </w:r>
      <w:r w:rsidR="00E70AA0" w:rsidRPr="00972D9F">
        <w:rPr>
          <w:i/>
          <w:iCs/>
        </w:rPr>
        <w:t>frais de représentation</w:t>
      </w:r>
      <w:r w:rsidR="00070EE8">
        <w:rPr>
          <w:i/>
          <w:iCs/>
        </w:rPr>
        <w:t> </w:t>
      </w:r>
      <w:r w:rsidR="00E70AA0" w:rsidRPr="00972D9F">
        <w:rPr>
          <w:i/>
          <w:iCs/>
        </w:rPr>
        <w:t xml:space="preserve">» </w:t>
      </w:r>
      <w:r w:rsidR="00E70AA0" w:rsidRPr="00972D9F">
        <w:t xml:space="preserve">sont définis comme des indemnités ayant pour objet </w:t>
      </w:r>
      <w:r w:rsidR="00E70AA0" w:rsidRPr="00972D9F">
        <w:rPr>
          <w:i/>
          <w:iCs/>
        </w:rPr>
        <w:t>«</w:t>
      </w:r>
      <w:r w:rsidR="007734F0">
        <w:rPr>
          <w:i/>
          <w:iCs/>
        </w:rPr>
        <w:t> </w:t>
      </w:r>
      <w:r w:rsidR="00E70AA0" w:rsidRPr="00972D9F">
        <w:rPr>
          <w:i/>
          <w:iCs/>
        </w:rPr>
        <w:t>de</w:t>
      </w:r>
      <w:r w:rsidR="007734F0">
        <w:rPr>
          <w:i/>
          <w:iCs/>
        </w:rPr>
        <w:t xml:space="preserve"> </w:t>
      </w:r>
      <w:r w:rsidR="00E70AA0" w:rsidRPr="00972D9F">
        <w:rPr>
          <w:i/>
          <w:iCs/>
        </w:rPr>
        <w:t>couvrir les dépenses engagées par le maire, et lui seul, à l'occasion de ses fonctions et dans l’intérêt de</w:t>
      </w:r>
      <w:r w:rsidR="0078025E">
        <w:rPr>
          <w:i/>
          <w:iCs/>
        </w:rPr>
        <w:t xml:space="preserve"> </w:t>
      </w:r>
      <w:r w:rsidR="00E70AA0" w:rsidRPr="00972D9F">
        <w:rPr>
          <w:i/>
          <w:iCs/>
        </w:rPr>
        <w:t>la</w:t>
      </w:r>
      <w:r w:rsidR="0078025E">
        <w:rPr>
          <w:i/>
          <w:iCs/>
        </w:rPr>
        <w:t xml:space="preserve"> </w:t>
      </w:r>
      <w:r w:rsidR="00E70AA0" w:rsidRPr="00972D9F">
        <w:rPr>
          <w:i/>
          <w:iCs/>
        </w:rPr>
        <w:t xml:space="preserve">commune. Ainsi en est-il notamment des dépenses qu’il supporte personnellement en raison des réceptions et </w:t>
      </w:r>
      <w:r w:rsidR="00E70AA0" w:rsidRPr="00972D9F">
        <w:rPr>
          <w:i/>
          <w:iCs/>
        </w:rPr>
        <w:lastRenderedPageBreak/>
        <w:t>manifestations qu'il organise ou auxquelles il participe dans ce cadre</w:t>
      </w:r>
      <w:r w:rsidR="00070EE8">
        <w:rPr>
          <w:i/>
          <w:iCs/>
        </w:rPr>
        <w:t> </w:t>
      </w:r>
      <w:r w:rsidR="00E70AA0" w:rsidRPr="00972D9F">
        <w:rPr>
          <w:i/>
          <w:iCs/>
        </w:rPr>
        <w:t>»</w:t>
      </w:r>
      <w:r w:rsidR="00070EE8">
        <w:rPr>
          <w:i/>
          <w:iCs/>
        </w:rPr>
        <w:t> </w:t>
      </w:r>
      <w:r w:rsidR="00E70AA0" w:rsidRPr="00972D9F">
        <w:t>; qu’ainsi l'argument tenant à l'imprécision alléguée de l'instruction M14 manque en fait ;</w:t>
      </w:r>
    </w:p>
    <w:p w:rsidR="00EA149B" w:rsidRPr="00972D9F" w:rsidRDefault="00E70AA0" w:rsidP="005C74D3">
      <w:pPr>
        <w:spacing w:beforeLines="120" w:before="288" w:afterLines="120" w:after="288"/>
        <w:ind w:left="1701"/>
      </w:pPr>
      <w:r w:rsidRPr="00972D9F">
        <w:t xml:space="preserve">Attendu que les requérants font valoir, en second lieu, qu'une fiche technique, établie par </w:t>
      </w:r>
      <w:r w:rsidR="00EA149B" w:rsidRPr="00972D9F">
        <w:t xml:space="preserve">le </w:t>
      </w:r>
      <w:r w:rsidRPr="00972D9F">
        <w:t>ministère des finances pour préciser les modalités de « </w:t>
      </w:r>
      <w:r w:rsidRPr="00972D9F">
        <w:rPr>
          <w:i/>
        </w:rPr>
        <w:t>paiement des frais exposés par les élus dans l’exercice de leurs fonctions</w:t>
      </w:r>
      <w:r w:rsidRPr="00972D9F">
        <w:t> »</w:t>
      </w:r>
      <w:r w:rsidR="00EA149B" w:rsidRPr="00972D9F">
        <w:t>,</w:t>
      </w:r>
      <w:r w:rsidRPr="00972D9F">
        <w:t xml:space="preserve"> indique que, « </w:t>
      </w:r>
      <w:r w:rsidRPr="00972D9F">
        <w:rPr>
          <w:i/>
        </w:rPr>
        <w:t>lorsque le paiement intervient au profit d’un prestataire de service, il y a lieu de se reporter à la rubrique 4 des pièces justificatives, marchés publics, sous-rubrique 425 pour les paiements sur simple facture</w:t>
      </w:r>
      <w:r w:rsidR="00EA149B" w:rsidRPr="00972D9F">
        <w:t xml:space="preserve"> », </w:t>
      </w:r>
      <w:r w:rsidR="0039725E">
        <w:t>contrairement aux</w:t>
      </w:r>
      <w:r w:rsidRPr="00972D9F">
        <w:t xml:space="preserve"> versements directs au profit d’élus, sous-rubrique 3211, qui imposent la production d’une délibération ; que</w:t>
      </w:r>
      <w:r w:rsidR="0039725E">
        <w:t>,</w:t>
      </w:r>
      <w:r w:rsidRPr="00972D9F">
        <w:t xml:space="preserve"> dès lors, le paiement étant intervenu au profit d’un pres</w:t>
      </w:r>
      <w:r w:rsidR="0039725E">
        <w:t xml:space="preserve">tataire de service </w:t>
      </w:r>
      <w:r w:rsidRPr="00972D9F">
        <w:t>et non d’un élu, la nature même du bénéficiaire du paiement leur permettait de ne pas exiger d’autres justificatifs que ceux de la sous-rubrique 425 ;</w:t>
      </w:r>
    </w:p>
    <w:p w:rsidR="00EA149B" w:rsidRPr="00972D9F" w:rsidRDefault="00E70AA0" w:rsidP="005C74D3">
      <w:pPr>
        <w:spacing w:beforeLines="120" w:before="288" w:afterLines="120" w:after="288"/>
        <w:ind w:left="1701"/>
      </w:pPr>
      <w:r w:rsidRPr="00972D9F">
        <w:t>Con</w:t>
      </w:r>
      <w:r w:rsidR="0039725E">
        <w:t xml:space="preserve">sidérant que le paiement </w:t>
      </w:r>
      <w:r w:rsidRPr="00972D9F">
        <w:t xml:space="preserve">des factures </w:t>
      </w:r>
      <w:r w:rsidR="0039725E">
        <w:t xml:space="preserve">litigieuses </w:t>
      </w:r>
      <w:r w:rsidRPr="00972D9F">
        <w:t>aux restaurateurs n’instituait pas d’office une présomption de rattachement à la catégorie « </w:t>
      </w:r>
      <w:r w:rsidRPr="00972D9F">
        <w:rPr>
          <w:i/>
        </w:rPr>
        <w:t>prise en charge directe des frais des élus locaux </w:t>
      </w:r>
      <w:r w:rsidRPr="00972D9F">
        <w:t>» de la fiche tec</w:t>
      </w:r>
      <w:r w:rsidR="00EA149B" w:rsidRPr="00972D9F">
        <w:t>hnique précitée</w:t>
      </w:r>
      <w:r w:rsidRPr="00972D9F">
        <w:t xml:space="preserve">, </w:t>
      </w:r>
      <w:r w:rsidR="0039725E">
        <w:t xml:space="preserve">laquelle ne requiert, conformément </w:t>
      </w:r>
      <w:r w:rsidRPr="00972D9F">
        <w:t>à la rubrique</w:t>
      </w:r>
      <w:r w:rsidR="007734F0">
        <w:t xml:space="preserve"> </w:t>
      </w:r>
      <w:r w:rsidRPr="00972D9F">
        <w:t>425 de la nomenclature des pièces justificatives exigibles au titre de l’article</w:t>
      </w:r>
      <w:r w:rsidR="007734F0">
        <w:t xml:space="preserve"> </w:t>
      </w:r>
      <w:r w:rsidR="00070EE8">
        <w:t>D. </w:t>
      </w:r>
      <w:r w:rsidRPr="00972D9F">
        <w:t>1617-</w:t>
      </w:r>
      <w:r w:rsidR="0039725E">
        <w:t xml:space="preserve">19 du CGCT dans sa rédaction issue du </w:t>
      </w:r>
      <w:r w:rsidRPr="00972D9F">
        <w:t>décret n°</w:t>
      </w:r>
      <w:r w:rsidR="0078025E">
        <w:t> </w:t>
      </w:r>
      <w:r w:rsidRPr="00972D9F">
        <w:t xml:space="preserve">2007-450 du 25 mars 2007, </w:t>
      </w:r>
      <w:r w:rsidR="0039725E">
        <w:t>que la production</w:t>
      </w:r>
      <w:r w:rsidRPr="00972D9F">
        <w:t xml:space="preserve"> de simples factures ; qu’en effet, la même fiche indique, dans la catégorie « </w:t>
      </w:r>
      <w:r w:rsidRPr="00972D9F">
        <w:rPr>
          <w:i/>
        </w:rPr>
        <w:t>frais de représentation</w:t>
      </w:r>
      <w:r w:rsidRPr="00972D9F">
        <w:t> », que le versement de cette indemnité peut prendre, soit la forme d’une « </w:t>
      </w:r>
      <w:r w:rsidRPr="00972D9F">
        <w:rPr>
          <w:i/>
        </w:rPr>
        <w:t>somme forfaitaire non subordonnée à la production de justificatifs des frais exposés, sous réserve que ce forfait ne soit pas disproportionné par rapport aux frais que peuvent normalement impliquer de telles fonctions</w:t>
      </w:r>
      <w:r w:rsidRPr="00972D9F">
        <w:t> », soit la forme d’une « </w:t>
      </w:r>
      <w:r w:rsidRPr="00972D9F">
        <w:rPr>
          <w:i/>
        </w:rPr>
        <w:t>dotation permettant la prise en charge directe des frais ou le remboursement, le cas échéant sous forme forfaitaire, des dépenses de représentations exposées par les élus et dûment justifiées</w:t>
      </w:r>
      <w:r w:rsidRPr="00972D9F">
        <w:t> » ;</w:t>
      </w:r>
    </w:p>
    <w:p w:rsidR="00EA149B" w:rsidRDefault="00EA149B" w:rsidP="005C74D3">
      <w:pPr>
        <w:spacing w:beforeLines="120" w:before="288" w:afterLines="120" w:after="288"/>
        <w:ind w:left="1701"/>
      </w:pPr>
      <w:r w:rsidRPr="00972D9F">
        <w:t>C</w:t>
      </w:r>
      <w:r w:rsidR="00E70AA0" w:rsidRPr="00972D9F">
        <w:t>onsidérant qu</w:t>
      </w:r>
      <w:r w:rsidRPr="00972D9F">
        <w:t>’il résulte des éléments ainsi rappelés qu</w:t>
      </w:r>
      <w:r w:rsidR="0039725E">
        <w:t xml:space="preserve">e </w:t>
      </w:r>
      <w:r w:rsidR="00E70AA0" w:rsidRPr="00972D9F">
        <w:t xml:space="preserve">la seule notion de bénéficiaire du paiement </w:t>
      </w:r>
      <w:r w:rsidR="0039725E">
        <w:t>ne</w:t>
      </w:r>
      <w:r w:rsidR="00E70AA0" w:rsidRPr="00972D9F">
        <w:t xml:space="preserve"> peut </w:t>
      </w:r>
      <w:r w:rsidR="0039725E">
        <w:t>suffire à qualifier</w:t>
      </w:r>
      <w:r w:rsidR="00E70AA0" w:rsidRPr="00972D9F">
        <w:t xml:space="preserve"> la nature de la dépense </w:t>
      </w:r>
      <w:r w:rsidR="0039725E">
        <w:t>et</w:t>
      </w:r>
      <w:r w:rsidRPr="00972D9F">
        <w:t xml:space="preserve"> l</w:t>
      </w:r>
      <w:r w:rsidR="00E70AA0" w:rsidRPr="00972D9F">
        <w:t>’imputation</w:t>
      </w:r>
      <w:r w:rsidR="007734F0">
        <w:t xml:space="preserve"> </w:t>
      </w:r>
      <w:r w:rsidRPr="00972D9F">
        <w:t>comptable appropriée</w:t>
      </w:r>
      <w:r w:rsidR="007734F0">
        <w:t> </w:t>
      </w:r>
      <w:r w:rsidRPr="00972D9F">
        <w:t xml:space="preserve">; que </w:t>
      </w:r>
      <w:r w:rsidR="00E70AA0" w:rsidRPr="00972D9F">
        <w:t xml:space="preserve">des factures signées du maire </w:t>
      </w:r>
      <w:r w:rsidRPr="00972D9F">
        <w:t xml:space="preserve">de la commune </w:t>
      </w:r>
      <w:r w:rsidR="00E70AA0" w:rsidRPr="00972D9F">
        <w:t xml:space="preserve">ou de ses adjoints et directement réglées par la commune peuvent constituer des </w:t>
      </w:r>
      <w:r w:rsidRPr="00972D9F">
        <w:t>« </w:t>
      </w:r>
      <w:r w:rsidR="00E70AA0" w:rsidRPr="00972D9F">
        <w:t>frais de représentation</w:t>
      </w:r>
      <w:r w:rsidRPr="00972D9F">
        <w:t> »</w:t>
      </w:r>
      <w:r w:rsidR="00E70AA0" w:rsidRPr="00972D9F">
        <w:t xml:space="preserve"> </w:t>
      </w:r>
      <w:r w:rsidRPr="00972D9F">
        <w:t xml:space="preserve">dont le paiement </w:t>
      </w:r>
      <w:r w:rsidR="00E70AA0" w:rsidRPr="00972D9F">
        <w:t>impos</w:t>
      </w:r>
      <w:r w:rsidRPr="00972D9F">
        <w:t>e, conformément aux rubriques</w:t>
      </w:r>
      <w:r w:rsidR="007734F0">
        <w:t xml:space="preserve"> </w:t>
      </w:r>
      <w:r w:rsidRPr="00972D9F">
        <w:t xml:space="preserve">315 et 3211 de la nomenclature des pièces justificatives, </w:t>
      </w:r>
      <w:r w:rsidR="00E70AA0" w:rsidRPr="00972D9F">
        <w:t>l’exi</w:t>
      </w:r>
      <w:r w:rsidRPr="00972D9F">
        <w:t>stence d’une délibération</w:t>
      </w:r>
      <w:r w:rsidR="007734F0">
        <w:t> </w:t>
      </w:r>
      <w:r w:rsidR="00E70AA0" w:rsidRPr="00972D9F">
        <w:t xml:space="preserve">; </w:t>
      </w:r>
      <w:r w:rsidR="00DA4764" w:rsidRPr="00972D9F">
        <w:t>que</w:t>
      </w:r>
      <w:r w:rsidR="00DA4764">
        <w:t>,</w:t>
      </w:r>
      <w:r w:rsidR="00DA4764" w:rsidRPr="00972D9F">
        <w:t xml:space="preserve"> si les comptables </w:t>
      </w:r>
      <w:r w:rsidR="00DA4764">
        <w:t xml:space="preserve">publics </w:t>
      </w:r>
      <w:r w:rsidR="00DA4764" w:rsidRPr="00972D9F">
        <w:t xml:space="preserve">n’ont pas le pouvoir de se faire juges de la légalité des actes administratifs, lorsque les pièces justificatives fournies sont insuffisantes pour établir la validité de la créance, il leur appartient de suspendre le paiement jusqu’à ce que l’ordonnateur leur ait produit les justifications nécessaires ; </w:t>
      </w:r>
      <w:r w:rsidR="00E70AA0" w:rsidRPr="00972D9F">
        <w:t>qu</w:t>
      </w:r>
      <w:r w:rsidR="00DA4764">
        <w:t>’en l’espèc</w:t>
      </w:r>
      <w:r w:rsidR="00E70AA0" w:rsidRPr="00972D9F">
        <w:t>e les comptables n’établissent pas en appel qu'ils étaient en mesure</w:t>
      </w:r>
      <w:r w:rsidRPr="00972D9F">
        <w:t>,</w:t>
      </w:r>
      <w:r w:rsidR="00E70AA0" w:rsidRPr="00972D9F">
        <w:t xml:space="preserve"> au moment où ils ont procédé au paiement des mandats litigieux, de déterminer la nature de la dépense et donc, comme le leur imposait la réglementation en vigueur, de vérifier l'exactitude de </w:t>
      </w:r>
      <w:r w:rsidR="00E70AA0" w:rsidRPr="00972D9F">
        <w:lastRenderedPageBreak/>
        <w:t>l'imputation des dépenses au chapitre proposé ni, en conséquence, d'exiger les pièces justificatives requises par la nomenclature ; qu’ainsi l’argument tenant à déduire les pièces justificatives requises de la nature du bénéficiaire du paiement manque en droit ;</w:t>
      </w:r>
    </w:p>
    <w:p w:rsidR="00E70AA0" w:rsidRPr="00972D9F" w:rsidRDefault="00E70AA0" w:rsidP="000C1010">
      <w:pPr>
        <w:autoSpaceDE w:val="0"/>
        <w:autoSpaceDN w:val="0"/>
        <w:adjustRightInd w:val="0"/>
        <w:spacing w:before="0" w:after="360"/>
        <w:ind w:left="0" w:firstLine="2835"/>
      </w:pPr>
      <w:r w:rsidRPr="00972D9F">
        <w:t>Par ces motifs,</w:t>
      </w:r>
    </w:p>
    <w:p w:rsidR="00E70AA0" w:rsidRPr="00972D9F" w:rsidRDefault="00972D9F" w:rsidP="000C1010">
      <w:pPr>
        <w:autoSpaceDE w:val="0"/>
        <w:autoSpaceDN w:val="0"/>
        <w:adjustRightInd w:val="0"/>
        <w:spacing w:before="0" w:after="360"/>
        <w:ind w:left="1701" w:firstLine="0"/>
        <w:jc w:val="center"/>
      </w:pPr>
      <w:r w:rsidRPr="00972D9F">
        <w:t xml:space="preserve">DECIDE </w:t>
      </w:r>
      <w:r w:rsidR="00E70AA0" w:rsidRPr="00972D9F">
        <w:t>:</w:t>
      </w:r>
    </w:p>
    <w:p w:rsidR="00E70AA0" w:rsidRPr="00972D9F" w:rsidRDefault="005C74D3" w:rsidP="00972D9F">
      <w:pPr>
        <w:autoSpaceDE w:val="0"/>
        <w:autoSpaceDN w:val="0"/>
        <w:adjustRightInd w:val="0"/>
        <w:spacing w:before="0" w:after="0"/>
        <w:ind w:left="1701"/>
      </w:pPr>
      <w:r>
        <w:t>Article unique :</w:t>
      </w:r>
      <w:r w:rsidR="00E70AA0" w:rsidRPr="00972D9F">
        <w:t xml:space="preserve"> Les requêtes de M.</w:t>
      </w:r>
      <w:r w:rsidR="0078025E">
        <w:t> </w:t>
      </w:r>
      <w:r w:rsidR="006435CA">
        <w:t>Y</w:t>
      </w:r>
      <w:r w:rsidR="00E70AA0" w:rsidRPr="00972D9F">
        <w:t>, de</w:t>
      </w:r>
      <w:r w:rsidR="007734F0">
        <w:t xml:space="preserve"> </w:t>
      </w:r>
      <w:r w:rsidR="006435CA">
        <w:t>M</w:t>
      </w:r>
      <w:r w:rsidR="006435CA" w:rsidRPr="007734F0">
        <w:rPr>
          <w:vertAlign w:val="superscript"/>
        </w:rPr>
        <w:t>me</w:t>
      </w:r>
      <w:r w:rsidR="006435CA">
        <w:t xml:space="preserve"> Z</w:t>
      </w:r>
      <w:r w:rsidR="00E70AA0" w:rsidRPr="00972D9F">
        <w:t xml:space="preserve"> et de M.</w:t>
      </w:r>
      <w:r w:rsidR="0078025E">
        <w:t> </w:t>
      </w:r>
      <w:r w:rsidR="006435CA">
        <w:t>X</w:t>
      </w:r>
      <w:r w:rsidR="00972D9F" w:rsidRPr="00972D9F">
        <w:t xml:space="preserve"> </w:t>
      </w:r>
      <w:r w:rsidR="00E70AA0" w:rsidRPr="00972D9F">
        <w:t>sont rejetées.</w:t>
      </w:r>
    </w:p>
    <w:p w:rsidR="00972D9F" w:rsidRPr="00972D9F" w:rsidRDefault="00972D9F" w:rsidP="00E70AA0">
      <w:pPr>
        <w:autoSpaceDE w:val="0"/>
        <w:autoSpaceDN w:val="0"/>
        <w:adjustRightInd w:val="0"/>
        <w:spacing w:before="0" w:after="0"/>
        <w:ind w:left="0" w:firstLine="0"/>
        <w:jc w:val="left"/>
      </w:pPr>
    </w:p>
    <w:p w:rsidR="00E70AA0" w:rsidRPr="00972D9F" w:rsidRDefault="00E70AA0" w:rsidP="00972D9F">
      <w:pPr>
        <w:autoSpaceDE w:val="0"/>
        <w:autoSpaceDN w:val="0"/>
        <w:adjustRightInd w:val="0"/>
        <w:spacing w:before="0" w:after="0"/>
        <w:ind w:left="0" w:firstLine="1701"/>
        <w:jc w:val="center"/>
      </w:pPr>
      <w:r w:rsidRPr="00972D9F">
        <w:t>---------</w:t>
      </w:r>
    </w:p>
    <w:p w:rsidR="00E70AA0" w:rsidRPr="00972D9F" w:rsidRDefault="00E70AA0" w:rsidP="00E70AA0">
      <w:pPr>
        <w:spacing w:before="120" w:after="120"/>
        <w:ind w:left="0" w:firstLine="709"/>
      </w:pPr>
    </w:p>
    <w:p w:rsidR="00E70AA0" w:rsidRDefault="00E70AA0" w:rsidP="0078025E">
      <w:pPr>
        <w:autoSpaceDE w:val="0"/>
        <w:autoSpaceDN w:val="0"/>
        <w:adjustRightInd w:val="0"/>
        <w:spacing w:before="0" w:after="0"/>
        <w:ind w:left="1701"/>
      </w:pPr>
      <w:r w:rsidRPr="00972D9F">
        <w:t>Fait et jugé en la Cour des comptes, quatrième chambre, première section.</w:t>
      </w:r>
      <w:r w:rsidR="0078025E">
        <w:t xml:space="preserve">  </w:t>
      </w:r>
      <w:r w:rsidRPr="00972D9F">
        <w:t xml:space="preserve">Présents : </w:t>
      </w:r>
      <w:r w:rsidR="0078025E">
        <w:t>MM. </w:t>
      </w:r>
      <w:proofErr w:type="spellStart"/>
      <w:r w:rsidR="0078025E">
        <w:t>Vachia</w:t>
      </w:r>
      <w:proofErr w:type="spellEnd"/>
      <w:r w:rsidR="0078025E">
        <w:t xml:space="preserve">, président, Maistre, président de section, Ganser, </w:t>
      </w:r>
      <w:proofErr w:type="spellStart"/>
      <w:r w:rsidR="0078025E">
        <w:t>Lafaure</w:t>
      </w:r>
      <w:proofErr w:type="spellEnd"/>
      <w:r w:rsidR="0078025E">
        <w:t>, M</w:t>
      </w:r>
      <w:r w:rsidR="0078025E" w:rsidRPr="00A21812">
        <w:rPr>
          <w:vertAlign w:val="superscript"/>
        </w:rPr>
        <w:t>mes</w:t>
      </w:r>
      <w:r w:rsidR="0078025E">
        <w:t xml:space="preserve"> Dos-Reis, </w:t>
      </w:r>
      <w:proofErr w:type="spellStart"/>
      <w:r w:rsidR="0078025E">
        <w:t>Gadriot</w:t>
      </w:r>
      <w:proofErr w:type="spellEnd"/>
      <w:r w:rsidR="0078025E">
        <w:t xml:space="preserve">-Renard, </w:t>
      </w:r>
      <w:proofErr w:type="spellStart"/>
      <w:r w:rsidR="0078025E">
        <w:t>Démier</w:t>
      </w:r>
      <w:proofErr w:type="spellEnd"/>
      <w:r w:rsidR="0078025E">
        <w:t>, et</w:t>
      </w:r>
      <w:r w:rsidR="00A21812">
        <w:t xml:space="preserve"> </w:t>
      </w:r>
      <w:bookmarkStart w:id="0" w:name="_GoBack"/>
      <w:bookmarkEnd w:id="0"/>
      <w:r w:rsidR="0078025E">
        <w:t>M. Geoffroy, conseillers maîtres.</w:t>
      </w:r>
    </w:p>
    <w:p w:rsidR="0079686A" w:rsidRDefault="0079686A" w:rsidP="0078025E">
      <w:pPr>
        <w:autoSpaceDE w:val="0"/>
        <w:autoSpaceDN w:val="0"/>
        <w:adjustRightInd w:val="0"/>
        <w:spacing w:before="0" w:after="0"/>
        <w:ind w:left="0" w:firstLine="2835"/>
        <w:jc w:val="left"/>
      </w:pPr>
    </w:p>
    <w:p w:rsidR="0079686A" w:rsidRDefault="0079686A" w:rsidP="0078025E">
      <w:pPr>
        <w:autoSpaceDE w:val="0"/>
        <w:autoSpaceDN w:val="0"/>
        <w:adjustRightInd w:val="0"/>
        <w:spacing w:before="0" w:after="0"/>
        <w:ind w:left="0" w:firstLine="2835"/>
        <w:jc w:val="left"/>
      </w:pPr>
    </w:p>
    <w:p w:rsidR="00E70AA0" w:rsidRPr="00972D9F" w:rsidRDefault="00E70AA0" w:rsidP="0078025E">
      <w:pPr>
        <w:autoSpaceDE w:val="0"/>
        <w:autoSpaceDN w:val="0"/>
        <w:adjustRightInd w:val="0"/>
        <w:spacing w:before="0" w:after="0"/>
        <w:ind w:left="0" w:firstLine="2835"/>
        <w:jc w:val="left"/>
      </w:pPr>
      <w:r w:rsidRPr="00972D9F">
        <w:t xml:space="preserve">Signé : </w:t>
      </w:r>
      <w:proofErr w:type="spellStart"/>
      <w:r w:rsidRPr="00972D9F">
        <w:t>Vachia</w:t>
      </w:r>
      <w:proofErr w:type="spellEnd"/>
      <w:r w:rsidRPr="00972D9F">
        <w:t>, président, et Le Baron, greffier.</w:t>
      </w:r>
    </w:p>
    <w:p w:rsidR="00972D9F" w:rsidRPr="00972D9F" w:rsidRDefault="00972D9F" w:rsidP="00972D9F">
      <w:pPr>
        <w:autoSpaceDE w:val="0"/>
        <w:autoSpaceDN w:val="0"/>
        <w:adjustRightInd w:val="0"/>
        <w:spacing w:before="0" w:after="0"/>
        <w:ind w:left="0" w:firstLine="1701"/>
      </w:pPr>
    </w:p>
    <w:p w:rsidR="00E70AA0" w:rsidRPr="00405C1F" w:rsidRDefault="00E70AA0" w:rsidP="00405C1F">
      <w:pPr>
        <w:pStyle w:val="PS"/>
        <w:rPr>
          <w:sz w:val="24"/>
          <w:szCs w:val="24"/>
        </w:rPr>
      </w:pPr>
      <w:r w:rsidRPr="00405C1F">
        <w:rPr>
          <w:sz w:val="24"/>
          <w:szCs w:val="24"/>
        </w:rPr>
        <w:t>Collationné, certifié conforme à la minute étant au greffe de la</w:t>
      </w:r>
      <w:r w:rsidR="00405C1F" w:rsidRPr="00405C1F">
        <w:rPr>
          <w:sz w:val="24"/>
          <w:szCs w:val="24"/>
        </w:rPr>
        <w:t> </w:t>
      </w:r>
      <w:r w:rsidRPr="00405C1F">
        <w:rPr>
          <w:sz w:val="24"/>
          <w:szCs w:val="24"/>
        </w:rPr>
        <w:t>Cour des comptes.</w:t>
      </w:r>
    </w:p>
    <w:p w:rsidR="008F63DD" w:rsidRPr="00742CE3" w:rsidRDefault="008F63DD" w:rsidP="00DF340F">
      <w:pPr>
        <w:spacing w:after="0"/>
        <w:ind w:left="539" w:firstLine="4990"/>
        <w:jc w:val="center"/>
        <w:rPr>
          <w:rFonts w:ascii="Times New Roman Gras" w:hAnsi="Times New Roman Gras"/>
          <w:b/>
          <w:bCs/>
        </w:rPr>
      </w:pPr>
      <w:r w:rsidRPr="00742CE3">
        <w:rPr>
          <w:rFonts w:ascii="Times New Roman Gras" w:hAnsi="Times New Roman Gras"/>
          <w:b/>
          <w:bCs/>
        </w:rPr>
        <w:t>Pour le Secrétaire général</w:t>
      </w:r>
    </w:p>
    <w:p w:rsidR="008F63DD" w:rsidRDefault="008F63DD" w:rsidP="00DF340F">
      <w:pPr>
        <w:spacing w:before="0" w:after="0"/>
        <w:ind w:left="539" w:firstLine="4990"/>
        <w:jc w:val="center"/>
        <w:rPr>
          <w:rFonts w:ascii="Times New Roman Gras" w:hAnsi="Times New Roman Gras"/>
          <w:b/>
          <w:bCs/>
        </w:rPr>
      </w:pPr>
      <w:proofErr w:type="gramStart"/>
      <w:r w:rsidRPr="00742CE3">
        <w:rPr>
          <w:rFonts w:ascii="Times New Roman Gras" w:hAnsi="Times New Roman Gras"/>
          <w:b/>
          <w:bCs/>
        </w:rPr>
        <w:t>et</w:t>
      </w:r>
      <w:proofErr w:type="gramEnd"/>
      <w:r w:rsidRPr="00742CE3">
        <w:rPr>
          <w:rFonts w:ascii="Times New Roman Gras" w:hAnsi="Times New Roman Gras"/>
          <w:b/>
          <w:bCs/>
        </w:rPr>
        <w:t xml:space="preserve"> par délégation,</w:t>
      </w:r>
    </w:p>
    <w:p w:rsidR="00DF340F" w:rsidRPr="00DF340F" w:rsidRDefault="00DF340F" w:rsidP="00DF340F">
      <w:pPr>
        <w:pStyle w:val="Corpsdetexte"/>
        <w:spacing w:before="0" w:after="1920"/>
        <w:ind w:left="3255" w:firstLine="2274"/>
        <w:jc w:val="center"/>
      </w:pPr>
      <w:proofErr w:type="gramStart"/>
      <w:r>
        <w:rPr>
          <w:rFonts w:ascii="Times New Roman Gras" w:hAnsi="Times New Roman Gras"/>
          <w:b/>
          <w:bCs/>
        </w:rPr>
        <w:t>le</w:t>
      </w:r>
      <w:proofErr w:type="gramEnd"/>
      <w:r>
        <w:rPr>
          <w:rFonts w:ascii="Times New Roman Gras" w:hAnsi="Times New Roman Gras"/>
          <w:b/>
          <w:bCs/>
        </w:rPr>
        <w:t xml:space="preserve"> Chef du Greffe </w:t>
      </w:r>
      <w:r w:rsidRPr="00742CE3">
        <w:rPr>
          <w:rFonts w:ascii="Times New Roman Gras" w:hAnsi="Times New Roman Gras"/>
          <w:b/>
          <w:bCs/>
        </w:rPr>
        <w:t>contentieux</w:t>
      </w:r>
    </w:p>
    <w:p w:rsidR="008F63DD" w:rsidRPr="00742CE3" w:rsidRDefault="008F63DD" w:rsidP="00BA4A31">
      <w:pPr>
        <w:spacing w:before="120" w:after="360"/>
        <w:ind w:left="540" w:firstLine="5272"/>
        <w:jc w:val="center"/>
        <w:rPr>
          <w:rFonts w:ascii="Times New Roman Gras" w:hAnsi="Times New Roman Gras"/>
          <w:b/>
          <w:bCs/>
        </w:rPr>
      </w:pPr>
      <w:r w:rsidRPr="00742CE3">
        <w:rPr>
          <w:rFonts w:ascii="Times New Roman Gras" w:hAnsi="Times New Roman Gras"/>
          <w:b/>
          <w:bCs/>
        </w:rPr>
        <w:t>Daniel F</w:t>
      </w:r>
      <w:r w:rsidR="0079686A">
        <w:rPr>
          <w:rFonts w:ascii="Times New Roman Gras" w:hAnsi="Times New Roman Gras"/>
          <w:b/>
          <w:bCs/>
        </w:rPr>
        <w:t>É</w:t>
      </w:r>
      <w:r w:rsidRPr="00742CE3">
        <w:rPr>
          <w:rFonts w:ascii="Times New Roman Gras" w:hAnsi="Times New Roman Gras"/>
          <w:b/>
          <w:bCs/>
        </w:rPr>
        <w:t>REZ</w:t>
      </w:r>
    </w:p>
    <w:sectPr w:rsidR="008F63DD" w:rsidRPr="00742CE3" w:rsidSect="00B33B02">
      <w:pgSz w:w="11900" w:h="16840"/>
      <w:pgMar w:top="1417" w:right="1417" w:bottom="1417" w:left="1417" w:header="708" w:footer="708" w:gutter="0"/>
      <w:pgNumType w:start="2"/>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62F" w:rsidRDefault="00FB762F" w:rsidP="00B64A78">
      <w:pPr>
        <w:spacing w:before="0" w:after="0"/>
      </w:pPr>
      <w:r>
        <w:separator/>
      </w:r>
    </w:p>
  </w:endnote>
  <w:endnote w:type="continuationSeparator" w:id="0">
    <w:p w:rsidR="00FB762F" w:rsidRDefault="00FB762F" w:rsidP="00B64A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A78" w:rsidRDefault="00B64A78">
    <w:pPr>
      <w:pStyle w:val="Pieddepage"/>
    </w:pPr>
  </w:p>
  <w:p w:rsidR="00B64A78" w:rsidRDefault="00B64A7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62F" w:rsidRDefault="00FB762F" w:rsidP="00B64A78">
      <w:pPr>
        <w:spacing w:before="0" w:after="0"/>
      </w:pPr>
      <w:r>
        <w:separator/>
      </w:r>
    </w:p>
  </w:footnote>
  <w:footnote w:type="continuationSeparator" w:id="0">
    <w:p w:rsidR="00FB762F" w:rsidRDefault="00FB762F" w:rsidP="00B64A7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B02" w:rsidRDefault="00B33B02">
    <w:pPr>
      <w:pStyle w:val="En-tte"/>
      <w:jc w:val="right"/>
    </w:pPr>
    <w:r>
      <w:fldChar w:fldCharType="begin"/>
    </w:r>
    <w:r>
      <w:instrText>PAGE   \* MERGEFORMAT</w:instrText>
    </w:r>
    <w:r>
      <w:fldChar w:fldCharType="separate"/>
    </w:r>
    <w:r w:rsidR="00A21812">
      <w:rPr>
        <w:noProof/>
      </w:rPr>
      <w:t>5</w:t>
    </w:r>
    <w:r>
      <w:fldChar w:fldCharType="end"/>
    </w:r>
  </w:p>
  <w:p w:rsidR="00C01382" w:rsidRDefault="00C0138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5108D"/>
    <w:multiLevelType w:val="multilevel"/>
    <w:tmpl w:val="23FCECD8"/>
    <w:lvl w:ilvl="0">
      <w:start w:val="1"/>
      <w:numFmt w:val="upperRoman"/>
      <w:suff w:val="nothing"/>
      <w:lvlText w:val="PARTIE %1 : "/>
      <w:lvlJc w:val="left"/>
      <w:pPr>
        <w:ind w:left="1985" w:hanging="284"/>
      </w:pPr>
      <w:rPr>
        <w:rFonts w:ascii="Times New Roman" w:hAnsi="Times New Roman" w:hint="default"/>
        <w:b/>
        <w:i w:val="0"/>
        <w:sz w:val="28"/>
      </w:rPr>
    </w:lvl>
    <w:lvl w:ilvl="1">
      <w:start w:val="1"/>
      <w:numFmt w:val="upperRoman"/>
      <w:suff w:val="space"/>
      <w:lvlText w:val="%2."/>
      <w:lvlJc w:val="left"/>
      <w:pPr>
        <w:ind w:left="510" w:hanging="510"/>
      </w:pPr>
    </w:lvl>
    <w:lvl w:ilvl="2">
      <w:start w:val="1"/>
      <w:numFmt w:val="upperLetter"/>
      <w:suff w:val="space"/>
      <w:lvlText w:val="%3."/>
      <w:lvlJc w:val="left"/>
      <w:pPr>
        <w:ind w:left="851" w:hanging="851"/>
      </w:pPr>
    </w:lvl>
    <w:lvl w:ilvl="3">
      <w:start w:val="1"/>
      <w:numFmt w:val="decimal"/>
      <w:suff w:val="space"/>
      <w:lvlText w:val="%4."/>
      <w:lvlJc w:val="left"/>
      <w:pPr>
        <w:ind w:left="879" w:hanging="879"/>
      </w:pPr>
      <w:rPr>
        <w:u w:val="none"/>
      </w:rPr>
    </w:lvl>
    <w:lvl w:ilvl="4">
      <w:start w:val="1"/>
      <w:numFmt w:val="lowerLetter"/>
      <w:suff w:val="space"/>
      <w:lvlText w:val="%5."/>
      <w:lvlJc w:val="left"/>
      <w:pPr>
        <w:ind w:left="992" w:hanging="992"/>
      </w:pPr>
      <w:rPr>
        <w:u w:val="none"/>
      </w:rPr>
    </w:lvl>
    <w:lvl w:ilvl="5">
      <w:start w:val="1"/>
      <w:numFmt w:val="decimal"/>
      <w:suff w:val="space"/>
      <w:lvlText w:val="%6)."/>
      <w:lvlJc w:val="left"/>
      <w:pPr>
        <w:ind w:left="709" w:firstLine="0"/>
      </w:pPr>
    </w:lvl>
    <w:lvl w:ilvl="6">
      <w:start w:val="1"/>
      <w:numFmt w:val="lowerLetter"/>
      <w:pStyle w:val="Titre7"/>
      <w:suff w:val="space"/>
      <w:lvlText w:val="%7)."/>
      <w:lvlJc w:val="left"/>
      <w:pPr>
        <w:ind w:left="709" w:hanging="142"/>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3B26513F"/>
    <w:multiLevelType w:val="multilevel"/>
    <w:tmpl w:val="60ECB5A8"/>
    <w:lvl w:ilvl="0">
      <w:start w:val="1"/>
      <w:numFmt w:val="upperRoman"/>
      <w:pStyle w:val="Titre1"/>
      <w:suff w:val="space"/>
      <w:lvlText w:val="PARTIE %1 : "/>
      <w:lvlJc w:val="center"/>
      <w:pPr>
        <w:ind w:left="851" w:firstLine="283"/>
      </w:pPr>
      <w:rPr>
        <w:rFonts w:ascii="Times New Roman" w:hAnsi="Times New Roman" w:hint="default"/>
        <w:b/>
        <w:i w:val="0"/>
        <w:sz w:val="28"/>
      </w:rPr>
    </w:lvl>
    <w:lvl w:ilvl="1">
      <w:start w:val="1"/>
      <w:numFmt w:val="upperRoman"/>
      <w:pStyle w:val="Titre2"/>
      <w:suff w:val="space"/>
      <w:lvlText w:val="%2."/>
      <w:lvlJc w:val="left"/>
      <w:pPr>
        <w:ind w:left="510" w:hanging="510"/>
      </w:pPr>
    </w:lvl>
    <w:lvl w:ilvl="2">
      <w:start w:val="1"/>
      <w:numFmt w:val="upperLetter"/>
      <w:pStyle w:val="Titre3"/>
      <w:suff w:val="space"/>
      <w:lvlText w:val="%3."/>
      <w:lvlJc w:val="left"/>
      <w:pPr>
        <w:ind w:left="851" w:hanging="851"/>
      </w:pPr>
    </w:lvl>
    <w:lvl w:ilvl="3">
      <w:start w:val="1"/>
      <w:numFmt w:val="decimal"/>
      <w:pStyle w:val="Titre4"/>
      <w:suff w:val="space"/>
      <w:lvlText w:val="%4."/>
      <w:lvlJc w:val="left"/>
      <w:pPr>
        <w:ind w:left="879" w:hanging="879"/>
      </w:pPr>
      <w:rPr>
        <w:u w:val="none"/>
      </w:rPr>
    </w:lvl>
    <w:lvl w:ilvl="4">
      <w:start w:val="1"/>
      <w:numFmt w:val="lowerLetter"/>
      <w:pStyle w:val="Titre5"/>
      <w:suff w:val="space"/>
      <w:lvlText w:val="%5."/>
      <w:lvlJc w:val="left"/>
      <w:pPr>
        <w:ind w:left="992" w:hanging="992"/>
      </w:pPr>
      <w:rPr>
        <w:u w:val="none"/>
      </w:rPr>
    </w:lvl>
    <w:lvl w:ilvl="5">
      <w:start w:val="1"/>
      <w:numFmt w:val="decimal"/>
      <w:pStyle w:val="Titre6"/>
      <w:suff w:val="space"/>
      <w:lvlText w:val="%6)."/>
      <w:lvlJc w:val="left"/>
      <w:pPr>
        <w:ind w:left="709" w:hanging="142"/>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0923283"/>
    <w:multiLevelType w:val="multilevel"/>
    <w:tmpl w:val="FAC2A876"/>
    <w:lvl w:ilvl="0">
      <w:start w:val="1"/>
      <w:numFmt w:val="decimal"/>
      <w:pStyle w:val="Titretableau"/>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52B9448C"/>
    <w:multiLevelType w:val="singleLevel"/>
    <w:tmpl w:val="5FDE4ADE"/>
    <w:lvl w:ilvl="0">
      <w:start w:val="1"/>
      <w:numFmt w:val="decimal"/>
      <w:pStyle w:val="Titreobservations"/>
      <w:lvlText w:val="Obs n°%1."/>
      <w:lvlJc w:val="left"/>
      <w:pPr>
        <w:tabs>
          <w:tab w:val="num" w:pos="0"/>
        </w:tabs>
        <w:ind w:left="1021" w:hanging="1361"/>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FBF"/>
    <w:rsid w:val="00002441"/>
    <w:rsid w:val="00070EE8"/>
    <w:rsid w:val="000C1010"/>
    <w:rsid w:val="002B1A22"/>
    <w:rsid w:val="003143EC"/>
    <w:rsid w:val="0039725E"/>
    <w:rsid w:val="00403AA7"/>
    <w:rsid w:val="00405C1F"/>
    <w:rsid w:val="00437ECC"/>
    <w:rsid w:val="0045382E"/>
    <w:rsid w:val="00472FC1"/>
    <w:rsid w:val="00481D82"/>
    <w:rsid w:val="004D6374"/>
    <w:rsid w:val="004F3EEF"/>
    <w:rsid w:val="00561DE5"/>
    <w:rsid w:val="00572F1E"/>
    <w:rsid w:val="005C74D3"/>
    <w:rsid w:val="005D74E1"/>
    <w:rsid w:val="006435CA"/>
    <w:rsid w:val="00646A23"/>
    <w:rsid w:val="00733A1F"/>
    <w:rsid w:val="0077101E"/>
    <w:rsid w:val="007734F0"/>
    <w:rsid w:val="0078025E"/>
    <w:rsid w:val="0079686A"/>
    <w:rsid w:val="007D22E5"/>
    <w:rsid w:val="00811C3F"/>
    <w:rsid w:val="00865348"/>
    <w:rsid w:val="008F63DD"/>
    <w:rsid w:val="00972D9F"/>
    <w:rsid w:val="0099713B"/>
    <w:rsid w:val="009B63D6"/>
    <w:rsid w:val="009F552E"/>
    <w:rsid w:val="00A21812"/>
    <w:rsid w:val="00A45362"/>
    <w:rsid w:val="00A57630"/>
    <w:rsid w:val="00AE65B6"/>
    <w:rsid w:val="00B33B02"/>
    <w:rsid w:val="00B3578B"/>
    <w:rsid w:val="00B64A78"/>
    <w:rsid w:val="00B73AE4"/>
    <w:rsid w:val="00B75F0F"/>
    <w:rsid w:val="00BA0B9D"/>
    <w:rsid w:val="00BA4A31"/>
    <w:rsid w:val="00BE17F0"/>
    <w:rsid w:val="00BF0C06"/>
    <w:rsid w:val="00C01382"/>
    <w:rsid w:val="00C20301"/>
    <w:rsid w:val="00C2486A"/>
    <w:rsid w:val="00C46413"/>
    <w:rsid w:val="00C868DF"/>
    <w:rsid w:val="00CE2FBF"/>
    <w:rsid w:val="00CF31D3"/>
    <w:rsid w:val="00D54C61"/>
    <w:rsid w:val="00DA4764"/>
    <w:rsid w:val="00DF30A7"/>
    <w:rsid w:val="00DF340F"/>
    <w:rsid w:val="00E70AA0"/>
    <w:rsid w:val="00E9554F"/>
    <w:rsid w:val="00EA149B"/>
    <w:rsid w:val="00F13E9F"/>
    <w:rsid w:val="00FB76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CE2FBF"/>
    <w:pPr>
      <w:spacing w:before="200" w:after="200"/>
      <w:ind w:left="567" w:firstLine="1134"/>
      <w:jc w:val="both"/>
    </w:pPr>
    <w:rPr>
      <w:rFonts w:ascii="Times New Roman" w:eastAsia="Times New Roman" w:hAnsi="Times New Roman"/>
      <w:sz w:val="24"/>
      <w:szCs w:val="24"/>
    </w:rPr>
  </w:style>
  <w:style w:type="paragraph" w:styleId="Titre1">
    <w:name w:val="heading 1"/>
    <w:basedOn w:val="Normal"/>
    <w:next w:val="Corpsdetexte"/>
    <w:link w:val="Titre1Car"/>
    <w:qFormat/>
    <w:rsid w:val="00CE2FBF"/>
    <w:pPr>
      <w:keepNext/>
      <w:numPr>
        <w:numId w:val="2"/>
      </w:numPr>
      <w:spacing w:before="480" w:after="480"/>
      <w:jc w:val="left"/>
      <w:outlineLvl w:val="0"/>
    </w:pPr>
    <w:rPr>
      <w:b/>
      <w:bCs/>
      <w:caps/>
      <w:kern w:val="28"/>
    </w:rPr>
  </w:style>
  <w:style w:type="paragraph" w:styleId="Titre2">
    <w:name w:val="heading 2"/>
    <w:basedOn w:val="Normal"/>
    <w:next w:val="Corpsdetexte"/>
    <w:link w:val="Titre2Car"/>
    <w:qFormat/>
    <w:rsid w:val="00CE2FBF"/>
    <w:pPr>
      <w:keepNext/>
      <w:keepLines/>
      <w:numPr>
        <w:ilvl w:val="1"/>
        <w:numId w:val="2"/>
      </w:numPr>
      <w:spacing w:before="480"/>
      <w:jc w:val="left"/>
      <w:outlineLvl w:val="1"/>
    </w:pPr>
    <w:rPr>
      <w:b/>
      <w:bCs/>
      <w:caps/>
    </w:rPr>
  </w:style>
  <w:style w:type="paragraph" w:styleId="Titre3">
    <w:name w:val="heading 3"/>
    <w:basedOn w:val="Normal"/>
    <w:next w:val="Corpsdetexte"/>
    <w:link w:val="Titre3Car"/>
    <w:qFormat/>
    <w:rsid w:val="00CE2FBF"/>
    <w:pPr>
      <w:keepNext/>
      <w:keepLines/>
      <w:numPr>
        <w:ilvl w:val="2"/>
        <w:numId w:val="2"/>
      </w:numPr>
      <w:spacing w:before="600"/>
      <w:jc w:val="left"/>
      <w:outlineLvl w:val="2"/>
    </w:pPr>
    <w:rPr>
      <w:b/>
      <w:bCs/>
      <w:smallCaps/>
    </w:rPr>
  </w:style>
  <w:style w:type="paragraph" w:styleId="Titre4">
    <w:name w:val="heading 4"/>
    <w:basedOn w:val="Normal"/>
    <w:next w:val="Corpsdetexte"/>
    <w:link w:val="Titre4Car"/>
    <w:qFormat/>
    <w:rsid w:val="00CE2FBF"/>
    <w:pPr>
      <w:keepNext/>
      <w:keepLines/>
      <w:numPr>
        <w:ilvl w:val="3"/>
        <w:numId w:val="2"/>
      </w:numPr>
      <w:spacing w:before="480"/>
      <w:jc w:val="left"/>
      <w:outlineLvl w:val="3"/>
    </w:pPr>
    <w:rPr>
      <w:b/>
      <w:bCs/>
    </w:rPr>
  </w:style>
  <w:style w:type="paragraph" w:styleId="Titre5">
    <w:name w:val="heading 5"/>
    <w:basedOn w:val="Normal"/>
    <w:next w:val="Corpsdetexte"/>
    <w:link w:val="Titre5Car"/>
    <w:qFormat/>
    <w:rsid w:val="00CE2FBF"/>
    <w:pPr>
      <w:keepNext/>
      <w:keepLines/>
      <w:numPr>
        <w:ilvl w:val="4"/>
        <w:numId w:val="2"/>
      </w:numPr>
      <w:spacing w:before="240"/>
      <w:jc w:val="left"/>
      <w:outlineLvl w:val="4"/>
    </w:pPr>
    <w:rPr>
      <w:u w:val="single"/>
    </w:rPr>
  </w:style>
  <w:style w:type="paragraph" w:styleId="Titre6">
    <w:name w:val="heading 6"/>
    <w:basedOn w:val="Corpsdetexte"/>
    <w:next w:val="Corpsdetexte"/>
    <w:link w:val="Titre6Car"/>
    <w:qFormat/>
    <w:rsid w:val="00CE2FBF"/>
    <w:pPr>
      <w:keepNext/>
      <w:numPr>
        <w:ilvl w:val="5"/>
        <w:numId w:val="2"/>
      </w:numPr>
      <w:spacing w:before="240" w:after="60"/>
      <w:outlineLvl w:val="5"/>
    </w:pPr>
  </w:style>
  <w:style w:type="paragraph" w:styleId="Titre7">
    <w:name w:val="heading 7"/>
    <w:basedOn w:val="Normal"/>
    <w:next w:val="Corpsdetexte"/>
    <w:link w:val="Titre7Car"/>
    <w:qFormat/>
    <w:rsid w:val="00CE2FBF"/>
    <w:pPr>
      <w:keepNext/>
      <w:numPr>
        <w:ilvl w:val="6"/>
        <w:numId w:val="3"/>
      </w:numPr>
      <w:jc w:val="left"/>
      <w:outlineLvl w:val="6"/>
    </w:pPr>
  </w:style>
  <w:style w:type="paragraph" w:styleId="Titre8">
    <w:name w:val="heading 8"/>
    <w:basedOn w:val="Normal"/>
    <w:next w:val="Normal"/>
    <w:link w:val="Titre8Car"/>
    <w:qFormat/>
    <w:rsid w:val="00CE2FBF"/>
    <w:pPr>
      <w:keepNext/>
      <w:spacing w:before="0" w:after="0" w:line="400" w:lineRule="exact"/>
      <w:ind w:firstLine="0"/>
      <w:outlineLvl w:val="7"/>
    </w:pPr>
  </w:style>
  <w:style w:type="paragraph" w:styleId="Titre9">
    <w:name w:val="heading 9"/>
    <w:basedOn w:val="Normal"/>
    <w:next w:val="Normal"/>
    <w:link w:val="Titre9Car"/>
    <w:qFormat/>
    <w:rsid w:val="00CE2FBF"/>
    <w:pPr>
      <w:keepNext/>
      <w:spacing w:before="0" w:after="0" w:line="400" w:lineRule="exact"/>
      <w:ind w:left="57" w:firstLine="0"/>
      <w:jc w:val="center"/>
      <w:outlineLvl w:val="8"/>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CE2FBF"/>
  </w:style>
  <w:style w:type="character" w:customStyle="1" w:styleId="CorpsdetexteCar">
    <w:name w:val="Corps de texte Car"/>
    <w:link w:val="Corpsdetexte"/>
    <w:rsid w:val="00CE2FBF"/>
    <w:rPr>
      <w:rFonts w:ascii="Times New Roman" w:eastAsia="Times New Roman" w:hAnsi="Times New Roman" w:cs="Times New Roman"/>
      <w:lang w:val="fr-FR" w:eastAsia="fr-FR"/>
    </w:rPr>
  </w:style>
  <w:style w:type="character" w:customStyle="1" w:styleId="Titre1Car">
    <w:name w:val="Titre 1 Car"/>
    <w:link w:val="Titre1"/>
    <w:rsid w:val="00CE2FBF"/>
    <w:rPr>
      <w:rFonts w:ascii="Times New Roman" w:eastAsia="Times New Roman" w:hAnsi="Times New Roman" w:cs="Times New Roman"/>
      <w:b/>
      <w:bCs/>
      <w:caps/>
      <w:kern w:val="28"/>
      <w:lang w:val="fr-FR" w:eastAsia="fr-FR"/>
    </w:rPr>
  </w:style>
  <w:style w:type="character" w:customStyle="1" w:styleId="Titre2Car">
    <w:name w:val="Titre 2 Car"/>
    <w:link w:val="Titre2"/>
    <w:rsid w:val="00CE2FBF"/>
    <w:rPr>
      <w:rFonts w:ascii="Times New Roman" w:eastAsia="Times New Roman" w:hAnsi="Times New Roman" w:cs="Times New Roman"/>
      <w:b/>
      <w:bCs/>
      <w:caps/>
      <w:lang w:val="fr-FR" w:eastAsia="fr-FR"/>
    </w:rPr>
  </w:style>
  <w:style w:type="character" w:customStyle="1" w:styleId="Titre3Car">
    <w:name w:val="Titre 3 Car"/>
    <w:link w:val="Titre3"/>
    <w:rsid w:val="00CE2FBF"/>
    <w:rPr>
      <w:rFonts w:ascii="Times New Roman" w:eastAsia="Times New Roman" w:hAnsi="Times New Roman" w:cs="Times New Roman"/>
      <w:b/>
      <w:bCs/>
      <w:smallCaps/>
      <w:lang w:val="fr-FR" w:eastAsia="fr-FR"/>
    </w:rPr>
  </w:style>
  <w:style w:type="character" w:customStyle="1" w:styleId="Titre4Car">
    <w:name w:val="Titre 4 Car"/>
    <w:link w:val="Titre4"/>
    <w:rsid w:val="00CE2FBF"/>
    <w:rPr>
      <w:rFonts w:ascii="Times New Roman" w:eastAsia="Times New Roman" w:hAnsi="Times New Roman" w:cs="Times New Roman"/>
      <w:b/>
      <w:bCs/>
      <w:lang w:val="fr-FR" w:eastAsia="fr-FR"/>
    </w:rPr>
  </w:style>
  <w:style w:type="character" w:customStyle="1" w:styleId="Titre5Car">
    <w:name w:val="Titre 5 Car"/>
    <w:link w:val="Titre5"/>
    <w:rsid w:val="00CE2FBF"/>
    <w:rPr>
      <w:rFonts w:ascii="Times New Roman" w:eastAsia="Times New Roman" w:hAnsi="Times New Roman" w:cs="Times New Roman"/>
      <w:u w:val="single"/>
      <w:lang w:val="fr-FR" w:eastAsia="fr-FR"/>
    </w:rPr>
  </w:style>
  <w:style w:type="character" w:customStyle="1" w:styleId="Titre6Car">
    <w:name w:val="Titre 6 Car"/>
    <w:link w:val="Titre6"/>
    <w:rsid w:val="00CE2FBF"/>
    <w:rPr>
      <w:rFonts w:ascii="Times New Roman" w:eastAsia="Times New Roman" w:hAnsi="Times New Roman" w:cs="Times New Roman"/>
      <w:lang w:val="fr-FR" w:eastAsia="fr-FR"/>
    </w:rPr>
  </w:style>
  <w:style w:type="character" w:customStyle="1" w:styleId="Titre7Car">
    <w:name w:val="Titre 7 Car"/>
    <w:link w:val="Titre7"/>
    <w:rsid w:val="00CE2FBF"/>
    <w:rPr>
      <w:rFonts w:ascii="Times New Roman" w:eastAsia="Times New Roman" w:hAnsi="Times New Roman" w:cs="Times New Roman"/>
      <w:lang w:val="fr-FR" w:eastAsia="fr-FR"/>
    </w:rPr>
  </w:style>
  <w:style w:type="character" w:customStyle="1" w:styleId="Titre8Car">
    <w:name w:val="Titre 8 Car"/>
    <w:link w:val="Titre8"/>
    <w:rsid w:val="00CE2FBF"/>
    <w:rPr>
      <w:rFonts w:ascii="Times New Roman" w:eastAsia="Times New Roman" w:hAnsi="Times New Roman" w:cs="Times New Roman"/>
      <w:lang w:val="fr-FR" w:eastAsia="fr-FR"/>
    </w:rPr>
  </w:style>
  <w:style w:type="character" w:customStyle="1" w:styleId="Titre9Car">
    <w:name w:val="Titre 9 Car"/>
    <w:link w:val="Titre9"/>
    <w:rsid w:val="00CE2FBF"/>
    <w:rPr>
      <w:rFonts w:ascii="Times New Roman" w:eastAsia="Times New Roman" w:hAnsi="Times New Roman" w:cs="Times New Roman"/>
      <w:b/>
      <w:bCs/>
      <w:sz w:val="20"/>
      <w:szCs w:val="20"/>
      <w:lang w:val="fr-FR" w:eastAsia="fr-FR"/>
    </w:rPr>
  </w:style>
  <w:style w:type="character" w:customStyle="1" w:styleId="En-tteCar">
    <w:name w:val="En-tête Car"/>
    <w:link w:val="En-tte"/>
    <w:uiPriority w:val="99"/>
    <w:rsid w:val="00CE2FBF"/>
    <w:rPr>
      <w:rFonts w:ascii="Times New Roman" w:eastAsia="Times New Roman" w:hAnsi="Times New Roman" w:cs="Times New Roman"/>
      <w:lang w:val="fr-FR" w:eastAsia="fr-FR"/>
    </w:rPr>
  </w:style>
  <w:style w:type="paragraph" w:styleId="En-tte">
    <w:name w:val="header"/>
    <w:basedOn w:val="Normal"/>
    <w:link w:val="En-tteCar"/>
    <w:uiPriority w:val="99"/>
    <w:rsid w:val="00CE2FBF"/>
    <w:pPr>
      <w:tabs>
        <w:tab w:val="center" w:pos="4536"/>
        <w:tab w:val="right" w:pos="9072"/>
      </w:tabs>
      <w:jc w:val="center"/>
    </w:pPr>
  </w:style>
  <w:style w:type="character" w:customStyle="1" w:styleId="PieddepageCar">
    <w:name w:val="Pied de page Car"/>
    <w:link w:val="Pieddepage"/>
    <w:uiPriority w:val="99"/>
    <w:rsid w:val="00CE2FBF"/>
    <w:rPr>
      <w:rFonts w:ascii="Times New Roman" w:eastAsia="Times New Roman" w:hAnsi="Times New Roman" w:cs="Times New Roman"/>
      <w:lang w:val="fr-FR" w:eastAsia="fr-FR"/>
    </w:rPr>
  </w:style>
  <w:style w:type="paragraph" w:styleId="Pieddepage">
    <w:name w:val="footer"/>
    <w:basedOn w:val="Normal"/>
    <w:link w:val="PieddepageCar"/>
    <w:uiPriority w:val="99"/>
    <w:rsid w:val="00CE2FBF"/>
    <w:pPr>
      <w:tabs>
        <w:tab w:val="center" w:pos="4536"/>
        <w:tab w:val="right" w:pos="9072"/>
      </w:tabs>
      <w:jc w:val="center"/>
    </w:pPr>
  </w:style>
  <w:style w:type="paragraph" w:customStyle="1" w:styleId="Titretableau">
    <w:name w:val="Titre tableau"/>
    <w:basedOn w:val="Corpsdetexte"/>
    <w:next w:val="Corpsdetexte"/>
    <w:semiHidden/>
    <w:rsid w:val="00CE2FBF"/>
    <w:pPr>
      <w:numPr>
        <w:numId w:val="1"/>
      </w:numPr>
      <w:spacing w:before="480" w:after="240"/>
      <w:jc w:val="center"/>
    </w:pPr>
    <w:rPr>
      <w:b/>
      <w:bCs/>
    </w:rPr>
  </w:style>
  <w:style w:type="character" w:styleId="Appelnotedebasdep">
    <w:name w:val="footnote reference"/>
    <w:rsid w:val="00CE2FBF"/>
    <w:rPr>
      <w:sz w:val="20"/>
      <w:szCs w:val="20"/>
      <w:vertAlign w:val="superscript"/>
    </w:rPr>
  </w:style>
  <w:style w:type="paragraph" w:customStyle="1" w:styleId="Tableau">
    <w:name w:val="Tableau"/>
    <w:basedOn w:val="Normal"/>
    <w:rsid w:val="00CE2FBF"/>
    <w:pPr>
      <w:widowControl w:val="0"/>
      <w:spacing w:before="0" w:after="0"/>
      <w:ind w:firstLine="0"/>
      <w:jc w:val="right"/>
    </w:pPr>
    <w:rPr>
      <w:color w:val="000000"/>
    </w:rPr>
  </w:style>
  <w:style w:type="paragraph" w:customStyle="1" w:styleId="1pageChambre">
    <w:name w:val="1°page Chambre"/>
    <w:basedOn w:val="Corpstextegauche"/>
    <w:rsid w:val="00CE2FBF"/>
    <w:pPr>
      <w:keepNext/>
      <w:spacing w:before="0" w:after="0"/>
      <w:jc w:val="center"/>
      <w:outlineLvl w:val="5"/>
    </w:pPr>
    <w:rPr>
      <w:b/>
      <w:bCs/>
      <w:smallCaps/>
      <w:spacing w:val="6"/>
    </w:rPr>
  </w:style>
  <w:style w:type="paragraph" w:customStyle="1" w:styleId="Corpstextegauche">
    <w:name w:val="Corps texte gauche"/>
    <w:basedOn w:val="Normal"/>
    <w:next w:val="Corpsdetexte"/>
    <w:rsid w:val="00CE2FBF"/>
    <w:pPr>
      <w:spacing w:before="60" w:after="60"/>
      <w:ind w:left="0" w:firstLine="0"/>
    </w:pPr>
  </w:style>
  <w:style w:type="paragraph" w:customStyle="1" w:styleId="tabledesobservations1">
    <w:name w:val="table des observations1"/>
    <w:semiHidden/>
    <w:rsid w:val="00CE2FBF"/>
    <w:pPr>
      <w:tabs>
        <w:tab w:val="right" w:leader="dot" w:pos="9356"/>
      </w:tabs>
      <w:spacing w:before="240" w:after="60"/>
      <w:ind w:left="851" w:hanging="851"/>
    </w:pPr>
    <w:rPr>
      <w:rFonts w:ascii="Times New Roman" w:eastAsia="Times New Roman" w:hAnsi="Times New Roman"/>
      <w:b/>
      <w:bCs/>
      <w:noProof/>
      <w:sz w:val="24"/>
      <w:szCs w:val="24"/>
    </w:rPr>
  </w:style>
  <w:style w:type="paragraph" w:customStyle="1" w:styleId="tabledesobservations2">
    <w:name w:val="table des observations2"/>
    <w:semiHidden/>
    <w:rsid w:val="00CE2FBF"/>
    <w:pPr>
      <w:tabs>
        <w:tab w:val="right" w:leader="dot" w:pos="9356"/>
      </w:tabs>
      <w:spacing w:before="60" w:after="240"/>
      <w:ind w:left="3261"/>
      <w:jc w:val="right"/>
    </w:pPr>
    <w:rPr>
      <w:rFonts w:ascii="Times New Roman" w:eastAsia="Times New Roman" w:hAnsi="Times New Roman"/>
      <w:i/>
      <w:iCs/>
      <w:noProof/>
      <w:sz w:val="24"/>
      <w:szCs w:val="24"/>
    </w:rPr>
  </w:style>
  <w:style w:type="character" w:customStyle="1" w:styleId="NotedebasdepageCar">
    <w:name w:val="Note de bas de page Car"/>
    <w:link w:val="Notedebasdepage"/>
    <w:semiHidden/>
    <w:rsid w:val="00CE2FBF"/>
    <w:rPr>
      <w:rFonts w:ascii="Times New Roman" w:eastAsia="Times New Roman" w:hAnsi="Times New Roman" w:cs="Times New Roman"/>
      <w:sz w:val="20"/>
      <w:szCs w:val="20"/>
      <w:lang w:val="fr-FR" w:eastAsia="fr-FR"/>
    </w:rPr>
  </w:style>
  <w:style w:type="paragraph" w:styleId="Notedebasdepage">
    <w:name w:val="footnote text"/>
    <w:basedOn w:val="Normal"/>
    <w:next w:val="Corpsdetexte"/>
    <w:link w:val="NotedebasdepageCar"/>
    <w:semiHidden/>
    <w:rsid w:val="00CE2FBF"/>
    <w:pPr>
      <w:spacing w:after="0"/>
    </w:pPr>
    <w:rPr>
      <w:sz w:val="20"/>
      <w:szCs w:val="20"/>
    </w:rPr>
  </w:style>
  <w:style w:type="paragraph" w:customStyle="1" w:styleId="Titrenonreprisdanssommaire">
    <w:name w:val="Titre non repris dans sommaire"/>
    <w:next w:val="Corpsdetexte"/>
    <w:semiHidden/>
    <w:rsid w:val="00CE2FBF"/>
    <w:pPr>
      <w:spacing w:before="480" w:after="240"/>
      <w:jc w:val="center"/>
    </w:pPr>
    <w:rPr>
      <w:rFonts w:ascii="Times New Roman" w:eastAsia="Times New Roman" w:hAnsi="Times New Roman"/>
      <w:b/>
      <w:bCs/>
      <w:caps/>
      <w:noProof/>
      <w:sz w:val="28"/>
      <w:szCs w:val="28"/>
    </w:rPr>
  </w:style>
  <w:style w:type="paragraph" w:customStyle="1" w:styleId="1pageCour">
    <w:name w:val="1°page Cour"/>
    <w:basedOn w:val="Normal"/>
    <w:rsid w:val="00CE2FBF"/>
    <w:pPr>
      <w:spacing w:before="0" w:after="0"/>
      <w:ind w:left="0" w:firstLine="0"/>
      <w:jc w:val="center"/>
    </w:pPr>
    <w:rPr>
      <w:b/>
      <w:bCs/>
      <w:smallCaps/>
      <w:sz w:val="28"/>
      <w:szCs w:val="28"/>
    </w:rPr>
  </w:style>
  <w:style w:type="character" w:customStyle="1" w:styleId="RetraitcorpsdetexteCar">
    <w:name w:val="Retrait corps de texte Car"/>
    <w:link w:val="Retraitcorpsdetexte"/>
    <w:semiHidden/>
    <w:rsid w:val="00CE2FBF"/>
    <w:rPr>
      <w:rFonts w:ascii="Times New Roman" w:eastAsia="Times New Roman" w:hAnsi="Times New Roman" w:cs="Times New Roman"/>
      <w:lang w:val="fr-FR" w:eastAsia="fr-FR"/>
    </w:rPr>
  </w:style>
  <w:style w:type="paragraph" w:styleId="Retraitcorpsdetexte">
    <w:name w:val="Body Text Indent"/>
    <w:basedOn w:val="Normal"/>
    <w:link w:val="RetraitcorpsdetexteCar"/>
    <w:semiHidden/>
    <w:rsid w:val="00CE2FBF"/>
    <w:pPr>
      <w:spacing w:before="0" w:after="0" w:line="400" w:lineRule="exact"/>
      <w:ind w:firstLine="1418"/>
    </w:pPr>
  </w:style>
  <w:style w:type="paragraph" w:customStyle="1" w:styleId="Paragraphe1">
    <w:name w:val="Paragraphe 1"/>
    <w:semiHidden/>
    <w:rsid w:val="00CE2FBF"/>
    <w:pPr>
      <w:spacing w:line="480" w:lineRule="exact"/>
      <w:ind w:firstLine="1134"/>
      <w:jc w:val="both"/>
    </w:pPr>
    <w:rPr>
      <w:rFonts w:ascii="Tms Rmn" w:eastAsia="Times New Roman" w:hAnsi="Tms Rmn"/>
      <w:sz w:val="24"/>
      <w:szCs w:val="24"/>
    </w:rPr>
  </w:style>
  <w:style w:type="character" w:customStyle="1" w:styleId="Retraitcorpsdetexte2Car">
    <w:name w:val="Retrait corps de texte 2 Car"/>
    <w:link w:val="Retraitcorpsdetexte2"/>
    <w:semiHidden/>
    <w:rsid w:val="00CE2FBF"/>
    <w:rPr>
      <w:rFonts w:ascii="Times New Roman" w:eastAsia="Times New Roman" w:hAnsi="Times New Roman" w:cs="Times New Roman"/>
      <w:lang w:val="fr-FR" w:eastAsia="fr-FR"/>
    </w:rPr>
  </w:style>
  <w:style w:type="paragraph" w:styleId="Retraitcorpsdetexte2">
    <w:name w:val="Body Text Indent 2"/>
    <w:basedOn w:val="Normal"/>
    <w:link w:val="Retraitcorpsdetexte2Car"/>
    <w:semiHidden/>
    <w:rsid w:val="00CE2FBF"/>
    <w:pPr>
      <w:spacing w:before="0" w:after="0" w:line="400" w:lineRule="exact"/>
    </w:pPr>
  </w:style>
  <w:style w:type="character" w:customStyle="1" w:styleId="ExplorateurdedocumentsCar">
    <w:name w:val="Explorateur de documents Car"/>
    <w:link w:val="Explorateurdedocuments"/>
    <w:semiHidden/>
    <w:rsid w:val="00CE2FBF"/>
    <w:rPr>
      <w:rFonts w:ascii="Tahoma" w:eastAsia="Times New Roman" w:hAnsi="Tahoma" w:cs="Tahoma"/>
      <w:shd w:val="clear" w:color="auto" w:fill="000080"/>
      <w:lang w:val="fr-FR" w:eastAsia="fr-FR"/>
    </w:rPr>
  </w:style>
  <w:style w:type="paragraph" w:styleId="Explorateurdedocuments">
    <w:name w:val="Document Map"/>
    <w:basedOn w:val="Normal"/>
    <w:link w:val="ExplorateurdedocumentsCar"/>
    <w:semiHidden/>
    <w:rsid w:val="00CE2FBF"/>
    <w:pPr>
      <w:shd w:val="clear" w:color="auto" w:fill="000080"/>
    </w:pPr>
    <w:rPr>
      <w:rFonts w:ascii="Tahoma" w:hAnsi="Tahoma" w:cs="Tahoma"/>
    </w:rPr>
  </w:style>
  <w:style w:type="paragraph" w:customStyle="1" w:styleId="0ligneaprs">
    <w:name w:val="0 ligne après"/>
    <w:semiHidden/>
    <w:rsid w:val="00CE2FBF"/>
    <w:pPr>
      <w:keepLines/>
      <w:spacing w:line="240" w:lineRule="atLeast"/>
      <w:ind w:left="1701" w:firstLine="567"/>
      <w:jc w:val="both"/>
    </w:pPr>
    <w:rPr>
      <w:rFonts w:ascii="Times New Roman" w:eastAsia="Times New Roman" w:hAnsi="Times New Roman"/>
      <w:sz w:val="24"/>
      <w:szCs w:val="24"/>
    </w:rPr>
  </w:style>
  <w:style w:type="paragraph" w:customStyle="1" w:styleId="PS">
    <w:name w:val="PS"/>
    <w:basedOn w:val="Normal"/>
    <w:link w:val="PSCar"/>
    <w:rsid w:val="00CE2FBF"/>
    <w:pPr>
      <w:spacing w:before="0" w:after="480"/>
      <w:ind w:left="1701"/>
    </w:pPr>
    <w:rPr>
      <w:rFonts w:ascii="CG Times (WN)" w:hAnsi="CG Times (WN)"/>
      <w:sz w:val="20"/>
      <w:szCs w:val="20"/>
    </w:rPr>
  </w:style>
  <w:style w:type="character" w:customStyle="1" w:styleId="PSCar">
    <w:name w:val="PS Car"/>
    <w:link w:val="PS"/>
    <w:rsid w:val="00CE2FBF"/>
    <w:rPr>
      <w:rFonts w:ascii="CG Times (WN)" w:eastAsia="Times New Roman" w:hAnsi="CG Times (WN)" w:cs="Times New Roman"/>
      <w:szCs w:val="20"/>
      <w:lang w:val="fr-FR" w:eastAsia="fr-FR"/>
    </w:rPr>
  </w:style>
  <w:style w:type="character" w:customStyle="1" w:styleId="TextedebullesCar">
    <w:name w:val="Texte de bulles Car"/>
    <w:link w:val="Textedebulles"/>
    <w:semiHidden/>
    <w:rsid w:val="00CE2FBF"/>
    <w:rPr>
      <w:rFonts w:ascii="Tahoma" w:eastAsia="Times New Roman" w:hAnsi="Tahoma" w:cs="Tahoma"/>
      <w:sz w:val="16"/>
      <w:szCs w:val="16"/>
      <w:lang w:val="fr-FR" w:eastAsia="fr-FR"/>
    </w:rPr>
  </w:style>
  <w:style w:type="paragraph" w:styleId="Textedebulles">
    <w:name w:val="Balloon Text"/>
    <w:basedOn w:val="Normal"/>
    <w:link w:val="TextedebullesCar"/>
    <w:semiHidden/>
    <w:rsid w:val="00CE2FBF"/>
    <w:rPr>
      <w:rFonts w:ascii="Tahoma" w:hAnsi="Tahoma" w:cs="Tahoma"/>
      <w:sz w:val="16"/>
      <w:szCs w:val="16"/>
    </w:rPr>
  </w:style>
  <w:style w:type="paragraph" w:customStyle="1" w:styleId="Titreobservations">
    <w:name w:val="Titre observations"/>
    <w:basedOn w:val="Titretableau"/>
    <w:next w:val="Corpsdetexte"/>
    <w:semiHidden/>
    <w:rsid w:val="00CE2FBF"/>
    <w:pPr>
      <w:numPr>
        <w:numId w:val="4"/>
      </w:numPr>
      <w:jc w:val="left"/>
    </w:pPr>
    <w:rPr>
      <w:color w:val="000080"/>
      <w:spacing w:val="4"/>
    </w:rPr>
  </w:style>
  <w:style w:type="paragraph" w:customStyle="1" w:styleId="Style">
    <w:name w:val="Style"/>
    <w:semiHidden/>
    <w:rsid w:val="00CE2FBF"/>
    <w:pPr>
      <w:widowControl w:val="0"/>
      <w:autoSpaceDE w:val="0"/>
      <w:autoSpaceDN w:val="0"/>
      <w:adjustRightInd w:val="0"/>
    </w:pPr>
    <w:rPr>
      <w:rFonts w:ascii="Times New Roman" w:eastAsia="Times New Roman" w:hAnsi="Times New Roman"/>
      <w:sz w:val="24"/>
      <w:szCs w:val="24"/>
    </w:rPr>
  </w:style>
  <w:style w:type="paragraph" w:customStyle="1" w:styleId="paragraphe">
    <w:name w:val="paragraphe"/>
    <w:semiHidden/>
    <w:rsid w:val="00CE2FBF"/>
    <w:pPr>
      <w:spacing w:after="240" w:line="240" w:lineRule="exact"/>
      <w:ind w:left="2268" w:firstLine="1418"/>
      <w:jc w:val="both"/>
    </w:pPr>
    <w:rPr>
      <w:rFonts w:ascii="Tms Rmn" w:eastAsia="Times New Roman" w:hAnsi="Tms Rmn"/>
      <w:sz w:val="24"/>
    </w:rPr>
  </w:style>
  <w:style w:type="character" w:customStyle="1" w:styleId="CharacterStyle1">
    <w:name w:val="Character Style 1"/>
    <w:semiHidden/>
    <w:rsid w:val="00CE2FBF"/>
    <w:rPr>
      <w:rFonts w:ascii="Arial" w:hAnsi="Arial"/>
      <w:sz w:val="16"/>
    </w:rPr>
  </w:style>
  <w:style w:type="character" w:styleId="Marquedecommentaire">
    <w:name w:val="annotation reference"/>
    <w:semiHidden/>
    <w:rsid w:val="00CE2FBF"/>
    <w:rPr>
      <w:sz w:val="16"/>
      <w:szCs w:val="16"/>
    </w:rPr>
  </w:style>
  <w:style w:type="character" w:customStyle="1" w:styleId="CommentaireCar">
    <w:name w:val="Commentaire Car"/>
    <w:link w:val="Commentaire"/>
    <w:semiHidden/>
    <w:rsid w:val="00CE2FBF"/>
    <w:rPr>
      <w:rFonts w:ascii="Times New Roman" w:eastAsia="Times New Roman" w:hAnsi="Times New Roman" w:cs="Times New Roman"/>
      <w:sz w:val="20"/>
      <w:szCs w:val="20"/>
      <w:lang w:val="fr-FR" w:eastAsia="fr-FR"/>
    </w:rPr>
  </w:style>
  <w:style w:type="paragraph" w:styleId="Commentaire">
    <w:name w:val="annotation text"/>
    <w:basedOn w:val="Normal"/>
    <w:link w:val="CommentaireCar"/>
    <w:semiHidden/>
    <w:rsid w:val="00CE2FBF"/>
    <w:rPr>
      <w:sz w:val="20"/>
      <w:szCs w:val="20"/>
    </w:rPr>
  </w:style>
  <w:style w:type="character" w:customStyle="1" w:styleId="ObjetducommentaireCar">
    <w:name w:val="Objet du commentaire Car"/>
    <w:link w:val="Objetducommentaire"/>
    <w:semiHidden/>
    <w:rsid w:val="00CE2FBF"/>
    <w:rPr>
      <w:rFonts w:ascii="Times New Roman" w:eastAsia="Times New Roman" w:hAnsi="Times New Roman" w:cs="Times New Roman"/>
      <w:b/>
      <w:bCs/>
      <w:sz w:val="20"/>
      <w:szCs w:val="20"/>
      <w:lang w:val="fr-FR" w:eastAsia="fr-FR"/>
    </w:rPr>
  </w:style>
  <w:style w:type="paragraph" w:styleId="Objetducommentaire">
    <w:name w:val="annotation subject"/>
    <w:basedOn w:val="Commentaire"/>
    <w:next w:val="Commentaire"/>
    <w:link w:val="ObjetducommentaireCar"/>
    <w:semiHidden/>
    <w:rsid w:val="00CE2FBF"/>
    <w:rPr>
      <w:b/>
      <w:bCs/>
    </w:rPr>
  </w:style>
  <w:style w:type="paragraph" w:customStyle="1" w:styleId="P0">
    <w:name w:val="P0"/>
    <w:basedOn w:val="Normal"/>
    <w:link w:val="P0Car"/>
    <w:rsid w:val="008F63DD"/>
    <w:pPr>
      <w:spacing w:before="0" w:after="0"/>
      <w:ind w:left="1701" w:firstLine="0"/>
    </w:pPr>
  </w:style>
  <w:style w:type="character" w:customStyle="1" w:styleId="P0Car">
    <w:name w:val="P0 Car"/>
    <w:link w:val="P0"/>
    <w:locked/>
    <w:rsid w:val="008F63DD"/>
    <w:rPr>
      <w:rFonts w:ascii="Times New Roman" w:eastAsia="Times New Roman" w:hAnsi="Times New Roman"/>
      <w:sz w:val="24"/>
      <w:szCs w:val="24"/>
    </w:rPr>
  </w:style>
  <w:style w:type="paragraph" w:styleId="Rvision">
    <w:name w:val="Revision"/>
    <w:hidden/>
    <w:uiPriority w:val="71"/>
    <w:rsid w:val="00002441"/>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1666</Words>
  <Characters>9165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10810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Roch-Olivier Maistre</dc:creator>
  <cp:lastModifiedBy>Jean-Pierre Bonin</cp:lastModifiedBy>
  <cp:revision>4</cp:revision>
  <cp:lastPrinted>2014-01-14T14:21:00Z</cp:lastPrinted>
  <dcterms:created xsi:type="dcterms:W3CDTF">2014-05-21T15:11:00Z</dcterms:created>
  <dcterms:modified xsi:type="dcterms:W3CDTF">2014-05-28T12:21:00Z</dcterms:modified>
</cp:coreProperties>
</file>