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FE" w:rsidRDefault="001F7EFE">
      <w:pPr>
        <w:pStyle w:val="ET"/>
      </w:pPr>
      <w:r>
        <w:t>COUR DES COMPTES</w:t>
      </w:r>
    </w:p>
    <w:p w:rsidR="001F7EFE" w:rsidRDefault="001F7EFE">
      <w:pPr>
        <w:pStyle w:val="ET"/>
      </w:pPr>
      <w:r>
        <w:t xml:space="preserve">           --------</w:t>
      </w:r>
    </w:p>
    <w:p w:rsidR="001F7EFE" w:rsidRDefault="001F7EFE">
      <w:pPr>
        <w:pStyle w:val="ET"/>
      </w:pPr>
      <w:r>
        <w:t>QUATRIEME CHAMBRE</w:t>
      </w:r>
    </w:p>
    <w:p w:rsidR="001F7EFE" w:rsidRDefault="001F7EFE">
      <w:pPr>
        <w:pStyle w:val="ET"/>
      </w:pPr>
      <w:r>
        <w:t xml:space="preserve">            -------</w:t>
      </w:r>
    </w:p>
    <w:p w:rsidR="001F7EFE" w:rsidRDefault="001F7EFE">
      <w:pPr>
        <w:pStyle w:val="ET"/>
      </w:pPr>
      <w:r>
        <w:t>PREMIERE SECTION</w:t>
      </w:r>
    </w:p>
    <w:p w:rsidR="001F7EFE" w:rsidRDefault="001F7EFE">
      <w:pPr>
        <w:pStyle w:val="ET"/>
        <w:spacing w:after="120"/>
      </w:pPr>
      <w:r>
        <w:t xml:space="preserve">            -------</w:t>
      </w:r>
    </w:p>
    <w:p w:rsidR="001F7EFE" w:rsidRDefault="001F7EFE" w:rsidP="00AE77E2">
      <w:pPr>
        <w:pStyle w:val="En-tte"/>
        <w:ind w:hanging="142"/>
        <w:rPr>
          <w:b/>
          <w:bCs/>
          <w:i/>
          <w:iCs/>
          <w:sz w:val="22"/>
          <w:szCs w:val="22"/>
        </w:rPr>
      </w:pPr>
      <w:r>
        <w:t xml:space="preserve">           </w:t>
      </w:r>
      <w:r>
        <w:rPr>
          <w:b/>
          <w:bCs/>
          <w:i/>
          <w:iCs/>
          <w:sz w:val="22"/>
          <w:szCs w:val="22"/>
        </w:rPr>
        <w:t xml:space="preserve">Arrêt n° </w:t>
      </w:r>
      <w:r w:rsidR="00AE77E2">
        <w:rPr>
          <w:b/>
          <w:bCs/>
          <w:i/>
          <w:iCs/>
          <w:sz w:val="22"/>
          <w:szCs w:val="22"/>
        </w:rPr>
        <w:t>68893</w:t>
      </w:r>
    </w:p>
    <w:p w:rsidR="001F7EFE" w:rsidRDefault="001F7EFE">
      <w:pPr>
        <w:pStyle w:val="OR"/>
        <w:ind w:left="4536"/>
        <w:jc w:val="both"/>
      </w:pPr>
      <w:r>
        <w:t>CAISSE DE CREDIT MUNICIPAL DU HAVRE</w:t>
      </w:r>
    </w:p>
    <w:p w:rsidR="001F7EFE" w:rsidRDefault="001F7EFE">
      <w:pPr>
        <w:pStyle w:val="OR"/>
        <w:ind w:left="4536"/>
        <w:jc w:val="both"/>
      </w:pPr>
    </w:p>
    <w:p w:rsidR="001F7EFE" w:rsidRDefault="001F7EFE">
      <w:pPr>
        <w:pStyle w:val="OR"/>
        <w:ind w:left="4536"/>
        <w:jc w:val="both"/>
      </w:pPr>
      <w:r>
        <w:t>Appel d’un jugement de la chambre</w:t>
      </w:r>
    </w:p>
    <w:p w:rsidR="001F7EFE" w:rsidRDefault="001F7EFE">
      <w:pPr>
        <w:pStyle w:val="OR"/>
        <w:ind w:left="4536"/>
        <w:jc w:val="both"/>
      </w:pPr>
      <w:r>
        <w:t>régionale des comptes de Haute</w:t>
      </w:r>
      <w:r w:rsidR="00C836FA">
        <w:t>-</w:t>
      </w:r>
      <w:r>
        <w:t>Normandie</w:t>
      </w:r>
    </w:p>
    <w:p w:rsidR="001F7EFE" w:rsidRDefault="001F7EFE">
      <w:pPr>
        <w:pStyle w:val="OR"/>
        <w:ind w:left="4536"/>
        <w:jc w:val="both"/>
      </w:pPr>
    </w:p>
    <w:p w:rsidR="001F7EFE" w:rsidRDefault="001F7EFE">
      <w:pPr>
        <w:pStyle w:val="OR"/>
        <w:ind w:left="4536"/>
        <w:jc w:val="both"/>
      </w:pPr>
      <w:r w:rsidRPr="00C87570">
        <w:t>Rapport n° 2013-</w:t>
      </w:r>
      <w:r w:rsidR="00C87570" w:rsidRPr="00C87570">
        <w:t>801-0</w:t>
      </w:r>
    </w:p>
    <w:p w:rsidR="001F7EFE" w:rsidRDefault="001F7EFE">
      <w:pPr>
        <w:pStyle w:val="OR"/>
        <w:ind w:left="4536"/>
        <w:jc w:val="both"/>
      </w:pPr>
    </w:p>
    <w:p w:rsidR="001F7EFE" w:rsidRDefault="001F7EFE">
      <w:pPr>
        <w:pStyle w:val="OR"/>
        <w:ind w:left="4536"/>
        <w:jc w:val="both"/>
      </w:pPr>
      <w:r>
        <w:t xml:space="preserve">Audience publique et délibéré du </w:t>
      </w:r>
      <w:r w:rsidR="00D8326C">
        <w:t>16 janvier 201</w:t>
      </w:r>
      <w:r w:rsidR="00B3233F">
        <w:t>4</w:t>
      </w:r>
    </w:p>
    <w:p w:rsidR="001F7EFE" w:rsidRDefault="001F7EFE">
      <w:pPr>
        <w:pStyle w:val="OR"/>
        <w:ind w:left="4536"/>
        <w:jc w:val="both"/>
      </w:pPr>
    </w:p>
    <w:p w:rsidR="001F7EFE" w:rsidRDefault="001F7EFE" w:rsidP="00983C9B">
      <w:pPr>
        <w:pStyle w:val="OR"/>
        <w:spacing w:after="600"/>
        <w:ind w:left="4536"/>
        <w:jc w:val="both"/>
      </w:pPr>
      <w:r>
        <w:t xml:space="preserve">Lecture publique du </w:t>
      </w:r>
      <w:r w:rsidR="00983C9B">
        <w:t>30 janvier 2014</w:t>
      </w:r>
    </w:p>
    <w:p w:rsidR="00983C9B" w:rsidRPr="00B3233F" w:rsidRDefault="00B3233F" w:rsidP="00B3233F">
      <w:pPr>
        <w:pStyle w:val="PS"/>
      </w:pPr>
      <w:r w:rsidRPr="00B3233F">
        <w:t>LA COUR DES COMPTES a rendu l’arrêt suivant :</w:t>
      </w:r>
    </w:p>
    <w:p w:rsidR="001F7EFE" w:rsidRDefault="001F7EFE">
      <w:pPr>
        <w:pStyle w:val="PS"/>
      </w:pPr>
      <w:r>
        <w:t>LA COUR,</w:t>
      </w:r>
    </w:p>
    <w:p w:rsidR="001F7EFE" w:rsidRDefault="001F7EFE">
      <w:pPr>
        <w:pStyle w:val="PS"/>
      </w:pPr>
      <w:r w:rsidRPr="00D3568E">
        <w:t>Vu la requête, enregistrée le 18 juin 2012 au greffe de la chambre régionale des comptes de H</w:t>
      </w:r>
      <w:r w:rsidR="00754028" w:rsidRPr="00D3568E">
        <w:t>aute</w:t>
      </w:r>
      <w:r w:rsidR="00C836FA">
        <w:t>-</w:t>
      </w:r>
      <w:r w:rsidR="00754028" w:rsidRPr="00D3568E">
        <w:t>Normandie, par laquelle M. </w:t>
      </w:r>
      <w:r w:rsidR="00F514B1">
        <w:t>X</w:t>
      </w:r>
      <w:r w:rsidRPr="00D3568E">
        <w:t>, comptable intérimaire de la caisse de crédit municipal du Havre du 1</w:t>
      </w:r>
      <w:r w:rsidRPr="00D3568E">
        <w:rPr>
          <w:vertAlign w:val="superscript"/>
        </w:rPr>
        <w:t>er</w:t>
      </w:r>
      <w:r w:rsidRPr="00D3568E">
        <w:t xml:space="preserve"> </w:t>
      </w:r>
      <w:r w:rsidR="00D3568E" w:rsidRPr="00D3568E">
        <w:t>mars 1994</w:t>
      </w:r>
      <w:r w:rsidRPr="00D3568E">
        <w:t xml:space="preserve"> au 1</w:t>
      </w:r>
      <w:r w:rsidRPr="00D3568E">
        <w:rPr>
          <w:vertAlign w:val="superscript"/>
        </w:rPr>
        <w:t>er</w:t>
      </w:r>
      <w:r w:rsidRPr="00D3568E">
        <w:t xml:space="preserve"> mai 2007, a élevé appel </w:t>
      </w:r>
      <w:r w:rsidR="00EB66CA" w:rsidRPr="00D3568E">
        <w:t xml:space="preserve">du jugement du 30 mars 2012 par </w:t>
      </w:r>
      <w:r w:rsidRPr="00D3568E">
        <w:t xml:space="preserve">lequel ladite chambre l’a constitué débiteur de </w:t>
      </w:r>
      <w:r w:rsidR="00843480">
        <w:t>l’établissement précité</w:t>
      </w:r>
      <w:r w:rsidRPr="00D3568E">
        <w:t xml:space="preserve"> </w:t>
      </w:r>
      <w:r w:rsidR="00062D7B" w:rsidRPr="00D3568E">
        <w:t>de</w:t>
      </w:r>
      <w:r w:rsidRPr="00D3568E">
        <w:t xml:space="preserve"> la som</w:t>
      </w:r>
      <w:r w:rsidR="00D8326C" w:rsidRPr="00D3568E">
        <w:t>me de 341 218,67 €</w:t>
      </w:r>
      <w:r w:rsidRPr="00D3568E">
        <w:t>, augmentée des intérêts de droit calculés à compter</w:t>
      </w:r>
      <w:r>
        <w:t xml:space="preserve"> du 30 décembre 2011</w:t>
      </w:r>
      <w:r w:rsidR="007D502A">
        <w:t> ;</w:t>
      </w:r>
    </w:p>
    <w:p w:rsidR="001F7EFE" w:rsidRDefault="001F7EFE">
      <w:pPr>
        <w:pStyle w:val="PS"/>
      </w:pPr>
      <w:r>
        <w:t>Vu le réquisitoire du Procureur géné</w:t>
      </w:r>
      <w:r w:rsidR="00754028">
        <w:t>ral près la Cour des comptes n° </w:t>
      </w:r>
      <w:r>
        <w:t xml:space="preserve">2012-57 du 19 septembre 2012, transmettant </w:t>
      </w:r>
      <w:r w:rsidR="00843480">
        <w:t xml:space="preserve">la requête précitée </w:t>
      </w:r>
      <w:r>
        <w:t>à la Cour</w:t>
      </w:r>
      <w:r w:rsidR="007D502A">
        <w:t> ;</w:t>
      </w:r>
    </w:p>
    <w:p w:rsidR="001F7EFE" w:rsidRDefault="001F7EFE">
      <w:pPr>
        <w:pStyle w:val="PS"/>
      </w:pPr>
      <w:r>
        <w:t>Vu les pièces de la procédure suivie en première instance</w:t>
      </w:r>
      <w:r w:rsidR="007D502A">
        <w:t> ;</w:t>
      </w:r>
    </w:p>
    <w:p w:rsidR="001F7EFE" w:rsidRDefault="001F7EFE">
      <w:pPr>
        <w:pStyle w:val="PS"/>
      </w:pPr>
      <w:r>
        <w:t>Vu le code des juridictions financières</w:t>
      </w:r>
      <w:r w:rsidR="007D502A">
        <w:t> ;</w:t>
      </w:r>
    </w:p>
    <w:p w:rsidR="001F7EFE" w:rsidRDefault="001F7EFE">
      <w:pPr>
        <w:pStyle w:val="PS"/>
      </w:pPr>
      <w:r>
        <w:t>Vu le code général des collectivités territoriales ;</w:t>
      </w:r>
    </w:p>
    <w:p w:rsidR="001F7EFE" w:rsidRDefault="001F7EFE">
      <w:pPr>
        <w:pStyle w:val="PS"/>
      </w:pPr>
      <w:r>
        <w:lastRenderedPageBreak/>
        <w:t>Vu le décret n° 62-1587 du 29 décembre 1962 modifié portant règlement général sur la comptabilité publique, en vigueur au moment des faits</w:t>
      </w:r>
      <w:r w:rsidR="007D502A">
        <w:t> ;</w:t>
      </w:r>
    </w:p>
    <w:p w:rsidR="001F7EFE" w:rsidRDefault="001F7EFE">
      <w:pPr>
        <w:pStyle w:val="PS"/>
      </w:pPr>
      <w:r>
        <w:t>Vu le rapport d’instruction de M. </w:t>
      </w:r>
      <w:r w:rsidR="00843480">
        <w:t>Jacques</w:t>
      </w:r>
      <w:r w:rsidR="007D502A">
        <w:t xml:space="preserve"> </w:t>
      </w:r>
      <w:r>
        <w:t>Brana, conseiller référendaire ;</w:t>
      </w:r>
    </w:p>
    <w:p w:rsidR="001F7EFE" w:rsidRDefault="001F7EFE">
      <w:pPr>
        <w:pStyle w:val="PS"/>
      </w:pPr>
      <w:r>
        <w:t>Vu les conclusions du Procureur général n°</w:t>
      </w:r>
      <w:r w:rsidR="00D8326C">
        <w:t> 16</w:t>
      </w:r>
      <w:r>
        <w:t xml:space="preserve"> du </w:t>
      </w:r>
      <w:r w:rsidR="00D8326C">
        <w:t xml:space="preserve">8 janvier </w:t>
      </w:r>
      <w:r>
        <w:t>201</w:t>
      </w:r>
      <w:r w:rsidR="00D8326C">
        <w:t>4 ;</w:t>
      </w:r>
    </w:p>
    <w:p w:rsidR="00D8326C" w:rsidRDefault="00D8326C">
      <w:pPr>
        <w:pStyle w:val="PS"/>
      </w:pPr>
      <w:r>
        <w:t xml:space="preserve">Vu le mémoire </w:t>
      </w:r>
      <w:r w:rsidR="00EB66CA">
        <w:t xml:space="preserve">en réplique </w:t>
      </w:r>
      <w:r>
        <w:t xml:space="preserve">de </w:t>
      </w:r>
      <w:r w:rsidR="00EB66CA">
        <w:t>l’appelant du 15 janvier 2014 ;</w:t>
      </w:r>
    </w:p>
    <w:p w:rsidR="001F7EFE" w:rsidRDefault="001F7EFE" w:rsidP="00754028">
      <w:pPr>
        <w:pStyle w:val="PS"/>
      </w:pPr>
      <w:r>
        <w:t xml:space="preserve">Entendu, lors de l’audience publique de ce jour, M. Brana, en son rapport, </w:t>
      </w:r>
      <w:r w:rsidR="00D8326C">
        <w:t>M. </w:t>
      </w:r>
      <w:r w:rsidR="00843480">
        <w:t>Xavier</w:t>
      </w:r>
      <w:r w:rsidR="003001E5">
        <w:t> </w:t>
      </w:r>
      <w:r w:rsidR="00D8326C">
        <w:t xml:space="preserve">Lefort, </w:t>
      </w:r>
      <w:r>
        <w:t xml:space="preserve">avocat général, en les conclusions du ministère public, </w:t>
      </w:r>
      <w:r w:rsidR="00D8326C">
        <w:t>M.</w:t>
      </w:r>
      <w:r w:rsidR="00CC1522">
        <w:t> </w:t>
      </w:r>
      <w:r w:rsidR="00F514B1">
        <w:t>X</w:t>
      </w:r>
      <w:r w:rsidR="00D8326C">
        <w:t xml:space="preserve">, </w:t>
      </w:r>
      <w:r>
        <w:t xml:space="preserve">appelant, </w:t>
      </w:r>
      <w:r w:rsidR="00D8326C">
        <w:t>a</w:t>
      </w:r>
      <w:r>
        <w:t>i</w:t>
      </w:r>
      <w:r w:rsidR="00D8326C">
        <w:t xml:space="preserve">nsi que son conseil, </w:t>
      </w:r>
      <w:r w:rsidR="00D8326C" w:rsidRPr="00915AD6">
        <w:t xml:space="preserve">maître </w:t>
      </w:r>
      <w:r w:rsidR="00CC1522" w:rsidRPr="00915AD6">
        <w:t>Tugaut</w:t>
      </w:r>
      <w:r w:rsidR="00CC1522">
        <w:t>,</w:t>
      </w:r>
      <w:r w:rsidR="00D8326C">
        <w:t xml:space="preserve"> i</w:t>
      </w:r>
      <w:r>
        <w:t>nformé</w:t>
      </w:r>
      <w:r w:rsidR="00D8326C">
        <w:t>s</w:t>
      </w:r>
      <w:r>
        <w:t xml:space="preserve"> de l’audience, </w:t>
      </w:r>
      <w:r w:rsidR="00754028">
        <w:t>étant présent</w:t>
      </w:r>
      <w:r w:rsidR="00CC1522">
        <w:t>s, M. </w:t>
      </w:r>
      <w:r w:rsidR="00F514B1">
        <w:t>X</w:t>
      </w:r>
      <w:r w:rsidR="00843480">
        <w:t xml:space="preserve"> </w:t>
      </w:r>
      <w:r w:rsidR="00D8326C">
        <w:t>ayant eu la parole en dernier </w:t>
      </w:r>
      <w:r>
        <w:t xml:space="preserve">; </w:t>
      </w:r>
    </w:p>
    <w:p w:rsidR="001F7EFE" w:rsidRDefault="001F7EFE" w:rsidP="00754028">
      <w:pPr>
        <w:pStyle w:val="PS"/>
      </w:pPr>
      <w:r>
        <w:t xml:space="preserve">Après avoir entendu, en délibéré, </w:t>
      </w:r>
      <w:r w:rsidR="00754028">
        <w:t>M.</w:t>
      </w:r>
      <w:r w:rsidR="003001E5">
        <w:t> </w:t>
      </w:r>
      <w:r w:rsidR="00843480">
        <w:t>Gérard</w:t>
      </w:r>
      <w:r w:rsidR="007D502A">
        <w:t xml:space="preserve"> </w:t>
      </w:r>
      <w:r w:rsidR="00754028">
        <w:t>Ganser,</w:t>
      </w:r>
      <w:r>
        <w:t xml:space="preserve"> conseiller maître, en ses observations ;</w:t>
      </w:r>
    </w:p>
    <w:p w:rsidR="001F7EFE" w:rsidRDefault="0047325E" w:rsidP="000A001D">
      <w:pPr>
        <w:pStyle w:val="obs"/>
        <w:spacing w:before="0" w:after="480"/>
        <w:ind w:left="1701" w:firstLine="1134"/>
        <w:rPr>
          <w:b w:val="0"/>
          <w:szCs w:val="24"/>
        </w:rPr>
      </w:pPr>
      <w:r>
        <w:rPr>
          <w:b w:val="0"/>
          <w:szCs w:val="24"/>
        </w:rPr>
        <w:t xml:space="preserve">Attendu </w:t>
      </w:r>
      <w:r w:rsidR="00DB2F31">
        <w:rPr>
          <w:b w:val="0"/>
          <w:szCs w:val="24"/>
        </w:rPr>
        <w:t xml:space="preserve">que </w:t>
      </w:r>
      <w:r w:rsidR="001F7EFE">
        <w:rPr>
          <w:b w:val="0"/>
          <w:szCs w:val="24"/>
        </w:rPr>
        <w:t>M.</w:t>
      </w:r>
      <w:r w:rsidR="00D8326C">
        <w:rPr>
          <w:b w:val="0"/>
          <w:szCs w:val="24"/>
        </w:rPr>
        <w:t> </w:t>
      </w:r>
      <w:r w:rsidR="00F514B1">
        <w:rPr>
          <w:b w:val="0"/>
          <w:szCs w:val="24"/>
        </w:rPr>
        <w:t>X</w:t>
      </w:r>
      <w:r w:rsidR="000A001D">
        <w:rPr>
          <w:b w:val="0"/>
          <w:szCs w:val="24"/>
        </w:rPr>
        <w:t xml:space="preserve">, comptable de </w:t>
      </w:r>
      <w:r w:rsidR="000A5513">
        <w:rPr>
          <w:b w:val="0"/>
          <w:szCs w:val="24"/>
        </w:rPr>
        <w:t xml:space="preserve">la </w:t>
      </w:r>
      <w:r w:rsidR="000A5513" w:rsidRPr="000A5513">
        <w:rPr>
          <w:b w:val="0"/>
          <w:szCs w:val="24"/>
        </w:rPr>
        <w:t>caisse de crédit municipal du Havre</w:t>
      </w:r>
      <w:r w:rsidR="000A5513">
        <w:rPr>
          <w:b w:val="0"/>
          <w:szCs w:val="24"/>
        </w:rPr>
        <w:t>,</w:t>
      </w:r>
      <w:r w:rsidR="000A001D">
        <w:rPr>
          <w:b w:val="0"/>
          <w:szCs w:val="24"/>
        </w:rPr>
        <w:t xml:space="preserve"> a</w:t>
      </w:r>
      <w:r w:rsidR="001F7EFE">
        <w:rPr>
          <w:b w:val="0"/>
          <w:szCs w:val="24"/>
        </w:rPr>
        <w:t xml:space="preserve"> </w:t>
      </w:r>
      <w:r w:rsidR="00754028">
        <w:rPr>
          <w:b w:val="0"/>
          <w:szCs w:val="24"/>
        </w:rPr>
        <w:t>payé</w:t>
      </w:r>
      <w:r w:rsidR="001F7EFE">
        <w:rPr>
          <w:b w:val="0"/>
          <w:szCs w:val="24"/>
        </w:rPr>
        <w:t xml:space="preserve"> </w:t>
      </w:r>
      <w:r w:rsidR="00754028">
        <w:rPr>
          <w:b w:val="0"/>
          <w:szCs w:val="24"/>
        </w:rPr>
        <w:t xml:space="preserve">le </w:t>
      </w:r>
      <w:r w:rsidR="001F7EFE">
        <w:rPr>
          <w:b w:val="0"/>
          <w:szCs w:val="24"/>
        </w:rPr>
        <w:t>mandat n°</w:t>
      </w:r>
      <w:r w:rsidR="00EB66CA">
        <w:rPr>
          <w:b w:val="0"/>
          <w:szCs w:val="24"/>
        </w:rPr>
        <w:t> </w:t>
      </w:r>
      <w:r w:rsidR="001F7EFE">
        <w:rPr>
          <w:b w:val="0"/>
          <w:szCs w:val="24"/>
        </w:rPr>
        <w:t>08009 du 27 mars 2007 relatif à l’admission en non-valeur d’une cré</w:t>
      </w:r>
      <w:r w:rsidR="00D8326C">
        <w:rPr>
          <w:b w:val="0"/>
          <w:szCs w:val="24"/>
        </w:rPr>
        <w:t>ance d’un montant de 341 218,67 </w:t>
      </w:r>
      <w:r w:rsidR="001F7EFE">
        <w:rPr>
          <w:b w:val="0"/>
          <w:szCs w:val="24"/>
        </w:rPr>
        <w:t>€ corresponda</w:t>
      </w:r>
      <w:r w:rsidR="00B90AD4">
        <w:rPr>
          <w:b w:val="0"/>
          <w:szCs w:val="24"/>
        </w:rPr>
        <w:t>n</w:t>
      </w:r>
      <w:r w:rsidR="001F7EFE">
        <w:rPr>
          <w:b w:val="0"/>
          <w:szCs w:val="24"/>
        </w:rPr>
        <w:t>t au sold</w:t>
      </w:r>
      <w:r w:rsidR="00754028">
        <w:rPr>
          <w:b w:val="0"/>
          <w:szCs w:val="24"/>
        </w:rPr>
        <w:t>e débiteur du compte courant n° </w:t>
      </w:r>
      <w:r w:rsidR="001F7EFE">
        <w:rPr>
          <w:b w:val="0"/>
          <w:szCs w:val="24"/>
        </w:rPr>
        <w:t xml:space="preserve">V16690R </w:t>
      </w:r>
      <w:r w:rsidR="00B90AD4">
        <w:rPr>
          <w:b w:val="0"/>
          <w:szCs w:val="24"/>
        </w:rPr>
        <w:t>ouvert au nom de la</w:t>
      </w:r>
      <w:r w:rsidR="001F7EFE">
        <w:rPr>
          <w:b w:val="0"/>
          <w:szCs w:val="24"/>
        </w:rPr>
        <w:t xml:space="preserve"> </w:t>
      </w:r>
      <w:r w:rsidR="00B90AD4" w:rsidRPr="00B90AD4">
        <w:rPr>
          <w:b w:val="0"/>
          <w:szCs w:val="24"/>
        </w:rPr>
        <w:t>SARL Hostellerie du château de Tancarville</w:t>
      </w:r>
      <w:r w:rsidR="001F7EFE">
        <w:rPr>
          <w:b w:val="0"/>
          <w:szCs w:val="24"/>
        </w:rPr>
        <w:t xml:space="preserve"> dans les écritures de la caisse</w:t>
      </w:r>
      <w:r w:rsidR="00C3393F">
        <w:rPr>
          <w:b w:val="0"/>
          <w:szCs w:val="24"/>
        </w:rPr>
        <w:t xml:space="preserve"> de crédit municipal du Havre ;</w:t>
      </w:r>
      <w:r w:rsidR="00D8326C">
        <w:rPr>
          <w:b w:val="0"/>
          <w:szCs w:val="24"/>
        </w:rPr>
        <w:t xml:space="preserve"> que</w:t>
      </w:r>
      <w:r w:rsidR="000A001D">
        <w:rPr>
          <w:b w:val="0"/>
          <w:szCs w:val="24"/>
        </w:rPr>
        <w:t>, saisie par réquisitoire</w:t>
      </w:r>
      <w:r w:rsidR="00843480">
        <w:rPr>
          <w:b w:val="0"/>
          <w:szCs w:val="24"/>
        </w:rPr>
        <w:t>s</w:t>
      </w:r>
      <w:r w:rsidR="000A001D">
        <w:rPr>
          <w:b w:val="0"/>
          <w:szCs w:val="24"/>
        </w:rPr>
        <w:t xml:space="preserve"> d</w:t>
      </w:r>
      <w:r w:rsidR="00843480">
        <w:rPr>
          <w:b w:val="0"/>
          <w:szCs w:val="24"/>
        </w:rPr>
        <w:t>es</w:t>
      </w:r>
      <w:r w:rsidR="000A001D">
        <w:rPr>
          <w:b w:val="0"/>
          <w:szCs w:val="24"/>
        </w:rPr>
        <w:t xml:space="preserve"> </w:t>
      </w:r>
      <w:r w:rsidR="00815B44">
        <w:rPr>
          <w:b w:val="0"/>
          <w:szCs w:val="24"/>
        </w:rPr>
        <w:t>21 novembre 2011</w:t>
      </w:r>
      <w:r w:rsidR="000A001D">
        <w:rPr>
          <w:b w:val="0"/>
          <w:szCs w:val="24"/>
        </w:rPr>
        <w:t xml:space="preserve"> </w:t>
      </w:r>
      <w:r w:rsidR="00843480">
        <w:rPr>
          <w:b w:val="0"/>
          <w:szCs w:val="24"/>
        </w:rPr>
        <w:t>et</w:t>
      </w:r>
      <w:r w:rsidR="00062D7B">
        <w:rPr>
          <w:b w:val="0"/>
          <w:szCs w:val="24"/>
        </w:rPr>
        <w:t xml:space="preserve"> </w:t>
      </w:r>
      <w:r w:rsidR="00815B44">
        <w:rPr>
          <w:b w:val="0"/>
          <w:szCs w:val="24"/>
        </w:rPr>
        <w:t>17 janvier 2012</w:t>
      </w:r>
      <w:r w:rsidR="000A001D">
        <w:rPr>
          <w:b w:val="0"/>
          <w:szCs w:val="24"/>
        </w:rPr>
        <w:t xml:space="preserve">, </w:t>
      </w:r>
      <w:r w:rsidR="00843480">
        <w:rPr>
          <w:b w:val="0"/>
          <w:szCs w:val="24"/>
        </w:rPr>
        <w:t xml:space="preserve">la chambre régionale des comptes de Haute-Normandie </w:t>
      </w:r>
      <w:r w:rsidR="001F7EFE">
        <w:rPr>
          <w:b w:val="0"/>
          <w:szCs w:val="24"/>
        </w:rPr>
        <w:t>a</w:t>
      </w:r>
      <w:r w:rsidR="00DB2F31" w:rsidRPr="00DB2F31">
        <w:t xml:space="preserve"> </w:t>
      </w:r>
      <w:r w:rsidR="00DB2F31" w:rsidRPr="00DB2F31">
        <w:rPr>
          <w:b w:val="0"/>
          <w:szCs w:val="24"/>
        </w:rPr>
        <w:t>jugé</w:t>
      </w:r>
      <w:r w:rsidR="00062D7B">
        <w:rPr>
          <w:b w:val="0"/>
          <w:szCs w:val="24"/>
        </w:rPr>
        <w:t>,</w:t>
      </w:r>
      <w:r w:rsidR="001F7EFE">
        <w:rPr>
          <w:b w:val="0"/>
          <w:szCs w:val="24"/>
        </w:rPr>
        <w:t xml:space="preserve"> </w:t>
      </w:r>
      <w:r w:rsidR="00EB66CA">
        <w:rPr>
          <w:b w:val="0"/>
          <w:szCs w:val="24"/>
        </w:rPr>
        <w:t xml:space="preserve">le </w:t>
      </w:r>
      <w:r w:rsidR="00EB66CA" w:rsidRPr="00EB66CA">
        <w:rPr>
          <w:b w:val="0"/>
          <w:szCs w:val="24"/>
        </w:rPr>
        <w:t>30 mars 2012</w:t>
      </w:r>
      <w:r w:rsidR="00675140">
        <w:rPr>
          <w:b w:val="0"/>
          <w:szCs w:val="24"/>
        </w:rPr>
        <w:t>,</w:t>
      </w:r>
      <w:r w:rsidR="000A001D" w:rsidRPr="000A001D">
        <w:rPr>
          <w:b w:val="0"/>
          <w:szCs w:val="24"/>
        </w:rPr>
        <w:t xml:space="preserve"> </w:t>
      </w:r>
      <w:r w:rsidR="001F7EFE">
        <w:rPr>
          <w:b w:val="0"/>
          <w:szCs w:val="24"/>
        </w:rPr>
        <w:t>que M.</w:t>
      </w:r>
      <w:r w:rsidR="00D8326C">
        <w:rPr>
          <w:b w:val="0"/>
          <w:szCs w:val="24"/>
        </w:rPr>
        <w:t> </w:t>
      </w:r>
      <w:r w:rsidR="00F514B1">
        <w:rPr>
          <w:b w:val="0"/>
          <w:szCs w:val="24"/>
        </w:rPr>
        <w:t>X</w:t>
      </w:r>
      <w:r w:rsidR="001F7EFE">
        <w:rPr>
          <w:b w:val="0"/>
          <w:szCs w:val="24"/>
        </w:rPr>
        <w:t xml:space="preserve">, en n’établissant pas que la créance </w:t>
      </w:r>
      <w:r w:rsidR="00D8326C">
        <w:rPr>
          <w:b w:val="0"/>
          <w:szCs w:val="24"/>
        </w:rPr>
        <w:t xml:space="preserve">en cause </w:t>
      </w:r>
      <w:r w:rsidR="001F7EFE">
        <w:rPr>
          <w:b w:val="0"/>
          <w:szCs w:val="24"/>
        </w:rPr>
        <w:t xml:space="preserve">était manifestement irrécouvrable à la date de son admission en non-valeur, </w:t>
      </w:r>
      <w:r w:rsidR="00D8326C">
        <w:rPr>
          <w:b w:val="0"/>
          <w:szCs w:val="24"/>
        </w:rPr>
        <w:t>avait</w:t>
      </w:r>
      <w:r w:rsidR="001F7EFE">
        <w:rPr>
          <w:b w:val="0"/>
          <w:szCs w:val="24"/>
        </w:rPr>
        <w:t xml:space="preserve"> </w:t>
      </w:r>
      <w:r w:rsidR="00B90AD4" w:rsidRPr="003001E5">
        <w:rPr>
          <w:b w:val="0"/>
          <w:szCs w:val="24"/>
        </w:rPr>
        <w:t>payé</w:t>
      </w:r>
      <w:r w:rsidR="001F7EFE" w:rsidRPr="003001E5">
        <w:rPr>
          <w:b w:val="0"/>
          <w:szCs w:val="24"/>
        </w:rPr>
        <w:t xml:space="preserve"> </w:t>
      </w:r>
      <w:r w:rsidR="00675140">
        <w:rPr>
          <w:b w:val="0"/>
          <w:szCs w:val="24"/>
        </w:rPr>
        <w:t xml:space="preserve">le susdit </w:t>
      </w:r>
      <w:r w:rsidR="001F7EFE" w:rsidRPr="003001E5">
        <w:rPr>
          <w:b w:val="0"/>
          <w:szCs w:val="24"/>
        </w:rPr>
        <w:t>mandat en méconnaissance de ses</w:t>
      </w:r>
      <w:r w:rsidR="001F7EFE">
        <w:rPr>
          <w:b w:val="0"/>
          <w:szCs w:val="24"/>
        </w:rPr>
        <w:t xml:space="preserve"> obligations de contrôle de </w:t>
      </w:r>
      <w:r w:rsidR="00D8326C">
        <w:rPr>
          <w:b w:val="0"/>
          <w:szCs w:val="24"/>
        </w:rPr>
        <w:t>la validité de la créance ; qu’</w:t>
      </w:r>
      <w:r w:rsidR="00843480">
        <w:rPr>
          <w:b w:val="0"/>
          <w:szCs w:val="24"/>
        </w:rPr>
        <w:t>en</w:t>
      </w:r>
      <w:r w:rsidR="00D8326C">
        <w:rPr>
          <w:b w:val="0"/>
          <w:szCs w:val="24"/>
        </w:rPr>
        <w:t xml:space="preserve"> conséque</w:t>
      </w:r>
      <w:r w:rsidR="00843480">
        <w:rPr>
          <w:b w:val="0"/>
          <w:szCs w:val="24"/>
        </w:rPr>
        <w:t>nce elle l’a</w:t>
      </w:r>
      <w:r w:rsidR="00D8326C">
        <w:rPr>
          <w:b w:val="0"/>
          <w:szCs w:val="24"/>
        </w:rPr>
        <w:t xml:space="preserve"> </w:t>
      </w:r>
      <w:r w:rsidR="001F7EFE">
        <w:rPr>
          <w:b w:val="0"/>
          <w:szCs w:val="24"/>
        </w:rPr>
        <w:t xml:space="preserve">déclaré débiteur de la caisse de crédit municipal du Havre </w:t>
      </w:r>
      <w:r w:rsidR="00D8326C">
        <w:rPr>
          <w:b w:val="0"/>
          <w:szCs w:val="24"/>
        </w:rPr>
        <w:t>de</w:t>
      </w:r>
      <w:r w:rsidR="001F7EFE">
        <w:rPr>
          <w:b w:val="0"/>
          <w:szCs w:val="24"/>
        </w:rPr>
        <w:t xml:space="preserve"> la somme de 341 218,67</w:t>
      </w:r>
      <w:r w:rsidR="00675140">
        <w:rPr>
          <w:b w:val="0"/>
          <w:szCs w:val="24"/>
        </w:rPr>
        <w:t> </w:t>
      </w:r>
      <w:r w:rsidR="001F7EFE">
        <w:rPr>
          <w:b w:val="0"/>
          <w:szCs w:val="24"/>
        </w:rPr>
        <w:t xml:space="preserve">€, augmentée des intérêts de droit calculés à compter du 7 décembre 2011 ; </w:t>
      </w:r>
    </w:p>
    <w:p w:rsidR="00754028" w:rsidRPr="00EB66CA" w:rsidRDefault="001F7EFE" w:rsidP="00754028">
      <w:pPr>
        <w:pStyle w:val="obs"/>
        <w:spacing w:before="0" w:after="480"/>
        <w:ind w:left="1701" w:firstLine="1134"/>
        <w:rPr>
          <w:bCs/>
          <w:i/>
          <w:szCs w:val="24"/>
        </w:rPr>
      </w:pPr>
      <w:r w:rsidRPr="00EB66CA">
        <w:rPr>
          <w:bCs/>
          <w:i/>
          <w:szCs w:val="24"/>
        </w:rPr>
        <w:t xml:space="preserve">Sur </w:t>
      </w:r>
      <w:r w:rsidR="00754028" w:rsidRPr="00EB66CA">
        <w:rPr>
          <w:bCs/>
          <w:i/>
          <w:szCs w:val="24"/>
        </w:rPr>
        <w:t>la régularité du jugement</w:t>
      </w:r>
      <w:r w:rsidRPr="00EB66CA">
        <w:rPr>
          <w:bCs/>
          <w:i/>
          <w:szCs w:val="24"/>
        </w:rPr>
        <w:t xml:space="preserve"> </w:t>
      </w:r>
    </w:p>
    <w:p w:rsidR="00B90AD4" w:rsidRDefault="00B90AD4" w:rsidP="00754028">
      <w:pPr>
        <w:pStyle w:val="obs"/>
        <w:spacing w:before="0" w:after="480"/>
        <w:ind w:left="1701" w:firstLine="1134"/>
        <w:rPr>
          <w:b w:val="0"/>
          <w:bCs/>
          <w:szCs w:val="24"/>
        </w:rPr>
      </w:pPr>
      <w:r>
        <w:rPr>
          <w:b w:val="0"/>
          <w:bCs/>
          <w:szCs w:val="24"/>
        </w:rPr>
        <w:t xml:space="preserve">Attendu que dans sa requête du 15 juin 2012, l’appelant </w:t>
      </w:r>
      <w:r w:rsidR="00EB66CA">
        <w:rPr>
          <w:b w:val="0"/>
          <w:bCs/>
          <w:szCs w:val="24"/>
        </w:rPr>
        <w:t>soutient</w:t>
      </w:r>
      <w:r>
        <w:rPr>
          <w:b w:val="0"/>
          <w:bCs/>
          <w:szCs w:val="24"/>
        </w:rPr>
        <w:t xml:space="preserve"> </w:t>
      </w:r>
      <w:r w:rsidR="00BE55DA">
        <w:rPr>
          <w:b w:val="0"/>
          <w:bCs/>
          <w:szCs w:val="24"/>
        </w:rPr>
        <w:t xml:space="preserve">en premier lieu </w:t>
      </w:r>
      <w:r>
        <w:rPr>
          <w:b w:val="0"/>
          <w:bCs/>
          <w:szCs w:val="24"/>
        </w:rPr>
        <w:t xml:space="preserve">que le jugement attaqué </w:t>
      </w:r>
      <w:r w:rsidR="009A7BC7">
        <w:rPr>
          <w:b w:val="0"/>
          <w:bCs/>
          <w:szCs w:val="24"/>
        </w:rPr>
        <w:t>serait irrégulier pour absence de motif ;</w:t>
      </w:r>
      <w:r w:rsidR="00837425">
        <w:rPr>
          <w:b w:val="0"/>
          <w:bCs/>
          <w:szCs w:val="24"/>
        </w:rPr>
        <w:t xml:space="preserve"> qu’il </w:t>
      </w:r>
      <w:r>
        <w:rPr>
          <w:b w:val="0"/>
          <w:bCs/>
          <w:szCs w:val="24"/>
        </w:rPr>
        <w:t>ne se prononce</w:t>
      </w:r>
      <w:r w:rsidR="00EB66CA">
        <w:rPr>
          <w:b w:val="0"/>
          <w:bCs/>
          <w:szCs w:val="24"/>
        </w:rPr>
        <w:t>rait</w:t>
      </w:r>
      <w:r>
        <w:rPr>
          <w:b w:val="0"/>
          <w:bCs/>
          <w:szCs w:val="24"/>
        </w:rPr>
        <w:t xml:space="preserve"> pas sur les propositions du rapporteur et ne précise</w:t>
      </w:r>
      <w:r w:rsidR="00EB66CA">
        <w:rPr>
          <w:b w:val="0"/>
          <w:bCs/>
          <w:szCs w:val="24"/>
        </w:rPr>
        <w:t>rait</w:t>
      </w:r>
      <w:r>
        <w:rPr>
          <w:b w:val="0"/>
          <w:bCs/>
          <w:szCs w:val="24"/>
        </w:rPr>
        <w:t xml:space="preserve"> pas les motifs </w:t>
      </w:r>
      <w:r w:rsidR="00062D7B">
        <w:rPr>
          <w:b w:val="0"/>
          <w:bCs/>
          <w:szCs w:val="24"/>
        </w:rPr>
        <w:t>ayant</w:t>
      </w:r>
      <w:r>
        <w:rPr>
          <w:b w:val="0"/>
          <w:bCs/>
          <w:szCs w:val="24"/>
        </w:rPr>
        <w:t xml:space="preserve"> conduit la chambre à considérer que les pièces fournies n’étaient pas suffisantes ;</w:t>
      </w:r>
      <w:r w:rsidR="00837425">
        <w:rPr>
          <w:b w:val="0"/>
          <w:bCs/>
          <w:szCs w:val="24"/>
        </w:rPr>
        <w:t xml:space="preserve"> qu’il n’explique</w:t>
      </w:r>
      <w:r w:rsidR="00EB66CA">
        <w:rPr>
          <w:b w:val="0"/>
          <w:bCs/>
          <w:szCs w:val="24"/>
        </w:rPr>
        <w:t>rait</w:t>
      </w:r>
      <w:r w:rsidR="00837425">
        <w:rPr>
          <w:b w:val="0"/>
          <w:bCs/>
          <w:szCs w:val="24"/>
        </w:rPr>
        <w:t xml:space="preserve"> pas pourquoi </w:t>
      </w:r>
      <w:r w:rsidR="00837425">
        <w:rPr>
          <w:b w:val="0"/>
          <w:bCs/>
          <w:szCs w:val="24"/>
        </w:rPr>
        <w:lastRenderedPageBreak/>
        <w:t xml:space="preserve">la chambre a jugé que le comptable n’avait pas fait les diligences adéquates, complètes et rapides en vue du recouvrement de la créance ; </w:t>
      </w:r>
    </w:p>
    <w:p w:rsidR="009A7BC7" w:rsidRDefault="00B90AD4" w:rsidP="00754028">
      <w:pPr>
        <w:pStyle w:val="obs"/>
        <w:spacing w:before="0" w:after="480"/>
        <w:ind w:left="1701" w:firstLine="1134"/>
        <w:rPr>
          <w:b w:val="0"/>
          <w:bCs/>
          <w:szCs w:val="24"/>
        </w:rPr>
      </w:pPr>
      <w:r>
        <w:rPr>
          <w:b w:val="0"/>
          <w:bCs/>
          <w:szCs w:val="24"/>
        </w:rPr>
        <w:t>Considérant qu’aux termes de l’ar</w:t>
      </w:r>
      <w:r w:rsidR="009A7BC7">
        <w:rPr>
          <w:b w:val="0"/>
          <w:bCs/>
          <w:szCs w:val="24"/>
        </w:rPr>
        <w:t>t</w:t>
      </w:r>
      <w:r>
        <w:rPr>
          <w:b w:val="0"/>
          <w:bCs/>
          <w:szCs w:val="24"/>
        </w:rPr>
        <w:t>icle R</w:t>
      </w:r>
      <w:r w:rsidR="00843480">
        <w:rPr>
          <w:b w:val="0"/>
          <w:bCs/>
          <w:szCs w:val="24"/>
        </w:rPr>
        <w:t>.</w:t>
      </w:r>
      <w:r>
        <w:rPr>
          <w:b w:val="0"/>
          <w:bCs/>
          <w:szCs w:val="24"/>
        </w:rPr>
        <w:t xml:space="preserve"> 24</w:t>
      </w:r>
      <w:r w:rsidR="00C836FA">
        <w:rPr>
          <w:b w:val="0"/>
          <w:bCs/>
          <w:szCs w:val="24"/>
        </w:rPr>
        <w:t>2</w:t>
      </w:r>
      <w:r>
        <w:rPr>
          <w:b w:val="0"/>
          <w:bCs/>
          <w:szCs w:val="24"/>
        </w:rPr>
        <w:t>-10 du code des juridictions financières « </w:t>
      </w:r>
      <w:r w:rsidRPr="009A7BC7">
        <w:rPr>
          <w:b w:val="0"/>
          <w:bCs/>
          <w:i/>
          <w:szCs w:val="24"/>
        </w:rPr>
        <w:t>le jugement</w:t>
      </w:r>
      <w:r w:rsidR="0047325E">
        <w:rPr>
          <w:b w:val="0"/>
          <w:bCs/>
          <w:i/>
          <w:szCs w:val="24"/>
        </w:rPr>
        <w:t>,</w:t>
      </w:r>
      <w:r w:rsidRPr="009A7BC7">
        <w:rPr>
          <w:b w:val="0"/>
          <w:bCs/>
          <w:i/>
          <w:szCs w:val="24"/>
        </w:rPr>
        <w:t xml:space="preserve"> motivé</w:t>
      </w:r>
      <w:r w:rsidR="0047325E">
        <w:rPr>
          <w:b w:val="0"/>
          <w:bCs/>
          <w:i/>
          <w:szCs w:val="24"/>
        </w:rPr>
        <w:t>,</w:t>
      </w:r>
      <w:r w:rsidRPr="009A7BC7">
        <w:rPr>
          <w:b w:val="0"/>
          <w:bCs/>
          <w:i/>
          <w:szCs w:val="24"/>
        </w:rPr>
        <w:t xml:space="preserve"> statue sur les propositions du rapporteur, les conclusions du ministère public et les observations des autres partie</w:t>
      </w:r>
      <w:r w:rsidR="0047325E">
        <w:rPr>
          <w:b w:val="0"/>
          <w:bCs/>
          <w:i/>
          <w:szCs w:val="24"/>
        </w:rPr>
        <w:t>s</w:t>
      </w:r>
      <w:r>
        <w:rPr>
          <w:b w:val="0"/>
          <w:bCs/>
          <w:szCs w:val="24"/>
        </w:rPr>
        <w:t> »</w:t>
      </w:r>
      <w:r w:rsidR="009A7BC7">
        <w:rPr>
          <w:b w:val="0"/>
          <w:bCs/>
          <w:szCs w:val="24"/>
        </w:rPr>
        <w:t xml:space="preserve"> ; que </w:t>
      </w:r>
      <w:r>
        <w:rPr>
          <w:b w:val="0"/>
          <w:bCs/>
          <w:szCs w:val="24"/>
        </w:rPr>
        <w:t xml:space="preserve">le jugement </w:t>
      </w:r>
      <w:r w:rsidR="009A7BC7">
        <w:rPr>
          <w:b w:val="0"/>
          <w:bCs/>
          <w:szCs w:val="24"/>
        </w:rPr>
        <w:t>attaqué vise le rapport d’instruction</w:t>
      </w:r>
      <w:r w:rsidR="00BE55DA">
        <w:rPr>
          <w:b w:val="0"/>
          <w:bCs/>
          <w:szCs w:val="24"/>
        </w:rPr>
        <w:t> ;</w:t>
      </w:r>
      <w:r w:rsidR="009A7BC7">
        <w:rPr>
          <w:b w:val="0"/>
          <w:bCs/>
          <w:szCs w:val="24"/>
        </w:rPr>
        <w:t xml:space="preserve"> </w:t>
      </w:r>
      <w:r w:rsidR="00BE55DA">
        <w:rPr>
          <w:b w:val="0"/>
          <w:bCs/>
          <w:szCs w:val="24"/>
        </w:rPr>
        <w:t>que</w:t>
      </w:r>
      <w:r w:rsidR="00675140">
        <w:rPr>
          <w:b w:val="0"/>
          <w:bCs/>
          <w:szCs w:val="24"/>
        </w:rPr>
        <w:t>,</w:t>
      </w:r>
      <w:r w:rsidR="00BE55DA">
        <w:rPr>
          <w:b w:val="0"/>
          <w:bCs/>
          <w:szCs w:val="24"/>
        </w:rPr>
        <w:t xml:space="preserve"> s’il </w:t>
      </w:r>
      <w:r w:rsidR="009A7BC7">
        <w:rPr>
          <w:b w:val="0"/>
          <w:bCs/>
          <w:szCs w:val="24"/>
        </w:rPr>
        <w:t>ne mentionne pas explicitement les propositions du rapporteur</w:t>
      </w:r>
      <w:r w:rsidR="00675140">
        <w:rPr>
          <w:b w:val="0"/>
          <w:bCs/>
          <w:szCs w:val="24"/>
        </w:rPr>
        <w:t xml:space="preserve">, </w:t>
      </w:r>
      <w:r w:rsidR="009A7BC7">
        <w:rPr>
          <w:b w:val="0"/>
          <w:bCs/>
          <w:szCs w:val="24"/>
        </w:rPr>
        <w:t xml:space="preserve">il discute l’ensemble des éléments figurant </w:t>
      </w:r>
      <w:r w:rsidR="00EB66CA">
        <w:rPr>
          <w:b w:val="0"/>
          <w:bCs/>
          <w:szCs w:val="24"/>
        </w:rPr>
        <w:t>à son</w:t>
      </w:r>
      <w:r w:rsidR="009A7BC7">
        <w:rPr>
          <w:b w:val="0"/>
          <w:bCs/>
          <w:szCs w:val="24"/>
        </w:rPr>
        <w:t xml:space="preserve"> rapport </w:t>
      </w:r>
      <w:r w:rsidR="000A5513">
        <w:rPr>
          <w:b w:val="0"/>
          <w:bCs/>
          <w:szCs w:val="24"/>
        </w:rPr>
        <w:t xml:space="preserve">; </w:t>
      </w:r>
      <w:r w:rsidR="009A7BC7">
        <w:rPr>
          <w:b w:val="0"/>
          <w:bCs/>
          <w:szCs w:val="24"/>
        </w:rPr>
        <w:t>qu</w:t>
      </w:r>
      <w:r w:rsidR="00BE55DA">
        <w:rPr>
          <w:b w:val="0"/>
          <w:bCs/>
          <w:szCs w:val="24"/>
        </w:rPr>
        <w:t>’en conséquenc</w:t>
      </w:r>
      <w:r w:rsidR="009A7BC7">
        <w:rPr>
          <w:b w:val="0"/>
          <w:bCs/>
          <w:szCs w:val="24"/>
        </w:rPr>
        <w:t xml:space="preserve">e ce moyen est </w:t>
      </w:r>
      <w:r w:rsidR="000A001D">
        <w:rPr>
          <w:b w:val="0"/>
          <w:bCs/>
          <w:szCs w:val="24"/>
        </w:rPr>
        <w:t xml:space="preserve"> </w:t>
      </w:r>
      <w:r w:rsidR="009A7BC7">
        <w:rPr>
          <w:b w:val="0"/>
          <w:bCs/>
          <w:szCs w:val="24"/>
        </w:rPr>
        <w:t>à écarter ;</w:t>
      </w:r>
    </w:p>
    <w:p w:rsidR="00837425" w:rsidRDefault="00837425" w:rsidP="00754028">
      <w:pPr>
        <w:pStyle w:val="obs"/>
        <w:spacing w:before="0" w:after="480"/>
        <w:ind w:left="1701" w:firstLine="1134"/>
        <w:rPr>
          <w:b w:val="0"/>
          <w:bCs/>
          <w:szCs w:val="24"/>
        </w:rPr>
      </w:pPr>
      <w:r>
        <w:rPr>
          <w:b w:val="0"/>
          <w:bCs/>
          <w:szCs w:val="24"/>
        </w:rPr>
        <w:t>Attendu que l’appelant soutient</w:t>
      </w:r>
      <w:r w:rsidR="00DB2F31">
        <w:rPr>
          <w:b w:val="0"/>
          <w:bCs/>
          <w:szCs w:val="24"/>
        </w:rPr>
        <w:t xml:space="preserve"> </w:t>
      </w:r>
      <w:r w:rsidR="00BE55DA">
        <w:rPr>
          <w:b w:val="0"/>
          <w:bCs/>
          <w:szCs w:val="24"/>
        </w:rPr>
        <w:t>en second lieu</w:t>
      </w:r>
      <w:r>
        <w:rPr>
          <w:b w:val="0"/>
          <w:bCs/>
          <w:szCs w:val="24"/>
        </w:rPr>
        <w:t xml:space="preserve"> que le jugement serait entaché d’une erreur de droit faute de justifier de l’existence et du montant du débet mis à la charge de M. </w:t>
      </w:r>
      <w:r w:rsidR="00F514B1">
        <w:rPr>
          <w:b w:val="0"/>
          <w:szCs w:val="24"/>
        </w:rPr>
        <w:t>X</w:t>
      </w:r>
      <w:r>
        <w:rPr>
          <w:b w:val="0"/>
          <w:bCs/>
          <w:szCs w:val="24"/>
        </w:rPr>
        <w:t>, ni même la date à laquelle ce débet doit être apprécié ;</w:t>
      </w:r>
    </w:p>
    <w:p w:rsidR="00837425" w:rsidRDefault="00837425" w:rsidP="0047325E">
      <w:pPr>
        <w:pStyle w:val="obs"/>
        <w:spacing w:before="0" w:after="480"/>
        <w:ind w:left="1701" w:firstLine="1134"/>
        <w:rPr>
          <w:b w:val="0"/>
          <w:bCs/>
          <w:szCs w:val="24"/>
        </w:rPr>
      </w:pPr>
      <w:r>
        <w:rPr>
          <w:b w:val="0"/>
          <w:bCs/>
          <w:szCs w:val="24"/>
        </w:rPr>
        <w:t xml:space="preserve">Considérant </w:t>
      </w:r>
      <w:r w:rsidR="0047325E">
        <w:rPr>
          <w:b w:val="0"/>
          <w:bCs/>
          <w:szCs w:val="24"/>
        </w:rPr>
        <w:t xml:space="preserve">que </w:t>
      </w:r>
      <w:r>
        <w:rPr>
          <w:b w:val="0"/>
          <w:bCs/>
          <w:szCs w:val="24"/>
        </w:rPr>
        <w:t xml:space="preserve">le jugement fixe exactement le montant du débet </w:t>
      </w:r>
      <w:r w:rsidR="005C7C38">
        <w:rPr>
          <w:b w:val="0"/>
          <w:bCs/>
          <w:szCs w:val="24"/>
        </w:rPr>
        <w:t>comme égal à celui</w:t>
      </w:r>
      <w:r>
        <w:rPr>
          <w:b w:val="0"/>
          <w:bCs/>
          <w:szCs w:val="24"/>
        </w:rPr>
        <w:t xml:space="preserve"> du mandat payé le 27 mars 2007, à savoir </w:t>
      </w:r>
      <w:r w:rsidR="00EB66CA">
        <w:rPr>
          <w:b w:val="0"/>
          <w:bCs/>
          <w:szCs w:val="24"/>
        </w:rPr>
        <w:t>341 </w:t>
      </w:r>
      <w:r w:rsidRPr="00837425">
        <w:rPr>
          <w:b w:val="0"/>
          <w:bCs/>
          <w:szCs w:val="24"/>
        </w:rPr>
        <w:t>218,67</w:t>
      </w:r>
      <w:r w:rsidR="00675140">
        <w:rPr>
          <w:b w:val="0"/>
          <w:bCs/>
          <w:szCs w:val="24"/>
        </w:rPr>
        <w:t> </w:t>
      </w:r>
      <w:r w:rsidRPr="00837425">
        <w:rPr>
          <w:b w:val="0"/>
          <w:bCs/>
          <w:szCs w:val="24"/>
        </w:rPr>
        <w:t>€</w:t>
      </w:r>
      <w:r>
        <w:rPr>
          <w:b w:val="0"/>
          <w:bCs/>
          <w:szCs w:val="24"/>
        </w:rPr>
        <w:t xml:space="preserve"> ; qu’il </w:t>
      </w:r>
      <w:r w:rsidR="00BE55DA">
        <w:rPr>
          <w:b w:val="0"/>
          <w:bCs/>
          <w:szCs w:val="24"/>
        </w:rPr>
        <w:t>arrête</w:t>
      </w:r>
      <w:r>
        <w:rPr>
          <w:b w:val="0"/>
          <w:bCs/>
          <w:szCs w:val="24"/>
        </w:rPr>
        <w:t xml:space="preserve"> le point de départ des intérêts au 7 décembre 2011 ; qu</w:t>
      </w:r>
      <w:r w:rsidR="00BE55DA">
        <w:rPr>
          <w:b w:val="0"/>
          <w:bCs/>
          <w:szCs w:val="24"/>
        </w:rPr>
        <w:t>’en conséquenc</w:t>
      </w:r>
      <w:r>
        <w:rPr>
          <w:b w:val="0"/>
          <w:bCs/>
          <w:szCs w:val="24"/>
        </w:rPr>
        <w:t>e</w:t>
      </w:r>
      <w:r w:rsidR="003001E5">
        <w:rPr>
          <w:b w:val="0"/>
          <w:bCs/>
          <w:szCs w:val="24"/>
        </w:rPr>
        <w:t xml:space="preserve"> </w:t>
      </w:r>
      <w:r w:rsidR="00675140">
        <w:rPr>
          <w:b w:val="0"/>
          <w:bCs/>
          <w:szCs w:val="24"/>
        </w:rPr>
        <w:t>ce</w:t>
      </w:r>
      <w:r>
        <w:rPr>
          <w:b w:val="0"/>
          <w:bCs/>
          <w:szCs w:val="24"/>
        </w:rPr>
        <w:t xml:space="preserve"> moyen </w:t>
      </w:r>
      <w:r w:rsidR="0047325E">
        <w:rPr>
          <w:b w:val="0"/>
          <w:bCs/>
          <w:szCs w:val="24"/>
        </w:rPr>
        <w:t xml:space="preserve">est </w:t>
      </w:r>
      <w:r w:rsidR="00BE55DA">
        <w:rPr>
          <w:b w:val="0"/>
          <w:bCs/>
          <w:szCs w:val="24"/>
        </w:rPr>
        <w:t>non seulement</w:t>
      </w:r>
      <w:r w:rsidR="0047325E">
        <w:rPr>
          <w:b w:val="0"/>
          <w:bCs/>
          <w:szCs w:val="24"/>
        </w:rPr>
        <w:t xml:space="preserve"> inopérant</w:t>
      </w:r>
      <w:r w:rsidR="003001E5">
        <w:rPr>
          <w:b w:val="0"/>
          <w:bCs/>
          <w:szCs w:val="24"/>
        </w:rPr>
        <w:t xml:space="preserve"> </w:t>
      </w:r>
      <w:r w:rsidR="00BE55DA">
        <w:rPr>
          <w:b w:val="0"/>
          <w:bCs/>
          <w:szCs w:val="24"/>
        </w:rPr>
        <w:t>mais</w:t>
      </w:r>
      <w:r w:rsidR="0047325E">
        <w:rPr>
          <w:b w:val="0"/>
          <w:bCs/>
          <w:szCs w:val="24"/>
        </w:rPr>
        <w:t xml:space="preserve"> </w:t>
      </w:r>
      <w:r w:rsidR="00BE55DA">
        <w:rPr>
          <w:b w:val="0"/>
          <w:bCs/>
          <w:szCs w:val="24"/>
        </w:rPr>
        <w:t>manque</w:t>
      </w:r>
      <w:r w:rsidR="0047325E">
        <w:rPr>
          <w:b w:val="0"/>
          <w:bCs/>
          <w:szCs w:val="24"/>
        </w:rPr>
        <w:t xml:space="preserve"> </w:t>
      </w:r>
      <w:r w:rsidR="00BE55DA">
        <w:rPr>
          <w:b w:val="0"/>
          <w:bCs/>
          <w:szCs w:val="24"/>
        </w:rPr>
        <w:t xml:space="preserve">également </w:t>
      </w:r>
      <w:r w:rsidR="0047325E">
        <w:rPr>
          <w:b w:val="0"/>
          <w:bCs/>
          <w:szCs w:val="24"/>
        </w:rPr>
        <w:t>en fait</w:t>
      </w:r>
      <w:r w:rsidR="00DB2F31">
        <w:rPr>
          <w:b w:val="0"/>
          <w:bCs/>
          <w:szCs w:val="24"/>
        </w:rPr>
        <w:t> </w:t>
      </w:r>
      <w:r>
        <w:rPr>
          <w:b w:val="0"/>
          <w:bCs/>
          <w:szCs w:val="24"/>
        </w:rPr>
        <w:t>;</w:t>
      </w:r>
    </w:p>
    <w:p w:rsidR="00754028" w:rsidRPr="00EB66CA" w:rsidRDefault="00754028" w:rsidP="00754028">
      <w:pPr>
        <w:pStyle w:val="obs"/>
        <w:spacing w:before="0" w:after="480"/>
        <w:ind w:left="1701" w:firstLine="1134"/>
        <w:rPr>
          <w:bCs/>
          <w:i/>
          <w:szCs w:val="24"/>
        </w:rPr>
      </w:pPr>
      <w:r w:rsidRPr="00EB66CA">
        <w:rPr>
          <w:bCs/>
          <w:i/>
          <w:szCs w:val="24"/>
        </w:rPr>
        <w:t>S</w:t>
      </w:r>
      <w:r w:rsidR="001F7EFE" w:rsidRPr="00EB66CA">
        <w:rPr>
          <w:bCs/>
          <w:i/>
          <w:szCs w:val="24"/>
        </w:rPr>
        <w:t>ur l</w:t>
      </w:r>
      <w:r w:rsidRPr="00EB66CA">
        <w:rPr>
          <w:bCs/>
          <w:i/>
          <w:szCs w:val="24"/>
        </w:rPr>
        <w:t>e fond</w:t>
      </w:r>
    </w:p>
    <w:p w:rsidR="008C5B95" w:rsidRDefault="00EF011A" w:rsidP="00754028">
      <w:pPr>
        <w:pStyle w:val="obs"/>
        <w:spacing w:before="0" w:after="480"/>
        <w:ind w:left="1701" w:firstLine="1134"/>
        <w:rPr>
          <w:b w:val="0"/>
          <w:bCs/>
          <w:szCs w:val="24"/>
        </w:rPr>
      </w:pPr>
      <w:r>
        <w:rPr>
          <w:b w:val="0"/>
          <w:bCs/>
          <w:szCs w:val="24"/>
        </w:rPr>
        <w:t>Attendu que l’appelant fait valoir que la créance était irrécouvrable au</w:t>
      </w:r>
      <w:r w:rsidR="008C5B95">
        <w:rPr>
          <w:b w:val="0"/>
          <w:bCs/>
          <w:szCs w:val="24"/>
        </w:rPr>
        <w:t xml:space="preserve"> moment de son admission en non-</w:t>
      </w:r>
      <w:r>
        <w:rPr>
          <w:b w:val="0"/>
          <w:bCs/>
          <w:szCs w:val="24"/>
        </w:rPr>
        <w:t xml:space="preserve">valeur ; qu’en effet, à la suite de la liquidation judiciaire de la SARL </w:t>
      </w:r>
      <w:r w:rsidRPr="00EF011A">
        <w:rPr>
          <w:b w:val="0"/>
          <w:bCs/>
          <w:szCs w:val="24"/>
        </w:rPr>
        <w:t>Hostellerie du château de Tancarville</w:t>
      </w:r>
      <w:r w:rsidR="00EB66CA">
        <w:rPr>
          <w:b w:val="0"/>
          <w:bCs/>
          <w:szCs w:val="24"/>
        </w:rPr>
        <w:t>,</w:t>
      </w:r>
      <w:r>
        <w:rPr>
          <w:b w:val="0"/>
          <w:bCs/>
          <w:szCs w:val="24"/>
        </w:rPr>
        <w:t xml:space="preserve"> clôturée le 15 janvier 1999 pour insuffisance d’actif, de la liquidation judiciaire</w:t>
      </w:r>
      <w:r w:rsidR="008C5B95">
        <w:rPr>
          <w:b w:val="0"/>
          <w:bCs/>
          <w:szCs w:val="24"/>
        </w:rPr>
        <w:t>,</w:t>
      </w:r>
      <w:r>
        <w:rPr>
          <w:b w:val="0"/>
          <w:bCs/>
          <w:szCs w:val="24"/>
        </w:rPr>
        <w:t xml:space="preserve"> </w:t>
      </w:r>
      <w:r w:rsidR="008C5B95" w:rsidRPr="008C5B95">
        <w:rPr>
          <w:b w:val="0"/>
          <w:bCs/>
          <w:szCs w:val="24"/>
        </w:rPr>
        <w:t xml:space="preserve">le 20 décembre </w:t>
      </w:r>
      <w:r w:rsidR="008C5B95">
        <w:rPr>
          <w:b w:val="0"/>
          <w:bCs/>
          <w:szCs w:val="24"/>
        </w:rPr>
        <w:t>1996,</w:t>
      </w:r>
      <w:r w:rsidR="008C5B95" w:rsidRPr="008C5B95">
        <w:rPr>
          <w:b w:val="0"/>
          <w:bCs/>
          <w:szCs w:val="24"/>
        </w:rPr>
        <w:t xml:space="preserve"> </w:t>
      </w:r>
      <w:r w:rsidR="00915AD6">
        <w:rPr>
          <w:b w:val="0"/>
          <w:bCs/>
          <w:szCs w:val="24"/>
        </w:rPr>
        <w:t>de M. </w:t>
      </w:r>
      <w:r w:rsidR="00F514B1">
        <w:rPr>
          <w:b w:val="0"/>
          <w:bCs/>
          <w:szCs w:val="24"/>
        </w:rPr>
        <w:t>Y</w:t>
      </w:r>
      <w:r>
        <w:rPr>
          <w:b w:val="0"/>
          <w:bCs/>
          <w:szCs w:val="24"/>
        </w:rPr>
        <w:t xml:space="preserve"> qui s’était porté caution</w:t>
      </w:r>
      <w:r w:rsidR="008C5B95">
        <w:rPr>
          <w:b w:val="0"/>
          <w:bCs/>
          <w:szCs w:val="24"/>
        </w:rPr>
        <w:t xml:space="preserve"> </w:t>
      </w:r>
      <w:r>
        <w:rPr>
          <w:b w:val="0"/>
          <w:bCs/>
          <w:szCs w:val="24"/>
        </w:rPr>
        <w:t xml:space="preserve">de </w:t>
      </w:r>
      <w:r w:rsidR="008C5B95">
        <w:rPr>
          <w:b w:val="0"/>
          <w:bCs/>
          <w:szCs w:val="24"/>
        </w:rPr>
        <w:t xml:space="preserve">la </w:t>
      </w:r>
      <w:r>
        <w:rPr>
          <w:b w:val="0"/>
          <w:bCs/>
          <w:szCs w:val="24"/>
        </w:rPr>
        <w:t xml:space="preserve">créance </w:t>
      </w:r>
      <w:r w:rsidR="008C5B95" w:rsidRPr="008C5B95">
        <w:rPr>
          <w:b w:val="0"/>
          <w:bCs/>
          <w:szCs w:val="24"/>
        </w:rPr>
        <w:t>de l’établissement sur cette SARL</w:t>
      </w:r>
      <w:r w:rsidR="008C5B95">
        <w:rPr>
          <w:b w:val="0"/>
          <w:bCs/>
          <w:szCs w:val="24"/>
        </w:rPr>
        <w:t>,</w:t>
      </w:r>
      <w:r w:rsidR="008C5B95" w:rsidRPr="008C5B95">
        <w:rPr>
          <w:b w:val="0"/>
          <w:bCs/>
          <w:szCs w:val="24"/>
        </w:rPr>
        <w:t xml:space="preserve"> de la vente des immeubles hypothéqués en garantie de </w:t>
      </w:r>
      <w:r w:rsidR="008C5B95">
        <w:rPr>
          <w:b w:val="0"/>
          <w:bCs/>
          <w:szCs w:val="24"/>
        </w:rPr>
        <w:t xml:space="preserve">cette même </w:t>
      </w:r>
      <w:r w:rsidR="008C5B95" w:rsidRPr="008C5B95">
        <w:rPr>
          <w:b w:val="0"/>
          <w:bCs/>
          <w:szCs w:val="24"/>
        </w:rPr>
        <w:t>créance,</w:t>
      </w:r>
      <w:r w:rsidR="008C5B95">
        <w:rPr>
          <w:b w:val="0"/>
          <w:bCs/>
          <w:szCs w:val="24"/>
        </w:rPr>
        <w:t xml:space="preserve"> celle-ci n’était plus garantie que p</w:t>
      </w:r>
      <w:r w:rsidR="00915AD6">
        <w:rPr>
          <w:b w:val="0"/>
          <w:bCs/>
          <w:szCs w:val="24"/>
        </w:rPr>
        <w:t xml:space="preserve">ar la caution souscrite par </w:t>
      </w:r>
      <w:r w:rsidR="00F514B1">
        <w:rPr>
          <w:b w:val="0"/>
          <w:bCs/>
          <w:szCs w:val="24"/>
        </w:rPr>
        <w:t>M</w:t>
      </w:r>
      <w:r w:rsidR="00F514B1" w:rsidRPr="007D502A">
        <w:rPr>
          <w:b w:val="0"/>
          <w:bCs/>
          <w:szCs w:val="24"/>
          <w:vertAlign w:val="superscript"/>
        </w:rPr>
        <w:t>me</w:t>
      </w:r>
      <w:r w:rsidR="00F514B1">
        <w:rPr>
          <w:b w:val="0"/>
          <w:bCs/>
          <w:szCs w:val="24"/>
        </w:rPr>
        <w:t xml:space="preserve"> Y</w:t>
      </w:r>
      <w:r w:rsidR="008C5B95">
        <w:rPr>
          <w:b w:val="0"/>
          <w:bCs/>
          <w:szCs w:val="24"/>
        </w:rPr>
        <w:t xml:space="preserve">, </w:t>
      </w:r>
      <w:r w:rsidR="008C5B95" w:rsidRPr="008C5B95">
        <w:rPr>
          <w:b w:val="0"/>
          <w:bCs/>
          <w:szCs w:val="24"/>
        </w:rPr>
        <w:t>solidairement avec M</w:t>
      </w:r>
      <w:r w:rsidR="008C5B95">
        <w:rPr>
          <w:b w:val="0"/>
          <w:bCs/>
          <w:szCs w:val="24"/>
        </w:rPr>
        <w:t>.</w:t>
      </w:r>
      <w:r w:rsidR="00646BAE">
        <w:rPr>
          <w:b w:val="0"/>
          <w:bCs/>
          <w:szCs w:val="24"/>
        </w:rPr>
        <w:t> </w:t>
      </w:r>
      <w:r w:rsidR="00F514B1">
        <w:rPr>
          <w:b w:val="0"/>
          <w:bCs/>
          <w:szCs w:val="24"/>
        </w:rPr>
        <w:t>Y</w:t>
      </w:r>
      <w:r w:rsidR="00646BAE">
        <w:rPr>
          <w:b w:val="0"/>
          <w:bCs/>
          <w:szCs w:val="24"/>
        </w:rPr>
        <w:t xml:space="preserve">, </w:t>
      </w:r>
      <w:r w:rsidR="00646BAE" w:rsidRPr="00646BAE">
        <w:rPr>
          <w:b w:val="0"/>
          <w:bCs/>
          <w:szCs w:val="24"/>
        </w:rPr>
        <w:t xml:space="preserve">le 19 avril 1994, </w:t>
      </w:r>
      <w:r w:rsidR="008C5B95">
        <w:rPr>
          <w:b w:val="0"/>
          <w:bCs/>
          <w:szCs w:val="24"/>
        </w:rPr>
        <w:t>pour un montant de 2 552 396,16</w:t>
      </w:r>
      <w:r w:rsidR="007D502A">
        <w:rPr>
          <w:b w:val="0"/>
          <w:bCs/>
          <w:szCs w:val="24"/>
        </w:rPr>
        <w:t> </w:t>
      </w:r>
      <w:r w:rsidR="008C5B95">
        <w:rPr>
          <w:b w:val="0"/>
          <w:bCs/>
          <w:szCs w:val="24"/>
        </w:rPr>
        <w:t>F, soit 389 110,29</w:t>
      </w:r>
      <w:r w:rsidR="007D502A">
        <w:rPr>
          <w:b w:val="0"/>
          <w:bCs/>
          <w:szCs w:val="24"/>
        </w:rPr>
        <w:t> </w:t>
      </w:r>
      <w:r w:rsidR="008C5B95">
        <w:rPr>
          <w:b w:val="0"/>
          <w:bCs/>
          <w:szCs w:val="24"/>
        </w:rPr>
        <w:t>€ ;</w:t>
      </w:r>
      <w:r w:rsidR="005C7C38">
        <w:rPr>
          <w:b w:val="0"/>
          <w:bCs/>
          <w:szCs w:val="24"/>
        </w:rPr>
        <w:t xml:space="preserve"> que </w:t>
      </w:r>
      <w:r w:rsidR="003D0AC6">
        <w:rPr>
          <w:b w:val="0"/>
          <w:bCs/>
          <w:szCs w:val="24"/>
        </w:rPr>
        <w:t xml:space="preserve">les salaires de cette dernière étaient déjà saisis au profit d’autres créanciers </w:t>
      </w:r>
      <w:r w:rsidR="00D3568E">
        <w:rPr>
          <w:b w:val="0"/>
          <w:bCs/>
          <w:szCs w:val="24"/>
        </w:rPr>
        <w:t>chirographaires plus diligents que la caisse de crédit municipal du Havre</w:t>
      </w:r>
      <w:r w:rsidR="003D0AC6">
        <w:rPr>
          <w:b w:val="0"/>
          <w:bCs/>
          <w:szCs w:val="24"/>
        </w:rPr>
        <w:t> ;</w:t>
      </w:r>
      <w:r w:rsidR="005C7C38">
        <w:rPr>
          <w:b w:val="0"/>
          <w:bCs/>
          <w:szCs w:val="24"/>
        </w:rPr>
        <w:t xml:space="preserve"> </w:t>
      </w:r>
    </w:p>
    <w:p w:rsidR="00DD462E" w:rsidRDefault="008E7D92" w:rsidP="00DB2F31">
      <w:pPr>
        <w:pStyle w:val="obs"/>
        <w:spacing w:after="480"/>
        <w:ind w:left="1701" w:firstLine="1134"/>
        <w:rPr>
          <w:b w:val="0"/>
          <w:bCs/>
          <w:szCs w:val="24"/>
        </w:rPr>
      </w:pPr>
      <w:r w:rsidRPr="008E7D92">
        <w:rPr>
          <w:b w:val="0"/>
          <w:bCs/>
          <w:szCs w:val="24"/>
        </w:rPr>
        <w:t xml:space="preserve">Attendu que le ministère public estime </w:t>
      </w:r>
      <w:r w:rsidR="00094A7F">
        <w:rPr>
          <w:b w:val="0"/>
          <w:bCs/>
          <w:szCs w:val="24"/>
        </w:rPr>
        <w:t xml:space="preserve">dans ses conclusions </w:t>
      </w:r>
      <w:r w:rsidR="001A461C">
        <w:rPr>
          <w:b w:val="0"/>
          <w:bCs/>
          <w:szCs w:val="24"/>
        </w:rPr>
        <w:t xml:space="preserve">que </w:t>
      </w:r>
      <w:r w:rsidRPr="008E7D92">
        <w:rPr>
          <w:b w:val="0"/>
          <w:bCs/>
          <w:szCs w:val="24"/>
        </w:rPr>
        <w:t xml:space="preserve">l’appelant </w:t>
      </w:r>
      <w:r w:rsidR="001A461C">
        <w:rPr>
          <w:b w:val="0"/>
          <w:bCs/>
          <w:szCs w:val="24"/>
        </w:rPr>
        <w:t>ne démontre pas le</w:t>
      </w:r>
      <w:r w:rsidRPr="008E7D92">
        <w:rPr>
          <w:b w:val="0"/>
          <w:bCs/>
          <w:szCs w:val="24"/>
        </w:rPr>
        <w:t xml:space="preserve"> caractère irrécouvrable de la créance </w:t>
      </w:r>
      <w:r w:rsidR="001A461C">
        <w:rPr>
          <w:b w:val="0"/>
          <w:bCs/>
          <w:szCs w:val="24"/>
        </w:rPr>
        <w:t xml:space="preserve">en prouvant </w:t>
      </w:r>
      <w:r w:rsidRPr="008E7D92">
        <w:rPr>
          <w:b w:val="0"/>
          <w:bCs/>
          <w:szCs w:val="24"/>
        </w:rPr>
        <w:t>l’exhaustivité de</w:t>
      </w:r>
      <w:r w:rsidR="00E700EB">
        <w:rPr>
          <w:b w:val="0"/>
          <w:bCs/>
          <w:szCs w:val="24"/>
        </w:rPr>
        <w:t xml:space="preserve"> se</w:t>
      </w:r>
      <w:r w:rsidRPr="008E7D92">
        <w:rPr>
          <w:b w:val="0"/>
          <w:bCs/>
          <w:szCs w:val="24"/>
        </w:rPr>
        <w:t xml:space="preserve">s diligences et poursuites en vue du recouvrement des sommes dues par les époux </w:t>
      </w:r>
      <w:r w:rsidR="00F514B1">
        <w:rPr>
          <w:b w:val="0"/>
          <w:bCs/>
          <w:szCs w:val="24"/>
        </w:rPr>
        <w:t>Y</w:t>
      </w:r>
      <w:r w:rsidR="00E700EB">
        <w:rPr>
          <w:b w:val="0"/>
          <w:bCs/>
          <w:szCs w:val="24"/>
        </w:rPr>
        <w:t>, garants de la dette de la SARL</w:t>
      </w:r>
      <w:r w:rsidR="00DD462E">
        <w:rPr>
          <w:b w:val="0"/>
          <w:bCs/>
          <w:szCs w:val="24"/>
        </w:rPr>
        <w:t> </w:t>
      </w:r>
      <w:r w:rsidRPr="008E7D92">
        <w:rPr>
          <w:b w:val="0"/>
          <w:bCs/>
          <w:szCs w:val="24"/>
        </w:rPr>
        <w:t>;</w:t>
      </w:r>
    </w:p>
    <w:p w:rsidR="002E6DA4" w:rsidRDefault="002E6DA4" w:rsidP="00DB2F31">
      <w:pPr>
        <w:pStyle w:val="obs"/>
        <w:spacing w:after="480"/>
        <w:ind w:left="1701" w:firstLine="1134"/>
        <w:rPr>
          <w:b w:val="0"/>
          <w:bCs/>
          <w:szCs w:val="24"/>
        </w:rPr>
      </w:pPr>
    </w:p>
    <w:p w:rsidR="00951ED7" w:rsidRDefault="00951ED7" w:rsidP="00DB2F31">
      <w:pPr>
        <w:pStyle w:val="obs"/>
        <w:spacing w:after="480"/>
        <w:ind w:left="1701" w:firstLine="1134"/>
        <w:rPr>
          <w:b w:val="0"/>
          <w:bCs/>
          <w:szCs w:val="24"/>
        </w:rPr>
      </w:pPr>
      <w:r>
        <w:rPr>
          <w:b w:val="0"/>
          <w:bCs/>
          <w:szCs w:val="24"/>
        </w:rPr>
        <w:lastRenderedPageBreak/>
        <w:t>Considérant que le caractère irrécouvrable d’une c</w:t>
      </w:r>
      <w:r w:rsidRPr="007F2B2D">
        <w:rPr>
          <w:b w:val="0"/>
          <w:bCs/>
          <w:szCs w:val="24"/>
        </w:rPr>
        <w:t>réance p</w:t>
      </w:r>
      <w:r>
        <w:rPr>
          <w:b w:val="0"/>
          <w:bCs/>
          <w:szCs w:val="24"/>
        </w:rPr>
        <w:t>eut être dû à</w:t>
      </w:r>
      <w:r w:rsidRPr="007F2B2D">
        <w:rPr>
          <w:b w:val="0"/>
          <w:bCs/>
          <w:szCs w:val="24"/>
        </w:rPr>
        <w:t xml:space="preserve"> la situation du débiteur (insolvabilité, disparition</w:t>
      </w:r>
      <w:r>
        <w:rPr>
          <w:b w:val="0"/>
          <w:bCs/>
          <w:szCs w:val="24"/>
        </w:rPr>
        <w:t>, etc</w:t>
      </w:r>
      <w:r w:rsidRPr="007F2B2D">
        <w:rPr>
          <w:b w:val="0"/>
          <w:bCs/>
          <w:szCs w:val="24"/>
        </w:rPr>
        <w:t xml:space="preserve">.) ou </w:t>
      </w:r>
      <w:r>
        <w:rPr>
          <w:b w:val="0"/>
          <w:bCs/>
          <w:szCs w:val="24"/>
        </w:rPr>
        <w:t xml:space="preserve">au refus de </w:t>
      </w:r>
      <w:r w:rsidRPr="007F2B2D">
        <w:rPr>
          <w:b w:val="0"/>
          <w:bCs/>
          <w:szCs w:val="24"/>
        </w:rPr>
        <w:t xml:space="preserve">l'ordonnateur d'autoriser les poursuites ou encore </w:t>
      </w:r>
      <w:r>
        <w:rPr>
          <w:b w:val="0"/>
          <w:bCs/>
          <w:szCs w:val="24"/>
        </w:rPr>
        <w:t>à</w:t>
      </w:r>
      <w:r w:rsidRPr="007F2B2D">
        <w:rPr>
          <w:b w:val="0"/>
          <w:bCs/>
          <w:szCs w:val="24"/>
        </w:rPr>
        <w:t xml:space="preserve"> l'échec du recouvrement amiable </w:t>
      </w:r>
      <w:r>
        <w:rPr>
          <w:b w:val="0"/>
          <w:bCs/>
          <w:szCs w:val="24"/>
        </w:rPr>
        <w:t xml:space="preserve">dans le cas des </w:t>
      </w:r>
      <w:r w:rsidRPr="007F2B2D">
        <w:rPr>
          <w:b w:val="0"/>
          <w:bCs/>
          <w:szCs w:val="24"/>
        </w:rPr>
        <w:t>créance</w:t>
      </w:r>
      <w:r>
        <w:rPr>
          <w:b w:val="0"/>
          <w:bCs/>
          <w:szCs w:val="24"/>
        </w:rPr>
        <w:t>s</w:t>
      </w:r>
      <w:r w:rsidRPr="007F2B2D">
        <w:rPr>
          <w:b w:val="0"/>
          <w:bCs/>
          <w:szCs w:val="24"/>
        </w:rPr>
        <w:t xml:space="preserve"> inférieure</w:t>
      </w:r>
      <w:r>
        <w:rPr>
          <w:b w:val="0"/>
          <w:bCs/>
          <w:szCs w:val="24"/>
        </w:rPr>
        <w:t>s</w:t>
      </w:r>
      <w:r w:rsidRPr="007F2B2D">
        <w:rPr>
          <w:b w:val="0"/>
          <w:bCs/>
          <w:szCs w:val="24"/>
        </w:rPr>
        <w:t xml:space="preserve"> aux seuils des poursuites définis au plan local</w:t>
      </w:r>
      <w:r>
        <w:rPr>
          <w:b w:val="0"/>
          <w:bCs/>
          <w:szCs w:val="24"/>
        </w:rPr>
        <w:t xml:space="preserve"> ; qu’au cas d’espèce </w:t>
      </w:r>
      <w:r w:rsidRPr="007F2B2D">
        <w:rPr>
          <w:b w:val="0"/>
          <w:bCs/>
          <w:szCs w:val="24"/>
        </w:rPr>
        <w:t>le comptable n’a</w:t>
      </w:r>
      <w:r>
        <w:rPr>
          <w:b w:val="0"/>
          <w:bCs/>
          <w:szCs w:val="24"/>
        </w:rPr>
        <w:t>vait</w:t>
      </w:r>
      <w:r w:rsidRPr="007F2B2D">
        <w:rPr>
          <w:b w:val="0"/>
          <w:bCs/>
          <w:szCs w:val="24"/>
        </w:rPr>
        <w:t xml:space="preserve"> apport</w:t>
      </w:r>
      <w:r>
        <w:rPr>
          <w:b w:val="0"/>
          <w:bCs/>
          <w:szCs w:val="24"/>
        </w:rPr>
        <w:t>é aucune p</w:t>
      </w:r>
      <w:r w:rsidRPr="007F2B2D">
        <w:rPr>
          <w:b w:val="0"/>
          <w:bCs/>
          <w:szCs w:val="24"/>
        </w:rPr>
        <w:t xml:space="preserve">reuve de </w:t>
      </w:r>
      <w:r>
        <w:rPr>
          <w:b w:val="0"/>
          <w:bCs/>
          <w:szCs w:val="24"/>
        </w:rPr>
        <w:t xml:space="preserve">ses propres </w:t>
      </w:r>
      <w:r w:rsidRPr="007F2B2D">
        <w:rPr>
          <w:b w:val="0"/>
          <w:bCs/>
          <w:szCs w:val="24"/>
        </w:rPr>
        <w:t>diligences pour le recouvrement de la créance en cause, notamment pour empêcher sa prescription</w:t>
      </w:r>
      <w:r>
        <w:rPr>
          <w:b w:val="0"/>
          <w:bCs/>
          <w:szCs w:val="24"/>
        </w:rPr>
        <w:t xml:space="preserve">, toutes les diligences n’ayant été mises en œuvre que par l’ordonnateur depuis la production de la créance de l’établissement au passif de la SARL, le 24 février 1997, pour un montant de 2 257 847,33 F augmenté des intérêts de droit à hauteur de 281 553,55 F, soit au total </w:t>
      </w:r>
      <w:r w:rsidRPr="00915AD6">
        <w:rPr>
          <w:b w:val="0"/>
          <w:bCs/>
          <w:szCs w:val="24"/>
        </w:rPr>
        <w:t>387</w:t>
      </w:r>
      <w:r>
        <w:rPr>
          <w:b w:val="0"/>
          <w:bCs/>
          <w:szCs w:val="24"/>
        </w:rPr>
        <w:t> 129,17 € ;</w:t>
      </w:r>
    </w:p>
    <w:p w:rsidR="00B66638" w:rsidRDefault="000E7F19" w:rsidP="007D2CE1">
      <w:pPr>
        <w:pStyle w:val="obs"/>
        <w:spacing w:after="480"/>
        <w:ind w:left="1701" w:firstLine="1134"/>
        <w:rPr>
          <w:b w:val="0"/>
          <w:bCs/>
          <w:szCs w:val="24"/>
        </w:rPr>
      </w:pPr>
      <w:r w:rsidRPr="00980945">
        <w:rPr>
          <w:b w:val="0"/>
          <w:bCs/>
          <w:szCs w:val="24"/>
        </w:rPr>
        <w:t>Considérant</w:t>
      </w:r>
      <w:r w:rsidR="003001E5" w:rsidRPr="00980945">
        <w:rPr>
          <w:b w:val="0"/>
          <w:bCs/>
          <w:szCs w:val="24"/>
        </w:rPr>
        <w:t xml:space="preserve"> </w:t>
      </w:r>
      <w:r w:rsidR="00951ED7">
        <w:rPr>
          <w:b w:val="0"/>
          <w:bCs/>
          <w:szCs w:val="24"/>
        </w:rPr>
        <w:t xml:space="preserve">cependant, dans le cas d’espèce, </w:t>
      </w:r>
      <w:r w:rsidR="00B66638" w:rsidRPr="00980945">
        <w:rPr>
          <w:b w:val="0"/>
          <w:bCs/>
          <w:szCs w:val="24"/>
        </w:rPr>
        <w:t>qu</w:t>
      </w:r>
      <w:r w:rsidR="00AD512E" w:rsidRPr="00980945">
        <w:rPr>
          <w:b w:val="0"/>
          <w:bCs/>
          <w:szCs w:val="24"/>
        </w:rPr>
        <w:t>’aucun</w:t>
      </w:r>
      <w:r w:rsidR="00B66638" w:rsidRPr="00980945">
        <w:rPr>
          <w:b w:val="0"/>
          <w:bCs/>
          <w:szCs w:val="24"/>
        </w:rPr>
        <w:t xml:space="preserve"> titre de recette correspondant </w:t>
      </w:r>
      <w:r w:rsidR="00AD512E" w:rsidRPr="00980945">
        <w:rPr>
          <w:b w:val="0"/>
          <w:bCs/>
          <w:szCs w:val="24"/>
        </w:rPr>
        <w:t xml:space="preserve">à la créance </w:t>
      </w:r>
      <w:r w:rsidR="00951ED7">
        <w:rPr>
          <w:b w:val="0"/>
          <w:bCs/>
          <w:szCs w:val="24"/>
        </w:rPr>
        <w:t xml:space="preserve">résultant d’un compte bancaire débiteur, </w:t>
      </w:r>
      <w:r w:rsidR="00B66638" w:rsidRPr="00980945">
        <w:rPr>
          <w:b w:val="0"/>
          <w:bCs/>
          <w:szCs w:val="24"/>
        </w:rPr>
        <w:t>n’a jamais été émis par l’ordonnateur</w:t>
      </w:r>
      <w:r w:rsidR="00980945">
        <w:rPr>
          <w:b w:val="0"/>
          <w:bCs/>
          <w:szCs w:val="24"/>
        </w:rPr>
        <w:t> </w:t>
      </w:r>
      <w:r w:rsidR="00B66638" w:rsidRPr="00980945">
        <w:rPr>
          <w:b w:val="0"/>
          <w:bCs/>
          <w:szCs w:val="24"/>
        </w:rPr>
        <w:t>; qu</w:t>
      </w:r>
      <w:r w:rsidR="00980945">
        <w:rPr>
          <w:b w:val="0"/>
          <w:bCs/>
          <w:szCs w:val="24"/>
        </w:rPr>
        <w:t>e</w:t>
      </w:r>
      <w:r w:rsidRPr="00980945">
        <w:rPr>
          <w:b w:val="0"/>
          <w:bCs/>
          <w:szCs w:val="24"/>
        </w:rPr>
        <w:t xml:space="preserve"> </w:t>
      </w:r>
      <w:r w:rsidR="00AD512E" w:rsidRPr="00980945">
        <w:rPr>
          <w:b w:val="0"/>
          <w:bCs/>
          <w:szCs w:val="24"/>
        </w:rPr>
        <w:t>M. </w:t>
      </w:r>
      <w:r w:rsidR="00F514B1">
        <w:rPr>
          <w:b w:val="0"/>
          <w:szCs w:val="24"/>
        </w:rPr>
        <w:t>X</w:t>
      </w:r>
      <w:r w:rsidR="00AD512E" w:rsidRPr="00980945">
        <w:rPr>
          <w:b w:val="0"/>
          <w:bCs/>
          <w:szCs w:val="24"/>
        </w:rPr>
        <w:t xml:space="preserve"> n’a </w:t>
      </w:r>
      <w:r w:rsidR="00980945">
        <w:rPr>
          <w:b w:val="0"/>
          <w:bCs/>
          <w:szCs w:val="24"/>
        </w:rPr>
        <w:t xml:space="preserve">donc </w:t>
      </w:r>
      <w:r w:rsidR="00AD512E" w:rsidRPr="00980945">
        <w:rPr>
          <w:b w:val="0"/>
          <w:bCs/>
          <w:szCs w:val="24"/>
        </w:rPr>
        <w:t>jamais disposé d'aucun document l'habilitant à engager une procédure de recouvrement ; qu’</w:t>
      </w:r>
      <w:r w:rsidR="00980945">
        <w:rPr>
          <w:b w:val="0"/>
          <w:bCs/>
          <w:szCs w:val="24"/>
        </w:rPr>
        <w:t xml:space="preserve">en conséquence </w:t>
      </w:r>
      <w:r w:rsidR="00AD512E" w:rsidRPr="00980945">
        <w:rPr>
          <w:b w:val="0"/>
          <w:bCs/>
          <w:szCs w:val="24"/>
        </w:rPr>
        <w:t>il ne pouvait</w:t>
      </w:r>
      <w:r w:rsidR="00980945">
        <w:rPr>
          <w:b w:val="0"/>
          <w:bCs/>
          <w:szCs w:val="24"/>
        </w:rPr>
        <w:t xml:space="preserve"> </w:t>
      </w:r>
      <w:r w:rsidR="00B66638" w:rsidRPr="00980945">
        <w:rPr>
          <w:b w:val="0"/>
          <w:bCs/>
          <w:szCs w:val="24"/>
        </w:rPr>
        <w:t xml:space="preserve">justifier </w:t>
      </w:r>
      <w:r w:rsidR="003001E5" w:rsidRPr="00980945">
        <w:rPr>
          <w:b w:val="0"/>
          <w:bCs/>
          <w:szCs w:val="24"/>
        </w:rPr>
        <w:t xml:space="preserve">le caractère </w:t>
      </w:r>
      <w:r w:rsidR="00B66638" w:rsidRPr="00980945">
        <w:rPr>
          <w:b w:val="0"/>
          <w:bCs/>
          <w:szCs w:val="24"/>
        </w:rPr>
        <w:t>irrécouvrab</w:t>
      </w:r>
      <w:r w:rsidR="003001E5" w:rsidRPr="00980945">
        <w:rPr>
          <w:b w:val="0"/>
          <w:bCs/>
          <w:szCs w:val="24"/>
        </w:rPr>
        <w:t>le</w:t>
      </w:r>
      <w:r w:rsidR="00B66638" w:rsidRPr="00980945">
        <w:rPr>
          <w:b w:val="0"/>
          <w:bCs/>
          <w:szCs w:val="24"/>
        </w:rPr>
        <w:t xml:space="preserve"> de la créance concernée en apportant la preuve </w:t>
      </w:r>
      <w:r w:rsidR="007D2CE1" w:rsidRPr="00980945">
        <w:rPr>
          <w:b w:val="0"/>
          <w:bCs/>
          <w:szCs w:val="24"/>
        </w:rPr>
        <w:t xml:space="preserve">de ses propres </w:t>
      </w:r>
      <w:r w:rsidR="00B66638" w:rsidRPr="00980945">
        <w:rPr>
          <w:b w:val="0"/>
          <w:bCs/>
          <w:szCs w:val="24"/>
        </w:rPr>
        <w:t>dil</w:t>
      </w:r>
      <w:r w:rsidR="00980945">
        <w:rPr>
          <w:b w:val="0"/>
          <w:bCs/>
          <w:szCs w:val="24"/>
        </w:rPr>
        <w:t>igences et de leur exhaustivité </w:t>
      </w:r>
      <w:r w:rsidR="00B66638" w:rsidRPr="00980945">
        <w:rPr>
          <w:b w:val="0"/>
          <w:bCs/>
          <w:szCs w:val="24"/>
        </w:rPr>
        <w:t>;</w:t>
      </w:r>
    </w:p>
    <w:p w:rsidR="00C309F5" w:rsidRDefault="008C5B95" w:rsidP="007D2CE1">
      <w:pPr>
        <w:pStyle w:val="obs"/>
        <w:spacing w:before="0" w:after="480"/>
        <w:ind w:left="1701" w:firstLine="1134"/>
        <w:rPr>
          <w:b w:val="0"/>
          <w:bCs/>
          <w:szCs w:val="24"/>
        </w:rPr>
      </w:pPr>
      <w:r>
        <w:rPr>
          <w:b w:val="0"/>
          <w:bCs/>
          <w:szCs w:val="24"/>
        </w:rPr>
        <w:t>Attendu que</w:t>
      </w:r>
      <w:r w:rsidR="008B399A">
        <w:rPr>
          <w:b w:val="0"/>
          <w:bCs/>
          <w:szCs w:val="24"/>
        </w:rPr>
        <w:t>,</w:t>
      </w:r>
      <w:r>
        <w:rPr>
          <w:b w:val="0"/>
          <w:bCs/>
          <w:szCs w:val="24"/>
        </w:rPr>
        <w:t xml:space="preserve"> </w:t>
      </w:r>
      <w:r w:rsidR="007D2CE1" w:rsidRPr="00587981">
        <w:rPr>
          <w:b w:val="0"/>
          <w:bCs/>
          <w:szCs w:val="24"/>
        </w:rPr>
        <w:t>en vue d’</w:t>
      </w:r>
      <w:r w:rsidR="00B66638" w:rsidRPr="00587981">
        <w:rPr>
          <w:b w:val="0"/>
          <w:bCs/>
          <w:szCs w:val="24"/>
        </w:rPr>
        <w:t xml:space="preserve">établir </w:t>
      </w:r>
      <w:r w:rsidR="008B399A" w:rsidRPr="00587981">
        <w:rPr>
          <w:b w:val="0"/>
          <w:bCs/>
          <w:szCs w:val="24"/>
        </w:rPr>
        <w:t>le</w:t>
      </w:r>
      <w:r w:rsidR="008B399A">
        <w:rPr>
          <w:b w:val="0"/>
          <w:bCs/>
          <w:szCs w:val="24"/>
        </w:rPr>
        <w:t xml:space="preserve"> caractère irré</w:t>
      </w:r>
      <w:r w:rsidR="009E54AD">
        <w:rPr>
          <w:b w:val="0"/>
          <w:bCs/>
          <w:szCs w:val="24"/>
        </w:rPr>
        <w:t>couvrable de la créance</w:t>
      </w:r>
      <w:r w:rsidR="008B399A">
        <w:rPr>
          <w:b w:val="0"/>
          <w:bCs/>
          <w:szCs w:val="24"/>
        </w:rPr>
        <w:t>,</w:t>
      </w:r>
      <w:r w:rsidR="009E54AD">
        <w:rPr>
          <w:b w:val="0"/>
          <w:bCs/>
          <w:szCs w:val="24"/>
        </w:rPr>
        <w:t xml:space="preserve"> </w:t>
      </w:r>
      <w:r>
        <w:rPr>
          <w:b w:val="0"/>
          <w:bCs/>
          <w:szCs w:val="24"/>
        </w:rPr>
        <w:t xml:space="preserve">l’appelant a produit une étude du conseil de l’établissement datée du </w:t>
      </w:r>
      <w:r w:rsidR="00C824B5">
        <w:rPr>
          <w:b w:val="0"/>
          <w:bCs/>
          <w:szCs w:val="24"/>
        </w:rPr>
        <w:t>19 janvier 2007 rappelant q</w:t>
      </w:r>
      <w:r w:rsidR="00646BAE">
        <w:rPr>
          <w:b w:val="0"/>
          <w:bCs/>
          <w:szCs w:val="24"/>
        </w:rPr>
        <w:t xml:space="preserve">ue la caution souscrite par </w:t>
      </w:r>
      <w:r w:rsidR="00F514B1">
        <w:rPr>
          <w:b w:val="0"/>
          <w:bCs/>
          <w:szCs w:val="24"/>
        </w:rPr>
        <w:t>M</w:t>
      </w:r>
      <w:r w:rsidR="00F514B1" w:rsidRPr="007D502A">
        <w:rPr>
          <w:b w:val="0"/>
          <w:bCs/>
          <w:szCs w:val="24"/>
          <w:vertAlign w:val="superscript"/>
        </w:rPr>
        <w:t>me</w:t>
      </w:r>
      <w:r w:rsidR="00F514B1">
        <w:rPr>
          <w:b w:val="0"/>
          <w:bCs/>
          <w:szCs w:val="24"/>
        </w:rPr>
        <w:t xml:space="preserve"> Y</w:t>
      </w:r>
      <w:r w:rsidR="00C824B5">
        <w:rPr>
          <w:b w:val="0"/>
          <w:bCs/>
          <w:szCs w:val="24"/>
        </w:rPr>
        <w:t xml:space="preserve">, par acte notarié, est immédiatement exécutoire en application du </w:t>
      </w:r>
      <w:r w:rsidR="00C824B5" w:rsidRPr="00915AD6">
        <w:rPr>
          <w:b w:val="0"/>
          <w:bCs/>
          <w:szCs w:val="24"/>
        </w:rPr>
        <w:t>4° de l’article 3 de la loi du 9 juillet 1991 ;</w:t>
      </w:r>
      <w:r w:rsidR="00C824B5">
        <w:rPr>
          <w:b w:val="0"/>
          <w:bCs/>
          <w:szCs w:val="24"/>
        </w:rPr>
        <w:t xml:space="preserve"> que toutefois</w:t>
      </w:r>
      <w:r w:rsidR="00915AD6">
        <w:rPr>
          <w:b w:val="0"/>
          <w:bCs/>
          <w:szCs w:val="24"/>
        </w:rPr>
        <w:t xml:space="preserve">, si </w:t>
      </w:r>
      <w:r>
        <w:rPr>
          <w:b w:val="0"/>
          <w:bCs/>
          <w:szCs w:val="24"/>
        </w:rPr>
        <w:t xml:space="preserve">la garantie souscrite par </w:t>
      </w:r>
      <w:r w:rsidR="00F514B1">
        <w:rPr>
          <w:b w:val="0"/>
          <w:bCs/>
          <w:szCs w:val="24"/>
        </w:rPr>
        <w:t>M</w:t>
      </w:r>
      <w:r w:rsidR="00F514B1" w:rsidRPr="007D502A">
        <w:rPr>
          <w:b w:val="0"/>
          <w:bCs/>
          <w:szCs w:val="24"/>
          <w:vertAlign w:val="superscript"/>
        </w:rPr>
        <w:t>me</w:t>
      </w:r>
      <w:r w:rsidR="00F514B1">
        <w:rPr>
          <w:b w:val="0"/>
          <w:bCs/>
          <w:szCs w:val="24"/>
        </w:rPr>
        <w:t xml:space="preserve"> Y</w:t>
      </w:r>
      <w:r>
        <w:rPr>
          <w:b w:val="0"/>
          <w:bCs/>
          <w:szCs w:val="24"/>
        </w:rPr>
        <w:t xml:space="preserve"> </w:t>
      </w:r>
      <w:r w:rsidR="00915AD6">
        <w:rPr>
          <w:b w:val="0"/>
          <w:bCs/>
          <w:szCs w:val="24"/>
        </w:rPr>
        <w:t>était</w:t>
      </w:r>
      <w:r w:rsidR="00C824B5">
        <w:rPr>
          <w:b w:val="0"/>
          <w:bCs/>
          <w:szCs w:val="24"/>
        </w:rPr>
        <w:t xml:space="preserve"> de nature </w:t>
      </w:r>
      <w:r w:rsidR="00062D7B">
        <w:rPr>
          <w:b w:val="0"/>
          <w:bCs/>
          <w:szCs w:val="24"/>
        </w:rPr>
        <w:t>commerciale</w:t>
      </w:r>
      <w:r>
        <w:rPr>
          <w:b w:val="0"/>
          <w:bCs/>
          <w:szCs w:val="24"/>
        </w:rPr>
        <w:t xml:space="preserve">, </w:t>
      </w:r>
      <w:r w:rsidR="00C824B5">
        <w:rPr>
          <w:b w:val="0"/>
          <w:bCs/>
          <w:szCs w:val="24"/>
        </w:rPr>
        <w:t>elle serait prescrite depuis le 19</w:t>
      </w:r>
      <w:r w:rsidR="00525EBD">
        <w:rPr>
          <w:b w:val="0"/>
          <w:bCs/>
          <w:szCs w:val="24"/>
        </w:rPr>
        <w:t> </w:t>
      </w:r>
      <w:r w:rsidR="00C824B5">
        <w:rPr>
          <w:b w:val="0"/>
          <w:bCs/>
          <w:szCs w:val="24"/>
        </w:rPr>
        <w:t>avril 2004 ; qu</w:t>
      </w:r>
      <w:r w:rsidR="00525EBD">
        <w:rPr>
          <w:b w:val="0"/>
          <w:bCs/>
          <w:szCs w:val="24"/>
        </w:rPr>
        <w:t xml:space="preserve">e si, </w:t>
      </w:r>
      <w:r w:rsidR="00C824B5">
        <w:rPr>
          <w:b w:val="0"/>
          <w:bCs/>
          <w:szCs w:val="24"/>
        </w:rPr>
        <w:t>de nature c</w:t>
      </w:r>
      <w:r w:rsidR="00062D7B">
        <w:rPr>
          <w:b w:val="0"/>
          <w:bCs/>
          <w:szCs w:val="24"/>
        </w:rPr>
        <w:t>ivile</w:t>
      </w:r>
      <w:r w:rsidR="00C824B5">
        <w:rPr>
          <w:b w:val="0"/>
          <w:bCs/>
          <w:szCs w:val="24"/>
        </w:rPr>
        <w:t>, elle n</w:t>
      </w:r>
      <w:r w:rsidR="00525EBD">
        <w:rPr>
          <w:b w:val="0"/>
          <w:bCs/>
          <w:szCs w:val="24"/>
        </w:rPr>
        <w:t>’était</w:t>
      </w:r>
      <w:r w:rsidR="00C824B5">
        <w:rPr>
          <w:b w:val="0"/>
          <w:bCs/>
          <w:szCs w:val="24"/>
        </w:rPr>
        <w:t xml:space="preserve"> pas prescrite, la mise en jeu de cette caution par saisie sur les salaires de l’intéressée pourrait conduire celle-ci à prétendre à l’ouverture d’une </w:t>
      </w:r>
      <w:r w:rsidR="00C824B5" w:rsidRPr="00525EBD">
        <w:rPr>
          <w:b w:val="0"/>
          <w:bCs/>
          <w:szCs w:val="24"/>
        </w:rPr>
        <w:t xml:space="preserve">procédure de surendettement, ce qui paralyserait l’action en </w:t>
      </w:r>
      <w:r w:rsidR="00C309F5" w:rsidRPr="00525EBD">
        <w:rPr>
          <w:b w:val="0"/>
          <w:bCs/>
          <w:szCs w:val="24"/>
        </w:rPr>
        <w:t>recouvrement de l’établissement</w:t>
      </w:r>
      <w:r w:rsidR="000E7F19">
        <w:rPr>
          <w:b w:val="0"/>
          <w:bCs/>
          <w:szCs w:val="24"/>
        </w:rPr>
        <w:t>,</w:t>
      </w:r>
      <w:r w:rsidR="00C309F5" w:rsidRPr="00525EBD">
        <w:rPr>
          <w:b w:val="0"/>
          <w:bCs/>
          <w:szCs w:val="24"/>
        </w:rPr>
        <w:t xml:space="preserve"> voire la réduirait à néant si </w:t>
      </w:r>
      <w:r w:rsidR="00646BAE" w:rsidRPr="00525EBD">
        <w:rPr>
          <w:b w:val="0"/>
          <w:bCs/>
          <w:szCs w:val="24"/>
        </w:rPr>
        <w:t>la débitrice</w:t>
      </w:r>
      <w:r w:rsidR="00C309F5">
        <w:rPr>
          <w:b w:val="0"/>
          <w:bCs/>
          <w:szCs w:val="24"/>
        </w:rPr>
        <w:t xml:space="preserve"> bénéficiait finalement d’une décision ordonnant son rétablissement personnel</w:t>
      </w:r>
      <w:r w:rsidR="00525EBD">
        <w:rPr>
          <w:b w:val="0"/>
          <w:bCs/>
          <w:szCs w:val="24"/>
        </w:rPr>
        <w:t>,</w:t>
      </w:r>
      <w:r w:rsidR="00A7720B">
        <w:rPr>
          <w:b w:val="0"/>
          <w:bCs/>
          <w:szCs w:val="24"/>
        </w:rPr>
        <w:t xml:space="preserve"> </w:t>
      </w:r>
      <w:r w:rsidR="00C309F5">
        <w:rPr>
          <w:b w:val="0"/>
          <w:bCs/>
          <w:szCs w:val="24"/>
        </w:rPr>
        <w:t>effaçant toute ses dettes ;</w:t>
      </w:r>
    </w:p>
    <w:p w:rsidR="00DD462E" w:rsidRDefault="00C309F5" w:rsidP="00754028">
      <w:pPr>
        <w:pStyle w:val="obs"/>
        <w:spacing w:before="0" w:after="480"/>
        <w:ind w:left="1701" w:firstLine="1134"/>
      </w:pPr>
      <w:r>
        <w:rPr>
          <w:b w:val="0"/>
          <w:bCs/>
          <w:szCs w:val="24"/>
        </w:rPr>
        <w:t xml:space="preserve">Attendu que l’appelant a </w:t>
      </w:r>
      <w:r w:rsidR="008B399A">
        <w:rPr>
          <w:b w:val="0"/>
          <w:bCs/>
          <w:szCs w:val="24"/>
        </w:rPr>
        <w:t xml:space="preserve">en outre </w:t>
      </w:r>
      <w:r>
        <w:rPr>
          <w:b w:val="0"/>
          <w:bCs/>
          <w:szCs w:val="24"/>
        </w:rPr>
        <w:t>produit</w:t>
      </w:r>
      <w:r w:rsidR="008B399A">
        <w:rPr>
          <w:b w:val="0"/>
          <w:bCs/>
          <w:szCs w:val="24"/>
        </w:rPr>
        <w:t xml:space="preserve"> </w:t>
      </w:r>
      <w:r>
        <w:rPr>
          <w:b w:val="0"/>
          <w:bCs/>
          <w:szCs w:val="24"/>
        </w:rPr>
        <w:t xml:space="preserve">un </w:t>
      </w:r>
      <w:r w:rsidR="00A7720B">
        <w:rPr>
          <w:b w:val="0"/>
          <w:bCs/>
          <w:szCs w:val="24"/>
        </w:rPr>
        <w:t>« </w:t>
      </w:r>
      <w:r>
        <w:rPr>
          <w:b w:val="0"/>
          <w:bCs/>
          <w:szCs w:val="24"/>
        </w:rPr>
        <w:t>avis d’intervention au tiers saisi</w:t>
      </w:r>
      <w:r w:rsidR="00646BAE">
        <w:rPr>
          <w:b w:val="0"/>
          <w:bCs/>
          <w:szCs w:val="24"/>
        </w:rPr>
        <w:t> »</w:t>
      </w:r>
      <w:r>
        <w:rPr>
          <w:b w:val="0"/>
          <w:bCs/>
          <w:szCs w:val="24"/>
        </w:rPr>
        <w:t xml:space="preserve"> du 16 juillet 2002 adressé par le tribunal d’instance du Havre à la caisse de crédit municipal du Havre</w:t>
      </w:r>
      <w:r w:rsidR="00062D7B">
        <w:rPr>
          <w:b w:val="0"/>
          <w:bCs/>
          <w:szCs w:val="24"/>
        </w:rPr>
        <w:t xml:space="preserve">, employeur de </w:t>
      </w:r>
      <w:r w:rsidR="00F514B1">
        <w:rPr>
          <w:b w:val="0"/>
          <w:bCs/>
          <w:szCs w:val="24"/>
        </w:rPr>
        <w:t>M</w:t>
      </w:r>
      <w:r w:rsidR="00F514B1" w:rsidRPr="007D502A">
        <w:rPr>
          <w:b w:val="0"/>
          <w:bCs/>
          <w:szCs w:val="24"/>
          <w:vertAlign w:val="superscript"/>
        </w:rPr>
        <w:t>me</w:t>
      </w:r>
      <w:r w:rsidR="00F514B1">
        <w:rPr>
          <w:b w:val="0"/>
          <w:bCs/>
          <w:szCs w:val="24"/>
        </w:rPr>
        <w:t xml:space="preserve"> Y</w:t>
      </w:r>
      <w:r w:rsidR="008B399A">
        <w:rPr>
          <w:b w:val="0"/>
          <w:bCs/>
          <w:szCs w:val="24"/>
        </w:rPr>
        <w:t>; que cet avis</w:t>
      </w:r>
      <w:r>
        <w:rPr>
          <w:b w:val="0"/>
          <w:bCs/>
          <w:szCs w:val="24"/>
        </w:rPr>
        <w:t xml:space="preserve"> montre que la totalité de la quotité saisissable du salaire de </w:t>
      </w:r>
      <w:r w:rsidR="00062D7B">
        <w:rPr>
          <w:b w:val="0"/>
          <w:bCs/>
          <w:szCs w:val="24"/>
        </w:rPr>
        <w:t>celle-ci</w:t>
      </w:r>
      <w:r>
        <w:rPr>
          <w:b w:val="0"/>
          <w:bCs/>
          <w:szCs w:val="24"/>
        </w:rPr>
        <w:t xml:space="preserve"> était déjà saisie</w:t>
      </w:r>
      <w:r w:rsidR="00A7720B">
        <w:rPr>
          <w:b w:val="0"/>
          <w:bCs/>
          <w:szCs w:val="24"/>
        </w:rPr>
        <w:t xml:space="preserve"> à cette date</w:t>
      </w:r>
      <w:r w:rsidR="007C383D">
        <w:rPr>
          <w:b w:val="0"/>
          <w:bCs/>
          <w:szCs w:val="24"/>
        </w:rPr>
        <w:t xml:space="preserve"> par d’autres créanciers que l’établissement</w:t>
      </w:r>
      <w:r>
        <w:rPr>
          <w:b w:val="0"/>
          <w:bCs/>
          <w:szCs w:val="24"/>
        </w:rPr>
        <w:t> ; qu</w:t>
      </w:r>
      <w:r w:rsidR="008B399A">
        <w:rPr>
          <w:b w:val="0"/>
          <w:bCs/>
          <w:szCs w:val="24"/>
        </w:rPr>
        <w:t xml:space="preserve">’il </w:t>
      </w:r>
      <w:r>
        <w:rPr>
          <w:b w:val="0"/>
          <w:bCs/>
          <w:szCs w:val="24"/>
        </w:rPr>
        <w:t xml:space="preserve">montre également qu’un nouveau créancier participera, </w:t>
      </w:r>
      <w:r w:rsidR="008B399A">
        <w:rPr>
          <w:b w:val="0"/>
          <w:bCs/>
          <w:szCs w:val="24"/>
        </w:rPr>
        <w:t xml:space="preserve">à compter de juillet 2012, </w:t>
      </w:r>
      <w:r>
        <w:rPr>
          <w:b w:val="0"/>
          <w:bCs/>
          <w:szCs w:val="24"/>
        </w:rPr>
        <w:t xml:space="preserve">pour paiement d’une </w:t>
      </w:r>
      <w:r w:rsidR="00646BAE">
        <w:rPr>
          <w:b w:val="0"/>
          <w:bCs/>
          <w:szCs w:val="24"/>
        </w:rPr>
        <w:t>dette</w:t>
      </w:r>
      <w:r>
        <w:rPr>
          <w:b w:val="0"/>
          <w:bCs/>
          <w:szCs w:val="24"/>
        </w:rPr>
        <w:t xml:space="preserve"> de 311 721,56 €</w:t>
      </w:r>
      <w:r w:rsidR="00275833">
        <w:rPr>
          <w:b w:val="0"/>
          <w:bCs/>
          <w:szCs w:val="24"/>
        </w:rPr>
        <w:t>,</w:t>
      </w:r>
      <w:r>
        <w:rPr>
          <w:b w:val="0"/>
          <w:bCs/>
          <w:szCs w:val="24"/>
        </w:rPr>
        <w:t xml:space="preserve"> à la répartition des sommes ainsi saisies ; </w:t>
      </w:r>
      <w:r w:rsidR="00275833">
        <w:rPr>
          <w:b w:val="0"/>
          <w:bCs/>
          <w:szCs w:val="24"/>
        </w:rPr>
        <w:t>qu’au mois de décembre 2006, la quotité saisie était de 232,13 € ;</w:t>
      </w:r>
      <w:r w:rsidR="00DD462E" w:rsidRPr="00DD462E">
        <w:t xml:space="preserve"> </w:t>
      </w:r>
    </w:p>
    <w:p w:rsidR="002E6DA4" w:rsidRDefault="002E6DA4" w:rsidP="00754028">
      <w:pPr>
        <w:pStyle w:val="obs"/>
        <w:spacing w:before="0" w:after="480"/>
        <w:ind w:left="1701" w:firstLine="1134"/>
        <w:rPr>
          <w:b w:val="0"/>
          <w:bCs/>
          <w:szCs w:val="24"/>
        </w:rPr>
      </w:pPr>
    </w:p>
    <w:p w:rsidR="00DD462E" w:rsidRDefault="00DD462E" w:rsidP="00754028">
      <w:pPr>
        <w:pStyle w:val="obs"/>
        <w:spacing w:before="0" w:after="480"/>
        <w:ind w:left="1701" w:firstLine="1134"/>
        <w:rPr>
          <w:b w:val="0"/>
          <w:bCs/>
          <w:szCs w:val="24"/>
        </w:rPr>
      </w:pPr>
      <w:r w:rsidRPr="00DD462E">
        <w:rPr>
          <w:b w:val="0"/>
          <w:bCs/>
          <w:szCs w:val="24"/>
        </w:rPr>
        <w:lastRenderedPageBreak/>
        <w:t xml:space="preserve">Attendu </w:t>
      </w:r>
      <w:r>
        <w:rPr>
          <w:b w:val="0"/>
          <w:bCs/>
          <w:szCs w:val="24"/>
        </w:rPr>
        <w:t xml:space="preserve">au surplus </w:t>
      </w:r>
      <w:r w:rsidRPr="00DD462E">
        <w:rPr>
          <w:b w:val="0"/>
          <w:bCs/>
          <w:szCs w:val="24"/>
        </w:rPr>
        <w:t>que</w:t>
      </w:r>
      <w:r w:rsidR="007C383D">
        <w:rPr>
          <w:b w:val="0"/>
          <w:bCs/>
          <w:szCs w:val="24"/>
        </w:rPr>
        <w:t>,</w:t>
      </w:r>
      <w:r w:rsidRPr="00DD462E">
        <w:rPr>
          <w:b w:val="0"/>
          <w:bCs/>
          <w:szCs w:val="24"/>
        </w:rPr>
        <w:t xml:space="preserve"> selon le projet de rapport d’inspection de la commission bancaire, adressé le 27 février 2006 au président du conseil d’orientation et de surveillance de la ca</w:t>
      </w:r>
      <w:r>
        <w:rPr>
          <w:b w:val="0"/>
          <w:bCs/>
          <w:szCs w:val="24"/>
        </w:rPr>
        <w:t>isse, produit par l’appelant, « </w:t>
      </w:r>
      <w:r w:rsidRPr="000A5513">
        <w:rPr>
          <w:b w:val="0"/>
          <w:bCs/>
          <w:i/>
          <w:szCs w:val="24"/>
        </w:rPr>
        <w:t xml:space="preserve">les chances de recouvrement </w:t>
      </w:r>
      <w:r w:rsidRPr="00DD462E">
        <w:rPr>
          <w:b w:val="0"/>
          <w:bCs/>
          <w:szCs w:val="24"/>
        </w:rPr>
        <w:t xml:space="preserve">[de la créance] </w:t>
      </w:r>
      <w:r w:rsidRPr="000A5513">
        <w:rPr>
          <w:b w:val="0"/>
          <w:bCs/>
          <w:i/>
          <w:szCs w:val="24"/>
        </w:rPr>
        <w:t>sont, depuis l’origine, quasiment nulles </w:t>
      </w:r>
      <w:r w:rsidRPr="00DD462E">
        <w:rPr>
          <w:b w:val="0"/>
          <w:bCs/>
          <w:szCs w:val="24"/>
        </w:rPr>
        <w:t>» ;</w:t>
      </w:r>
      <w:r w:rsidRPr="00DD462E">
        <w:t xml:space="preserve"> </w:t>
      </w:r>
      <w:r w:rsidRPr="00DD462E">
        <w:rPr>
          <w:b w:val="0"/>
          <w:bCs/>
          <w:szCs w:val="24"/>
        </w:rPr>
        <w:t>qu’à cet égard</w:t>
      </w:r>
      <w:r>
        <w:rPr>
          <w:b w:val="0"/>
          <w:bCs/>
          <w:szCs w:val="24"/>
        </w:rPr>
        <w:t xml:space="preserve"> la chambre régionale, dans son</w:t>
      </w:r>
      <w:r w:rsidRPr="00DD462E">
        <w:rPr>
          <w:b w:val="0"/>
          <w:bCs/>
          <w:szCs w:val="24"/>
        </w:rPr>
        <w:t xml:space="preserve"> jugement du 8 décembre 2005</w:t>
      </w:r>
      <w:r w:rsidR="000A5513">
        <w:rPr>
          <w:b w:val="0"/>
          <w:bCs/>
          <w:szCs w:val="24"/>
        </w:rPr>
        <w:t>,</w:t>
      </w:r>
      <w:r>
        <w:rPr>
          <w:b w:val="0"/>
          <w:bCs/>
          <w:szCs w:val="24"/>
        </w:rPr>
        <w:t xml:space="preserve"> par lequel </w:t>
      </w:r>
      <w:r w:rsidRPr="00DD462E">
        <w:rPr>
          <w:b w:val="0"/>
          <w:bCs/>
          <w:szCs w:val="24"/>
        </w:rPr>
        <w:t xml:space="preserve">elle avait déchargé </w:t>
      </w:r>
      <w:r w:rsidR="00F514B1">
        <w:rPr>
          <w:b w:val="0"/>
          <w:bCs/>
          <w:szCs w:val="24"/>
        </w:rPr>
        <w:t>M. X</w:t>
      </w:r>
      <w:r w:rsidR="000E7F19" w:rsidRPr="00DD462E">
        <w:rPr>
          <w:b w:val="0"/>
          <w:bCs/>
          <w:szCs w:val="24"/>
        </w:rPr>
        <w:t xml:space="preserve"> </w:t>
      </w:r>
      <w:r w:rsidRPr="00DD462E">
        <w:rPr>
          <w:b w:val="0"/>
          <w:bCs/>
          <w:szCs w:val="24"/>
        </w:rPr>
        <w:t>de sa gestion jusqu’au 31 décembre 2002</w:t>
      </w:r>
      <w:r>
        <w:rPr>
          <w:b w:val="0"/>
          <w:bCs/>
          <w:szCs w:val="24"/>
        </w:rPr>
        <w:t>, avait considéré la période allant d’avril 1994</w:t>
      </w:r>
      <w:r w:rsidR="007D502A">
        <w:rPr>
          <w:b w:val="0"/>
          <w:bCs/>
          <w:szCs w:val="24"/>
        </w:rPr>
        <w:t xml:space="preserve"> à</w:t>
      </w:r>
      <w:r>
        <w:rPr>
          <w:b w:val="0"/>
          <w:bCs/>
          <w:szCs w:val="24"/>
        </w:rPr>
        <w:t xml:space="preserve"> juillet 2002 comme celle pendant laquelle le comptable « </w:t>
      </w:r>
      <w:r w:rsidRPr="000A5513">
        <w:rPr>
          <w:b w:val="0"/>
          <w:bCs/>
          <w:i/>
          <w:szCs w:val="24"/>
        </w:rPr>
        <w:t>était en mesure d’agir</w:t>
      </w:r>
      <w:r>
        <w:rPr>
          <w:b w:val="0"/>
          <w:bCs/>
          <w:szCs w:val="24"/>
        </w:rPr>
        <w:t> » pour recouvre</w:t>
      </w:r>
      <w:r w:rsidR="000A5513">
        <w:rPr>
          <w:b w:val="0"/>
          <w:bCs/>
          <w:szCs w:val="24"/>
        </w:rPr>
        <w:t>r</w:t>
      </w:r>
      <w:r>
        <w:rPr>
          <w:b w:val="0"/>
          <w:bCs/>
          <w:szCs w:val="24"/>
        </w:rPr>
        <w:t xml:space="preserve"> la créance sur </w:t>
      </w:r>
      <w:r w:rsidR="00F514B1">
        <w:rPr>
          <w:b w:val="0"/>
          <w:bCs/>
          <w:szCs w:val="24"/>
        </w:rPr>
        <w:t>M</w:t>
      </w:r>
      <w:r w:rsidR="00F514B1" w:rsidRPr="007D502A">
        <w:rPr>
          <w:b w:val="0"/>
          <w:bCs/>
          <w:szCs w:val="24"/>
          <w:vertAlign w:val="superscript"/>
        </w:rPr>
        <w:t>me</w:t>
      </w:r>
      <w:r w:rsidR="00F514B1">
        <w:rPr>
          <w:b w:val="0"/>
          <w:bCs/>
          <w:szCs w:val="24"/>
        </w:rPr>
        <w:t xml:space="preserve"> Y</w:t>
      </w:r>
      <w:r>
        <w:rPr>
          <w:b w:val="0"/>
          <w:bCs/>
          <w:szCs w:val="24"/>
        </w:rPr>
        <w:t>;</w:t>
      </w:r>
    </w:p>
    <w:p w:rsidR="000828D3" w:rsidRDefault="000828D3" w:rsidP="004A55C5">
      <w:pPr>
        <w:pStyle w:val="obs"/>
        <w:spacing w:before="0" w:after="480"/>
        <w:ind w:left="1701" w:firstLine="1134"/>
        <w:rPr>
          <w:b w:val="0"/>
          <w:bCs/>
          <w:szCs w:val="24"/>
        </w:rPr>
      </w:pPr>
      <w:r w:rsidRPr="003001E5">
        <w:rPr>
          <w:b w:val="0"/>
          <w:bCs/>
          <w:szCs w:val="24"/>
        </w:rPr>
        <w:t xml:space="preserve">Considérant dès lors que les possibilités de recouvrement étaient suffisamment réduites et aléatoires, en raison de la situation de </w:t>
      </w:r>
      <w:r w:rsidR="00F514B1">
        <w:rPr>
          <w:b w:val="0"/>
          <w:bCs/>
          <w:szCs w:val="24"/>
        </w:rPr>
        <w:t>M</w:t>
      </w:r>
      <w:r w:rsidR="00F514B1" w:rsidRPr="007D502A">
        <w:rPr>
          <w:b w:val="0"/>
          <w:bCs/>
          <w:szCs w:val="24"/>
          <w:vertAlign w:val="superscript"/>
        </w:rPr>
        <w:t>me</w:t>
      </w:r>
      <w:r w:rsidR="00F514B1">
        <w:rPr>
          <w:b w:val="0"/>
          <w:bCs/>
          <w:szCs w:val="24"/>
        </w:rPr>
        <w:t xml:space="preserve"> Y</w:t>
      </w:r>
      <w:r w:rsidRPr="003001E5">
        <w:rPr>
          <w:b w:val="0"/>
          <w:bCs/>
          <w:szCs w:val="24"/>
        </w:rPr>
        <w:t xml:space="preserve"> au 27 mars 2007, pour considérer à bon droit la créance concernée comme </w:t>
      </w:r>
      <w:r w:rsidR="000E7F19" w:rsidRPr="003001E5">
        <w:rPr>
          <w:b w:val="0"/>
          <w:bCs/>
          <w:szCs w:val="24"/>
        </w:rPr>
        <w:t xml:space="preserve">irrécouvrable </w:t>
      </w:r>
      <w:r w:rsidRPr="003001E5">
        <w:rPr>
          <w:b w:val="0"/>
          <w:bCs/>
          <w:szCs w:val="24"/>
        </w:rPr>
        <w:t>au moment où elle a été admise en non-valeur</w:t>
      </w:r>
      <w:r w:rsidR="007D502A">
        <w:rPr>
          <w:b w:val="0"/>
          <w:bCs/>
          <w:szCs w:val="24"/>
        </w:rPr>
        <w:t> </w:t>
      </w:r>
      <w:r w:rsidRPr="003001E5">
        <w:rPr>
          <w:b w:val="0"/>
          <w:bCs/>
          <w:szCs w:val="24"/>
        </w:rPr>
        <w:t>; que l’élément à charge relevé par le réquisitoire manque ainsi en fait</w:t>
      </w:r>
      <w:r w:rsidR="007D502A">
        <w:rPr>
          <w:b w:val="0"/>
          <w:bCs/>
          <w:szCs w:val="24"/>
        </w:rPr>
        <w:t> </w:t>
      </w:r>
      <w:r w:rsidRPr="003001E5">
        <w:rPr>
          <w:b w:val="0"/>
          <w:bCs/>
          <w:szCs w:val="24"/>
        </w:rPr>
        <w:t>; que dès lors, il y a lieu d’infirmer le jugement et de dire n’y avoir lieu à charge au titre du paiement du mandat litigieux ;</w:t>
      </w:r>
    </w:p>
    <w:p w:rsidR="001F7EFE" w:rsidRPr="00A7720B" w:rsidRDefault="00125062" w:rsidP="00121206">
      <w:pPr>
        <w:pStyle w:val="obs"/>
        <w:spacing w:before="0" w:after="360"/>
        <w:ind w:left="1701" w:firstLine="1134"/>
        <w:rPr>
          <w:i/>
        </w:rPr>
      </w:pPr>
      <w:r w:rsidRPr="00A7720B">
        <w:rPr>
          <w:i/>
        </w:rPr>
        <w:t>Sur les frais irrépétibles</w:t>
      </w:r>
      <w:r w:rsidR="001F7EFE" w:rsidRPr="00A7720B">
        <w:rPr>
          <w:i/>
        </w:rPr>
        <w:tab/>
      </w:r>
    </w:p>
    <w:p w:rsidR="00A7720B" w:rsidRDefault="00A7720B">
      <w:pPr>
        <w:pStyle w:val="PS"/>
      </w:pPr>
      <w:r>
        <w:t>Attendu que l’appelant demande le</w:t>
      </w:r>
      <w:r w:rsidR="004A55C5">
        <w:t xml:space="preserve"> versement de la somme de 1 500 </w:t>
      </w:r>
      <w:r w:rsidR="00956915">
        <w:t>€</w:t>
      </w:r>
      <w:r>
        <w:t xml:space="preserve"> augmentée du timbre fiscal de 35 €</w:t>
      </w:r>
      <w:r w:rsidR="00956915">
        <w:t xml:space="preserve"> au titre des frais qu’il a exposé pour interjeter appel</w:t>
      </w:r>
      <w:r w:rsidR="00815B44">
        <w:t> ;</w:t>
      </w:r>
    </w:p>
    <w:p w:rsidR="00BF4149" w:rsidRPr="00BF4149" w:rsidRDefault="000E7F19" w:rsidP="00F51B8F">
      <w:pPr>
        <w:suppressAutoHyphens w:val="0"/>
        <w:spacing w:before="100" w:beforeAutospacing="1" w:after="482" w:line="240" w:lineRule="auto"/>
        <w:ind w:left="1701" w:firstLine="1134"/>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Considérant</w:t>
      </w:r>
      <w:r w:rsidR="00BF4149" w:rsidRPr="00BF4149">
        <w:rPr>
          <w:rFonts w:ascii="Times New Roman" w:eastAsia="Times New Roman" w:hAnsi="Times New Roman" w:cs="Times New Roman"/>
          <w:color w:val="000000"/>
          <w:sz w:val="24"/>
          <w:szCs w:val="24"/>
          <w:lang w:eastAsia="fr-FR"/>
        </w:rPr>
        <w:t xml:space="preserve"> qu'il n'entre pas dans les compétences du juge des comptes de se prononcer sur la condamnation d'une collectivité publique au paiement des frais et dépens</w:t>
      </w:r>
      <w:r w:rsidR="007D502A">
        <w:rPr>
          <w:rFonts w:ascii="Times New Roman" w:eastAsia="Times New Roman" w:hAnsi="Times New Roman" w:cs="Times New Roman"/>
          <w:color w:val="000000"/>
          <w:sz w:val="24"/>
          <w:szCs w:val="24"/>
          <w:lang w:eastAsia="fr-FR"/>
        </w:rPr>
        <w:t> </w:t>
      </w:r>
      <w:r w:rsidR="00BF4149" w:rsidRPr="00BF4149">
        <w:rPr>
          <w:rFonts w:ascii="Times New Roman" w:eastAsia="Times New Roman" w:hAnsi="Times New Roman" w:cs="Times New Roman"/>
          <w:color w:val="000000"/>
          <w:sz w:val="24"/>
          <w:szCs w:val="24"/>
          <w:lang w:eastAsia="fr-FR"/>
        </w:rPr>
        <w:t xml:space="preserve">; que, par suite, la demande de </w:t>
      </w:r>
      <w:r w:rsidR="00BF4149">
        <w:rPr>
          <w:rFonts w:ascii="Times New Roman" w:eastAsia="Times New Roman" w:hAnsi="Times New Roman" w:cs="Times New Roman"/>
          <w:color w:val="000000"/>
          <w:sz w:val="24"/>
          <w:szCs w:val="24"/>
          <w:lang w:eastAsia="fr-FR"/>
        </w:rPr>
        <w:t xml:space="preserve">l’appelant </w:t>
      </w:r>
      <w:r w:rsidR="00BF4149" w:rsidRPr="00BF4149">
        <w:rPr>
          <w:rFonts w:ascii="Times New Roman" w:eastAsia="Times New Roman" w:hAnsi="Times New Roman" w:cs="Times New Roman"/>
          <w:color w:val="000000"/>
          <w:sz w:val="24"/>
          <w:szCs w:val="24"/>
          <w:lang w:eastAsia="fr-FR"/>
        </w:rPr>
        <w:t>est irrecevable</w:t>
      </w:r>
      <w:r w:rsidR="007D502A">
        <w:rPr>
          <w:rFonts w:ascii="Times New Roman" w:eastAsia="Times New Roman" w:hAnsi="Times New Roman" w:cs="Times New Roman"/>
          <w:color w:val="000000"/>
          <w:sz w:val="24"/>
          <w:szCs w:val="24"/>
          <w:lang w:eastAsia="fr-FR"/>
        </w:rPr>
        <w:t> ;</w:t>
      </w:r>
    </w:p>
    <w:p w:rsidR="001F7EFE" w:rsidRDefault="001F7EFE" w:rsidP="00121206">
      <w:pPr>
        <w:pStyle w:val="PS"/>
        <w:spacing w:after="240"/>
      </w:pPr>
      <w:r>
        <w:t>Par ces motifs,</w:t>
      </w:r>
    </w:p>
    <w:p w:rsidR="001F7EFE" w:rsidRDefault="001F7EFE" w:rsidP="002E6DA4">
      <w:pPr>
        <w:pStyle w:val="P0"/>
        <w:spacing w:after="360"/>
        <w:jc w:val="center"/>
      </w:pPr>
      <w:r>
        <w:t>DECIDE :</w:t>
      </w:r>
    </w:p>
    <w:p w:rsidR="00C3393F" w:rsidRDefault="00956915" w:rsidP="00F51B8F">
      <w:pPr>
        <w:pStyle w:val="P0"/>
        <w:suppressAutoHyphens w:val="0"/>
        <w:spacing w:before="100" w:beforeAutospacing="1" w:after="482"/>
      </w:pPr>
      <w:r>
        <w:t xml:space="preserve">Article </w:t>
      </w:r>
      <w:r w:rsidR="004A55C5">
        <w:t>1</w:t>
      </w:r>
      <w:r w:rsidR="008D540E" w:rsidRPr="008D540E">
        <w:rPr>
          <w:vertAlign w:val="superscript"/>
        </w:rPr>
        <w:t>er</w:t>
      </w:r>
      <w:r w:rsidR="008D540E">
        <w:t xml:space="preserve"> </w:t>
      </w:r>
      <w:r w:rsidR="004A55C5">
        <w:t xml:space="preserve"> - </w:t>
      </w:r>
      <w:r w:rsidR="00E93BA7">
        <w:t>L</w:t>
      </w:r>
      <w:r w:rsidR="00754028">
        <w:t xml:space="preserve">e jugement de la chambre régionale des comptes est infirmé en ce qu’il </w:t>
      </w:r>
      <w:r w:rsidR="000A5513">
        <w:t xml:space="preserve">a constitué </w:t>
      </w:r>
      <w:r w:rsidR="00F514B1">
        <w:t>M. X</w:t>
      </w:r>
      <w:r w:rsidR="00125062">
        <w:t xml:space="preserve"> </w:t>
      </w:r>
      <w:r w:rsidR="000A5513">
        <w:t xml:space="preserve">débiteur </w:t>
      </w:r>
      <w:r w:rsidR="000E7F19">
        <w:t>de la caisse de crédit municipal du Havre</w:t>
      </w:r>
      <w:r w:rsidR="000E7F19" w:rsidRPr="00956915">
        <w:t xml:space="preserve"> </w:t>
      </w:r>
      <w:r w:rsidR="000E7F19">
        <w:t xml:space="preserve">de la somme de </w:t>
      </w:r>
      <w:r w:rsidRPr="00956915">
        <w:t>341</w:t>
      </w:r>
      <w:r>
        <w:t> </w:t>
      </w:r>
      <w:r w:rsidRPr="00956915">
        <w:t>218,67</w:t>
      </w:r>
      <w:r>
        <w:t> </w:t>
      </w:r>
      <w:r w:rsidRPr="00956915">
        <w:t>€</w:t>
      </w:r>
      <w:r w:rsidR="008D540E">
        <w:t>.</w:t>
      </w:r>
    </w:p>
    <w:p w:rsidR="00B66638" w:rsidRDefault="00B66638" w:rsidP="00F51B8F">
      <w:pPr>
        <w:pStyle w:val="P0"/>
        <w:suppressAutoHyphens w:val="0"/>
        <w:spacing w:before="100" w:beforeAutospacing="1" w:after="482"/>
      </w:pPr>
      <w:r w:rsidRPr="00587981">
        <w:t xml:space="preserve">Article 2 – Il n’y a pas lieu à charge à raison du paiement </w:t>
      </w:r>
      <w:r w:rsidR="007D2CE1" w:rsidRPr="00587981">
        <w:t>du mandat n° 08009 du 27 mars 2007</w:t>
      </w:r>
      <w:r w:rsidRPr="00587981">
        <w:t>.</w:t>
      </w:r>
    </w:p>
    <w:p w:rsidR="001F7EFE" w:rsidRDefault="004A55C5" w:rsidP="00121206">
      <w:pPr>
        <w:pStyle w:val="P0"/>
        <w:suppressAutoHyphens w:val="0"/>
        <w:spacing w:before="100" w:beforeAutospacing="1" w:after="360"/>
      </w:pPr>
      <w:r>
        <w:t xml:space="preserve">Article </w:t>
      </w:r>
      <w:r w:rsidR="00B66638">
        <w:t xml:space="preserve">3 </w:t>
      </w:r>
      <w:r>
        <w:t>– La demande de versement de la somme de 1 535 € au titre des frais irrépétibles est irrecevable.</w:t>
      </w:r>
    </w:p>
    <w:p w:rsidR="001F7EFE" w:rsidRPr="00C3393F" w:rsidRDefault="00C3393F" w:rsidP="00C3393F">
      <w:pPr>
        <w:spacing w:after="0" w:line="240" w:lineRule="auto"/>
        <w:ind w:left="567"/>
        <w:jc w:val="center"/>
        <w:rPr>
          <w:rFonts w:ascii="Times New Roman" w:eastAsia="Times New Roman" w:hAnsi="Times New Roman"/>
          <w:sz w:val="20"/>
          <w:szCs w:val="24"/>
        </w:rPr>
      </w:pPr>
      <w:r>
        <w:rPr>
          <w:rFonts w:ascii="Times New Roman" w:eastAsia="Times New Roman" w:hAnsi="Times New Roman"/>
          <w:sz w:val="20"/>
          <w:szCs w:val="24"/>
        </w:rPr>
        <w:t>---------------</w:t>
      </w:r>
    </w:p>
    <w:p w:rsidR="00C3393F" w:rsidRDefault="00C3393F">
      <w:pPr>
        <w:pStyle w:val="PS"/>
        <w:ind w:firstLine="0"/>
        <w:jc w:val="center"/>
      </w:pPr>
    </w:p>
    <w:p w:rsidR="001F7EFE" w:rsidRDefault="001F7EFE">
      <w:pPr>
        <w:pStyle w:val="PS"/>
        <w:spacing w:after="600"/>
      </w:pPr>
      <w:r>
        <w:t>Fait et jugé en la Cour des comptes, quatrième chambre, première section. Présents : M.</w:t>
      </w:r>
      <w:r>
        <w:rPr>
          <w:sz w:val="28"/>
        </w:rPr>
        <w:t> </w:t>
      </w:r>
      <w:r w:rsidR="004A55C5" w:rsidRPr="004A55C5">
        <w:t>Vachia</w:t>
      </w:r>
      <w:r>
        <w:rPr>
          <w:sz w:val="28"/>
        </w:rPr>
        <w:t xml:space="preserve"> </w:t>
      </w:r>
      <w:r>
        <w:t xml:space="preserve">président, </w:t>
      </w:r>
      <w:r w:rsidR="004A55C5">
        <w:t>M</w:t>
      </w:r>
      <w:r>
        <w:t xml:space="preserve">. </w:t>
      </w:r>
      <w:r w:rsidR="004A55C5">
        <w:t>Ganser,</w:t>
      </w:r>
      <w:r>
        <w:t xml:space="preserve"> président de section, MM. </w:t>
      </w:r>
      <w:r w:rsidR="00C836FA">
        <w:t>Lafaure, Bertucci,</w:t>
      </w:r>
      <w:r w:rsidR="007D502A">
        <w:t xml:space="preserve"> </w:t>
      </w:r>
      <w:r>
        <w:t>M</w:t>
      </w:r>
      <w:r w:rsidRPr="007D502A">
        <w:rPr>
          <w:vertAlign w:val="superscript"/>
        </w:rPr>
        <w:t>me</w:t>
      </w:r>
      <w:r w:rsidR="00C836FA" w:rsidRPr="007D502A">
        <w:rPr>
          <w:vertAlign w:val="superscript"/>
        </w:rPr>
        <w:t>s</w:t>
      </w:r>
      <w:r w:rsidR="00C836FA">
        <w:t xml:space="preserve"> Dos-Reis, Gadriot-Renard et M.</w:t>
      </w:r>
      <w:r w:rsidR="007D502A">
        <w:t> </w:t>
      </w:r>
      <w:bookmarkStart w:id="0" w:name="_GoBack"/>
      <w:bookmarkEnd w:id="0"/>
      <w:r w:rsidR="00C836FA">
        <w:t>Geoffroy,</w:t>
      </w:r>
      <w:r>
        <w:t xml:space="preserve">  conseillers maîtres.</w:t>
      </w:r>
    </w:p>
    <w:p w:rsidR="00B97D32" w:rsidRPr="0047651F" w:rsidRDefault="00B97D32" w:rsidP="00B97D32">
      <w:pPr>
        <w:pStyle w:val="PS"/>
      </w:pPr>
      <w:r w:rsidRPr="0047651F">
        <w:t>Signé : </w:t>
      </w:r>
      <w:r>
        <w:t>Vachia</w:t>
      </w:r>
      <w:r w:rsidRPr="0047651F">
        <w:t>, président, et Férez, greffier.</w:t>
      </w:r>
    </w:p>
    <w:p w:rsidR="00B97D32" w:rsidRPr="0047651F" w:rsidRDefault="00B97D32" w:rsidP="00B97D32">
      <w:pPr>
        <w:pStyle w:val="PS"/>
      </w:pPr>
      <w:r w:rsidRPr="0047651F">
        <w:t>Collationné, certifié conforme à la minute étant au greffe de la Cour des comptes et délivré par moi, secrétaire général.</w:t>
      </w:r>
    </w:p>
    <w:p w:rsidR="00B97D32" w:rsidRPr="0047651F" w:rsidRDefault="00B97D32" w:rsidP="00B97D32">
      <w:pPr>
        <w:pStyle w:val="P0"/>
        <w:spacing w:before="240"/>
        <w:ind w:left="2268" w:firstLine="2835"/>
        <w:jc w:val="center"/>
        <w:rPr>
          <w:b/>
        </w:rPr>
      </w:pPr>
      <w:r w:rsidRPr="0047651F">
        <w:rPr>
          <w:b/>
        </w:rPr>
        <w:t>Pour le Secrétaire général</w:t>
      </w:r>
    </w:p>
    <w:p w:rsidR="00B97D32" w:rsidRPr="0047651F" w:rsidRDefault="00B97D32" w:rsidP="00B97D32">
      <w:pPr>
        <w:pStyle w:val="P0"/>
        <w:ind w:left="2268" w:firstLine="2835"/>
        <w:jc w:val="center"/>
        <w:rPr>
          <w:b/>
        </w:rPr>
      </w:pPr>
      <w:r w:rsidRPr="0047651F">
        <w:rPr>
          <w:b/>
        </w:rPr>
        <w:t>et par délégation,</w:t>
      </w:r>
    </w:p>
    <w:p w:rsidR="00B97D32" w:rsidRPr="0047651F" w:rsidRDefault="00B97D32" w:rsidP="00B97D32">
      <w:pPr>
        <w:pStyle w:val="P0"/>
        <w:ind w:left="2268" w:firstLine="2835"/>
        <w:jc w:val="center"/>
        <w:rPr>
          <w:b/>
        </w:rPr>
      </w:pPr>
      <w:r w:rsidRPr="0047651F">
        <w:rPr>
          <w:b/>
        </w:rPr>
        <w:t>le Chef du Greffe contentieux</w:t>
      </w:r>
    </w:p>
    <w:p w:rsidR="00B97D32" w:rsidRPr="0047651F" w:rsidRDefault="00B97D32" w:rsidP="00B97D32">
      <w:pPr>
        <w:pStyle w:val="P0"/>
        <w:ind w:left="2268" w:firstLine="2835"/>
        <w:jc w:val="center"/>
        <w:rPr>
          <w:b/>
        </w:rPr>
      </w:pPr>
    </w:p>
    <w:p w:rsidR="00B97D32" w:rsidRPr="0047651F" w:rsidRDefault="00B97D32" w:rsidP="00B97D32">
      <w:pPr>
        <w:pStyle w:val="P0"/>
        <w:ind w:left="2268" w:firstLine="2835"/>
        <w:jc w:val="center"/>
        <w:rPr>
          <w:b/>
        </w:rPr>
      </w:pPr>
    </w:p>
    <w:p w:rsidR="00B97D32" w:rsidRPr="0047651F" w:rsidRDefault="00B97D32" w:rsidP="00B97D32">
      <w:pPr>
        <w:pStyle w:val="P0"/>
        <w:ind w:left="2268" w:firstLine="2835"/>
        <w:jc w:val="center"/>
        <w:rPr>
          <w:b/>
        </w:rPr>
      </w:pPr>
    </w:p>
    <w:p w:rsidR="00B97D32" w:rsidRPr="0047651F" w:rsidRDefault="00B97D32" w:rsidP="00B97D32">
      <w:pPr>
        <w:pStyle w:val="P0"/>
        <w:ind w:left="2268" w:firstLine="2835"/>
        <w:jc w:val="center"/>
        <w:rPr>
          <w:b/>
        </w:rPr>
      </w:pPr>
    </w:p>
    <w:p w:rsidR="00B97D32" w:rsidRPr="0047651F" w:rsidRDefault="00B97D32" w:rsidP="00B97D32">
      <w:pPr>
        <w:pStyle w:val="P0"/>
        <w:ind w:left="2268" w:firstLine="2835"/>
        <w:jc w:val="center"/>
        <w:rPr>
          <w:b/>
        </w:rPr>
      </w:pPr>
    </w:p>
    <w:p w:rsidR="00B97D32" w:rsidRPr="0047651F" w:rsidRDefault="00B97D32" w:rsidP="00B97D32">
      <w:pPr>
        <w:pStyle w:val="P0"/>
        <w:ind w:left="2268" w:firstLine="2835"/>
        <w:jc w:val="center"/>
        <w:rPr>
          <w:b/>
        </w:rPr>
      </w:pPr>
    </w:p>
    <w:p w:rsidR="00B97D32" w:rsidRPr="0047651F" w:rsidRDefault="00B97D32" w:rsidP="00B97D32">
      <w:pPr>
        <w:pStyle w:val="P0"/>
        <w:ind w:left="2268" w:firstLine="2835"/>
        <w:jc w:val="center"/>
        <w:rPr>
          <w:b/>
        </w:rPr>
      </w:pPr>
    </w:p>
    <w:p w:rsidR="00B97D32" w:rsidRPr="0047651F" w:rsidRDefault="00B97D32" w:rsidP="00B97D32">
      <w:pPr>
        <w:pStyle w:val="P0"/>
        <w:ind w:left="2268" w:firstLine="2835"/>
        <w:jc w:val="center"/>
        <w:rPr>
          <w:b/>
        </w:rPr>
      </w:pPr>
    </w:p>
    <w:p w:rsidR="00B97D32" w:rsidRPr="0047651F" w:rsidRDefault="00B97D32" w:rsidP="00B97D32">
      <w:pPr>
        <w:pStyle w:val="P0"/>
        <w:ind w:left="2268" w:firstLine="2835"/>
        <w:jc w:val="center"/>
        <w:rPr>
          <w:b/>
        </w:rPr>
      </w:pPr>
      <w:r w:rsidRPr="0047651F">
        <w:rPr>
          <w:b/>
        </w:rPr>
        <w:t>Daniel FEREZ</w:t>
      </w:r>
    </w:p>
    <w:p w:rsidR="008D540E" w:rsidRPr="008D540E" w:rsidRDefault="008D540E" w:rsidP="008D540E">
      <w:pPr>
        <w:suppressAutoHyphens w:val="0"/>
        <w:spacing w:after="480" w:line="240" w:lineRule="auto"/>
        <w:ind w:left="426" w:firstLine="1134"/>
        <w:jc w:val="both"/>
        <w:rPr>
          <w:rFonts w:ascii="Times New Roman" w:eastAsia="Times New Roman" w:hAnsi="Times New Roman" w:cs="Times New Roman"/>
          <w:sz w:val="24"/>
          <w:szCs w:val="24"/>
          <w:lang w:eastAsia="fr-FR"/>
        </w:rPr>
      </w:pPr>
    </w:p>
    <w:p w:rsidR="001F7EFE" w:rsidRDefault="001F7EFE"/>
    <w:sectPr w:rsidR="001F7EFE">
      <w:footerReference w:type="default" r:id="rId7"/>
      <w:pgSz w:w="11905" w:h="16837"/>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885" w:rsidRDefault="00845885">
      <w:pPr>
        <w:spacing w:after="0" w:line="240" w:lineRule="auto"/>
      </w:pPr>
      <w:r>
        <w:separator/>
      </w:r>
    </w:p>
  </w:endnote>
  <w:endnote w:type="continuationSeparator" w:id="0">
    <w:p w:rsidR="00845885" w:rsidRDefault="0084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G Times">
    <w:altName w:val="Times New Roman"/>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C37" w:rsidRDefault="00023C37">
    <w:pPr>
      <w:pStyle w:val="Pieddepage"/>
      <w:jc w:val="right"/>
    </w:pPr>
    <w:r>
      <w:fldChar w:fldCharType="begin"/>
    </w:r>
    <w:r>
      <w:instrText>PAGE   \* MERGEFORMAT</w:instrText>
    </w:r>
    <w:r>
      <w:fldChar w:fldCharType="separate"/>
    </w:r>
    <w:r w:rsidR="007D502A">
      <w:rPr>
        <w:noProof/>
      </w:rPr>
      <w:t>6</w:t>
    </w:r>
    <w:r>
      <w:fldChar w:fldCharType="end"/>
    </w:r>
  </w:p>
  <w:p w:rsidR="00023C37" w:rsidRDefault="00023C3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885" w:rsidRDefault="00845885">
      <w:pPr>
        <w:spacing w:after="0" w:line="240" w:lineRule="auto"/>
      </w:pPr>
      <w:r>
        <w:separator/>
      </w:r>
    </w:p>
  </w:footnote>
  <w:footnote w:type="continuationSeparator" w:id="0">
    <w:p w:rsidR="00845885" w:rsidRDefault="00845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revisionView w:inkAnnotation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393F"/>
    <w:rsid w:val="00023C37"/>
    <w:rsid w:val="00034123"/>
    <w:rsid w:val="00062D7B"/>
    <w:rsid w:val="000828D3"/>
    <w:rsid w:val="00094A7F"/>
    <w:rsid w:val="000A001D"/>
    <w:rsid w:val="000A5513"/>
    <w:rsid w:val="000C381A"/>
    <w:rsid w:val="000E7F19"/>
    <w:rsid w:val="00117D74"/>
    <w:rsid w:val="00121206"/>
    <w:rsid w:val="00125062"/>
    <w:rsid w:val="00127B5E"/>
    <w:rsid w:val="00186D18"/>
    <w:rsid w:val="00190B79"/>
    <w:rsid w:val="001A1351"/>
    <w:rsid w:val="001A461C"/>
    <w:rsid w:val="001E0A22"/>
    <w:rsid w:val="001F7EFE"/>
    <w:rsid w:val="00222504"/>
    <w:rsid w:val="00223424"/>
    <w:rsid w:val="00275833"/>
    <w:rsid w:val="00283128"/>
    <w:rsid w:val="00292996"/>
    <w:rsid w:val="002A1EFA"/>
    <w:rsid w:val="002E6DA4"/>
    <w:rsid w:val="003001E5"/>
    <w:rsid w:val="00336724"/>
    <w:rsid w:val="0038280B"/>
    <w:rsid w:val="003B177C"/>
    <w:rsid w:val="003D0AC6"/>
    <w:rsid w:val="003D6333"/>
    <w:rsid w:val="0046634E"/>
    <w:rsid w:val="0047325E"/>
    <w:rsid w:val="004A55C5"/>
    <w:rsid w:val="00525EBD"/>
    <w:rsid w:val="0053269A"/>
    <w:rsid w:val="005331E6"/>
    <w:rsid w:val="00587981"/>
    <w:rsid w:val="005C7C38"/>
    <w:rsid w:val="005D788D"/>
    <w:rsid w:val="005E47CC"/>
    <w:rsid w:val="00623EF6"/>
    <w:rsid w:val="00626104"/>
    <w:rsid w:val="00646BAE"/>
    <w:rsid w:val="0065075B"/>
    <w:rsid w:val="00656BD4"/>
    <w:rsid w:val="00675140"/>
    <w:rsid w:val="00711649"/>
    <w:rsid w:val="0075192D"/>
    <w:rsid w:val="00754028"/>
    <w:rsid w:val="007C383D"/>
    <w:rsid w:val="007D2CE1"/>
    <w:rsid w:val="007D502A"/>
    <w:rsid w:val="007F2B2D"/>
    <w:rsid w:val="008115FE"/>
    <w:rsid w:val="00815B44"/>
    <w:rsid w:val="00837425"/>
    <w:rsid w:val="00843480"/>
    <w:rsid w:val="00845885"/>
    <w:rsid w:val="00863927"/>
    <w:rsid w:val="00886520"/>
    <w:rsid w:val="00892190"/>
    <w:rsid w:val="008B399A"/>
    <w:rsid w:val="008B5136"/>
    <w:rsid w:val="008C5B95"/>
    <w:rsid w:val="008C6C4A"/>
    <w:rsid w:val="008D540E"/>
    <w:rsid w:val="008E7D92"/>
    <w:rsid w:val="00911308"/>
    <w:rsid w:val="00915AD6"/>
    <w:rsid w:val="0094194A"/>
    <w:rsid w:val="00951ED7"/>
    <w:rsid w:val="00956915"/>
    <w:rsid w:val="00980945"/>
    <w:rsid w:val="00983C9B"/>
    <w:rsid w:val="009935AD"/>
    <w:rsid w:val="009A7BC7"/>
    <w:rsid w:val="009E54AD"/>
    <w:rsid w:val="00A37510"/>
    <w:rsid w:val="00A7720B"/>
    <w:rsid w:val="00AD2DEE"/>
    <w:rsid w:val="00AD512E"/>
    <w:rsid w:val="00AE77E2"/>
    <w:rsid w:val="00B3233F"/>
    <w:rsid w:val="00B66638"/>
    <w:rsid w:val="00B77109"/>
    <w:rsid w:val="00B90AD4"/>
    <w:rsid w:val="00B97D32"/>
    <w:rsid w:val="00BA6450"/>
    <w:rsid w:val="00BC7E4E"/>
    <w:rsid w:val="00BE55DA"/>
    <w:rsid w:val="00BF4149"/>
    <w:rsid w:val="00C309F5"/>
    <w:rsid w:val="00C3393F"/>
    <w:rsid w:val="00C42F18"/>
    <w:rsid w:val="00C7315A"/>
    <w:rsid w:val="00C824B5"/>
    <w:rsid w:val="00C836FA"/>
    <w:rsid w:val="00C87570"/>
    <w:rsid w:val="00C973E4"/>
    <w:rsid w:val="00CB3F15"/>
    <w:rsid w:val="00CC1522"/>
    <w:rsid w:val="00D343D7"/>
    <w:rsid w:val="00D3568E"/>
    <w:rsid w:val="00D41E2C"/>
    <w:rsid w:val="00D8326C"/>
    <w:rsid w:val="00DA5F2F"/>
    <w:rsid w:val="00DB2F31"/>
    <w:rsid w:val="00DB4F4F"/>
    <w:rsid w:val="00DD462E"/>
    <w:rsid w:val="00DE2B07"/>
    <w:rsid w:val="00E700EB"/>
    <w:rsid w:val="00E933C3"/>
    <w:rsid w:val="00E93BA7"/>
    <w:rsid w:val="00EB66CA"/>
    <w:rsid w:val="00EC3C8D"/>
    <w:rsid w:val="00EF011A"/>
    <w:rsid w:val="00F007DF"/>
    <w:rsid w:val="00F514B1"/>
    <w:rsid w:val="00F51B8F"/>
    <w:rsid w:val="00F550FF"/>
    <w:rsid w:val="00F56ACC"/>
    <w:rsid w:val="00FC58D1"/>
    <w:rsid w:val="00FF6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Times New Roman" w:eastAsia="Times New Roman" w:hAnsi="Times New Roman"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Policepardfaut1">
    <w:name w:val="Police par défaut1"/>
  </w:style>
  <w:style w:type="character" w:customStyle="1" w:styleId="En-tteCar">
    <w:name w:val="En-tête Car"/>
    <w:rPr>
      <w:rFonts w:ascii="Times New Roman" w:eastAsia="Times New Roman" w:hAnsi="Times New Roman"/>
    </w:rPr>
  </w:style>
  <w:style w:type="character" w:customStyle="1" w:styleId="P0Car">
    <w:name w:val="P0 Car"/>
    <w:rPr>
      <w:rFonts w:ascii="Times New Roman" w:eastAsia="Times New Roman" w:hAnsi="Times New Roman"/>
      <w:sz w:val="24"/>
      <w:szCs w:val="24"/>
    </w:rPr>
  </w:style>
  <w:style w:type="character" w:customStyle="1" w:styleId="TextedebullesCar">
    <w:name w:val="Texte de bulles Car"/>
    <w:rPr>
      <w:rFonts w:ascii="Tahoma" w:hAnsi="Tahoma" w:cs="Tahoma"/>
      <w:sz w:val="16"/>
      <w:szCs w:val="16"/>
    </w:rPr>
  </w:style>
  <w:style w:type="character" w:customStyle="1" w:styleId="PSCar">
    <w:name w:val="PS Car"/>
    <w:rPr>
      <w:rFonts w:ascii="Times New Roman" w:eastAsia="Times New Roman" w:hAnsi="Times New Roman"/>
      <w:sz w:val="24"/>
      <w:szCs w:val="24"/>
    </w:rPr>
  </w:style>
  <w:style w:type="character" w:customStyle="1" w:styleId="Caractredenotedebasdepage">
    <w:name w:val="Caractère de note de bas de page"/>
    <w:rPr>
      <w:vertAlign w:val="superscript"/>
    </w:rPr>
  </w:style>
  <w:style w:type="character" w:customStyle="1" w:styleId="NotedebasdepageCar">
    <w:name w:val="Note de bas de page Car"/>
    <w:rPr>
      <w:rFonts w:ascii="Times New Roman" w:eastAsia="Times New Roman" w:hAnsi="Times New Roman"/>
    </w:rPr>
  </w:style>
  <w:style w:type="character" w:styleId="Appelnotedebasdep">
    <w:name w:val="footnote reference"/>
    <w:semiHidden/>
    <w:rPr>
      <w:vertAlign w:val="superscript"/>
    </w:rPr>
  </w:style>
  <w:style w:type="character" w:styleId="Appeldenotedefin">
    <w:name w:val="endnote reference"/>
    <w:semiHidden/>
    <w:rPr>
      <w:vertAlign w:val="superscript"/>
    </w:rPr>
  </w:style>
  <w:style w:type="character" w:customStyle="1" w:styleId="Caractredenotedefin">
    <w:name w:val="Caractère de note de fin"/>
  </w:style>
  <w:style w:type="paragraph" w:customStyle="1" w:styleId="Titre1">
    <w:name w:val="Titre1"/>
    <w:basedOn w:val="Normal"/>
    <w:next w:val="Corpsdetexte"/>
    <w:pPr>
      <w:keepNext/>
      <w:spacing w:before="240" w:after="120"/>
    </w:pPr>
    <w:rPr>
      <w:rFonts w:ascii="Arial" w:eastAsia="MS Mincho" w:hAnsi="Arial" w:cs="Tahoma"/>
      <w:sz w:val="28"/>
      <w:szCs w:val="28"/>
    </w:rPr>
  </w:style>
  <w:style w:type="paragraph" w:styleId="Corpsdetexte">
    <w:name w:val="Body Text"/>
    <w:basedOn w:val="Normal"/>
    <w:semiHidden/>
    <w:pPr>
      <w:spacing w:after="120"/>
    </w:pPr>
  </w:style>
  <w:style w:type="paragraph" w:styleId="Liste">
    <w:name w:val="List"/>
    <w:basedOn w:val="Corpsdetexte"/>
    <w:semiHidden/>
    <w:rPr>
      <w:rFonts w:cs="Tahoma"/>
    </w:rPr>
  </w:style>
  <w:style w:type="paragraph" w:customStyle="1" w:styleId="Lgende1">
    <w:name w:val="Légende1"/>
    <w:basedOn w:val="Normal"/>
    <w:pPr>
      <w:suppressLineNumbers/>
      <w:spacing w:before="120" w:after="120"/>
    </w:pPr>
    <w:rPr>
      <w:rFonts w:cs="Tahoma"/>
      <w:i/>
      <w:iCs/>
      <w:sz w:val="24"/>
      <w:szCs w:val="24"/>
    </w:rPr>
  </w:style>
  <w:style w:type="paragraph" w:customStyle="1" w:styleId="Rpertoire">
    <w:name w:val="Répertoire"/>
    <w:basedOn w:val="Normal"/>
    <w:pPr>
      <w:suppressLineNumbers/>
    </w:pPr>
    <w:rPr>
      <w:rFonts w:cs="Tahoma"/>
    </w:rPr>
  </w:style>
  <w:style w:type="paragraph" w:styleId="En-tte">
    <w:name w:val="header"/>
    <w:basedOn w:val="Normal"/>
    <w:semiHidden/>
    <w:pPr>
      <w:tabs>
        <w:tab w:val="center" w:pos="4819"/>
        <w:tab w:val="right" w:pos="9071"/>
      </w:tabs>
      <w:spacing w:after="0" w:line="240" w:lineRule="auto"/>
    </w:pPr>
    <w:rPr>
      <w:rFonts w:ascii="Times New Roman" w:eastAsia="Times New Roman" w:hAnsi="Times New Roman"/>
      <w:sz w:val="20"/>
      <w:szCs w:val="20"/>
    </w:rPr>
  </w:style>
  <w:style w:type="paragraph" w:customStyle="1" w:styleId="ET">
    <w:name w:val="ET"/>
    <w:basedOn w:val="Normal"/>
    <w:pPr>
      <w:spacing w:after="0" w:line="240" w:lineRule="auto"/>
    </w:pPr>
    <w:rPr>
      <w:rFonts w:ascii="Times New Roman" w:eastAsia="Times New Roman" w:hAnsi="Times New Roman"/>
      <w:b/>
      <w:bCs/>
      <w:caps/>
      <w:sz w:val="24"/>
      <w:szCs w:val="24"/>
    </w:rPr>
  </w:style>
  <w:style w:type="paragraph" w:customStyle="1" w:styleId="OR">
    <w:name w:val="OR"/>
    <w:basedOn w:val="ET"/>
    <w:pPr>
      <w:ind w:left="5670"/>
    </w:pPr>
    <w:rPr>
      <w:b w:val="0"/>
      <w:bCs w:val="0"/>
      <w:caps w:val="0"/>
    </w:rPr>
  </w:style>
  <w:style w:type="paragraph" w:customStyle="1" w:styleId="P0">
    <w:name w:val="P0"/>
    <w:basedOn w:val="ET"/>
    <w:pPr>
      <w:ind w:left="1701"/>
      <w:jc w:val="both"/>
    </w:pPr>
    <w:rPr>
      <w:b w:val="0"/>
      <w:bCs w:val="0"/>
      <w:caps w:val="0"/>
    </w:rPr>
  </w:style>
  <w:style w:type="paragraph" w:customStyle="1" w:styleId="PS">
    <w:name w:val="PS"/>
    <w:basedOn w:val="Normal"/>
    <w:pPr>
      <w:spacing w:after="480" w:line="240" w:lineRule="auto"/>
      <w:ind w:left="1701" w:firstLine="1134"/>
      <w:jc w:val="both"/>
    </w:pPr>
    <w:rPr>
      <w:rFonts w:ascii="Times New Roman" w:eastAsia="Times New Roman" w:hAnsi="Times New Roman"/>
      <w:sz w:val="24"/>
      <w:szCs w:val="24"/>
    </w:rPr>
  </w:style>
  <w:style w:type="paragraph" w:customStyle="1" w:styleId="CarCar1CarCarCar">
    <w:name w:val="Car Car1 Car Car Car"/>
    <w:basedOn w:val="Normal"/>
    <w:pPr>
      <w:tabs>
        <w:tab w:val="left" w:pos="7020"/>
      </w:tabs>
      <w:spacing w:after="160" w:line="240" w:lineRule="exact"/>
      <w:ind w:left="1701" w:firstLine="709"/>
    </w:pPr>
    <w:rPr>
      <w:rFonts w:ascii="Tahoma" w:eastAsia="Times New Roman" w:hAnsi="Tahoma"/>
      <w:sz w:val="20"/>
      <w:lang w:val="en-US"/>
    </w:rPr>
  </w:style>
  <w:style w:type="paragraph" w:styleId="NormalWeb">
    <w:name w:val="Normal (Web)"/>
    <w:basedOn w:val="Normal"/>
    <w:uiPriority w:val="99"/>
    <w:pPr>
      <w:spacing w:before="280" w:after="280" w:line="240" w:lineRule="auto"/>
    </w:pPr>
    <w:rPr>
      <w:rFonts w:ascii="Times New Roman" w:eastAsia="Times New Roman" w:hAnsi="Times New Roman"/>
      <w:sz w:val="24"/>
      <w:szCs w:val="24"/>
    </w:rPr>
  </w:style>
  <w:style w:type="paragraph" w:styleId="Textedebulles">
    <w:name w:val="Balloon Text"/>
    <w:basedOn w:val="Normal"/>
    <w:pPr>
      <w:spacing w:after="0" w:line="240" w:lineRule="auto"/>
    </w:pPr>
    <w:rPr>
      <w:rFonts w:ascii="Tahoma" w:hAnsi="Tahoma" w:cs="Tahoma"/>
      <w:sz w:val="16"/>
      <w:szCs w:val="16"/>
    </w:rPr>
  </w:style>
  <w:style w:type="paragraph" w:styleId="Notedebasdepage">
    <w:name w:val="footnote text"/>
    <w:basedOn w:val="Normal"/>
    <w:semiHidden/>
    <w:pPr>
      <w:spacing w:before="120" w:after="0" w:line="240" w:lineRule="auto"/>
      <w:jc w:val="both"/>
    </w:pPr>
    <w:rPr>
      <w:rFonts w:ascii="Times New Roman" w:eastAsia="Times New Roman" w:hAnsi="Times New Roman"/>
      <w:sz w:val="20"/>
      <w:szCs w:val="20"/>
    </w:rPr>
  </w:style>
  <w:style w:type="paragraph" w:customStyle="1" w:styleId="obs">
    <w:name w:val="obs"/>
    <w:basedOn w:val="Normal"/>
    <w:pPr>
      <w:spacing w:before="240" w:after="120" w:line="240" w:lineRule="auto"/>
      <w:jc w:val="both"/>
    </w:pPr>
    <w:rPr>
      <w:rFonts w:ascii="Times New Roman" w:eastAsia="Times New Roman" w:hAnsi="Times New Roman"/>
      <w:b/>
      <w:sz w:val="24"/>
      <w:szCs w:val="20"/>
    </w:rPr>
  </w:style>
  <w:style w:type="paragraph" w:customStyle="1" w:styleId="obligatoire">
    <w:name w:val="obligatoire"/>
    <w:basedOn w:val="Normal"/>
    <w:pPr>
      <w:tabs>
        <w:tab w:val="left" w:pos="7020"/>
      </w:tabs>
      <w:spacing w:after="0" w:line="240" w:lineRule="auto"/>
      <w:ind w:left="1701" w:firstLine="1179"/>
      <w:jc w:val="both"/>
    </w:pPr>
    <w:rPr>
      <w:rFonts w:ascii="Tahoma" w:eastAsia="Times New Roman" w:hAnsi="Tahoma"/>
      <w:sz w:val="24"/>
      <w:szCs w:val="24"/>
    </w:rPr>
  </w:style>
  <w:style w:type="paragraph" w:styleId="Pieddepage">
    <w:name w:val="footer"/>
    <w:basedOn w:val="Normal"/>
    <w:link w:val="PieddepageCar"/>
    <w:uiPriority w:val="99"/>
    <w:unhideWhenUsed/>
    <w:rsid w:val="00023C37"/>
    <w:pPr>
      <w:tabs>
        <w:tab w:val="center" w:pos="4536"/>
        <w:tab w:val="right" w:pos="9072"/>
      </w:tabs>
    </w:pPr>
  </w:style>
  <w:style w:type="character" w:customStyle="1" w:styleId="PieddepageCar">
    <w:name w:val="Pied de page Car"/>
    <w:link w:val="Pieddepage"/>
    <w:uiPriority w:val="99"/>
    <w:rsid w:val="00023C37"/>
    <w:rPr>
      <w:rFonts w:ascii="Calibri" w:eastAsia="Calibri" w:hAnsi="Calibri" w:cs="Calibri"/>
      <w:sz w:val="22"/>
      <w:szCs w:val="22"/>
      <w:lang w:eastAsia="ar-SA"/>
    </w:rPr>
  </w:style>
  <w:style w:type="character" w:styleId="Marquedecommentaire">
    <w:name w:val="annotation reference"/>
    <w:uiPriority w:val="99"/>
    <w:semiHidden/>
    <w:unhideWhenUsed/>
    <w:rsid w:val="0047325E"/>
    <w:rPr>
      <w:sz w:val="16"/>
      <w:szCs w:val="16"/>
    </w:rPr>
  </w:style>
  <w:style w:type="paragraph" w:styleId="Commentaire">
    <w:name w:val="annotation text"/>
    <w:basedOn w:val="Normal"/>
    <w:link w:val="CommentaireCar"/>
    <w:uiPriority w:val="99"/>
    <w:semiHidden/>
    <w:unhideWhenUsed/>
    <w:rsid w:val="0047325E"/>
    <w:rPr>
      <w:sz w:val="20"/>
      <w:szCs w:val="20"/>
    </w:rPr>
  </w:style>
  <w:style w:type="character" w:customStyle="1" w:styleId="CommentaireCar">
    <w:name w:val="Commentaire Car"/>
    <w:link w:val="Commentaire"/>
    <w:uiPriority w:val="99"/>
    <w:semiHidden/>
    <w:rsid w:val="0047325E"/>
    <w:rPr>
      <w:rFonts w:ascii="Calibri" w:eastAsia="Calibri" w:hAnsi="Calibri" w:cs="Calibri"/>
      <w:lang w:eastAsia="ar-SA"/>
    </w:rPr>
  </w:style>
  <w:style w:type="paragraph" w:styleId="Objetducommentaire">
    <w:name w:val="annotation subject"/>
    <w:basedOn w:val="Commentaire"/>
    <w:next w:val="Commentaire"/>
    <w:link w:val="ObjetducommentaireCar"/>
    <w:uiPriority w:val="99"/>
    <w:semiHidden/>
    <w:unhideWhenUsed/>
    <w:rsid w:val="0047325E"/>
    <w:rPr>
      <w:b/>
      <w:bCs/>
    </w:rPr>
  </w:style>
  <w:style w:type="character" w:customStyle="1" w:styleId="ObjetducommentaireCar">
    <w:name w:val="Objet du commentaire Car"/>
    <w:link w:val="Objetducommentaire"/>
    <w:uiPriority w:val="99"/>
    <w:semiHidden/>
    <w:rsid w:val="0047325E"/>
    <w:rPr>
      <w:rFonts w:ascii="Calibri" w:eastAsia="Calibri" w:hAnsi="Calibri" w:cs="Calibri"/>
      <w:b/>
      <w:bCs/>
      <w:lang w:eastAsia="ar-SA"/>
    </w:rPr>
  </w:style>
  <w:style w:type="paragraph" w:customStyle="1" w:styleId="ps0">
    <w:name w:val="ps"/>
    <w:basedOn w:val="Normal"/>
    <w:rsid w:val="00983C9B"/>
    <w:pPr>
      <w:suppressAutoHyphens w:val="0"/>
      <w:spacing w:before="120" w:after="120" w:line="240" w:lineRule="exact"/>
      <w:ind w:left="567" w:firstLine="851"/>
      <w:jc w:val="both"/>
    </w:pPr>
    <w:rPr>
      <w:rFonts w:ascii="CG Times" w:eastAsia="Times New Roman" w:hAnsi="CG Times" w:cs="Times New Roman"/>
      <w:sz w:val="24"/>
      <w:szCs w:val="20"/>
      <w:lang w:eastAsia="fr-FR"/>
    </w:rPr>
  </w:style>
  <w:style w:type="paragraph" w:customStyle="1" w:styleId="Observation">
    <w:name w:val="Observation"/>
    <w:rsid w:val="00983C9B"/>
    <w:pPr>
      <w:spacing w:line="240" w:lineRule="exact"/>
      <w:ind w:left="567"/>
    </w:pPr>
    <w:rPr>
      <w:rFonts w:ascii="Tms Rmn" w:hAnsi="Tms Rmn"/>
      <w:b/>
      <w:sz w:val="24"/>
    </w:rPr>
  </w:style>
  <w:style w:type="paragraph" w:styleId="Rvision">
    <w:name w:val="Revision"/>
    <w:hidden/>
    <w:uiPriority w:val="99"/>
    <w:semiHidden/>
    <w:rsid w:val="0094194A"/>
    <w:rPr>
      <w:rFonts w:ascii="Calibri" w:eastAsia="Calibri" w:hAnsi="Calibri" w:cs="Calibri"/>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87320">
      <w:bodyDiv w:val="1"/>
      <w:marLeft w:val="0"/>
      <w:marRight w:val="0"/>
      <w:marTop w:val="0"/>
      <w:marBottom w:val="0"/>
      <w:divBdr>
        <w:top w:val="none" w:sz="0" w:space="0" w:color="auto"/>
        <w:left w:val="none" w:sz="0" w:space="0" w:color="auto"/>
        <w:bottom w:val="none" w:sz="0" w:space="0" w:color="auto"/>
        <w:right w:val="none" w:sz="0" w:space="0" w:color="auto"/>
      </w:divBdr>
    </w:div>
    <w:div w:id="81487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1634</Words>
  <Characters>8993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Brana  Jacques</dc:creator>
  <cp:lastModifiedBy>Jean-Pierre Bonin</cp:lastModifiedBy>
  <cp:revision>4</cp:revision>
  <cp:lastPrinted>2014-01-23T17:16:00Z</cp:lastPrinted>
  <dcterms:created xsi:type="dcterms:W3CDTF">2014-05-21T15:10:00Z</dcterms:created>
  <dcterms:modified xsi:type="dcterms:W3CDTF">2014-05-28T17:44:00Z</dcterms:modified>
</cp:coreProperties>
</file>