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6B618F" w:rsidP="00CF1084">
      <w:pPr>
        <w:pStyle w:val="ET"/>
      </w:pPr>
      <w:r>
        <w:t>première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w:t>
      </w:r>
      <w:r w:rsidR="00207D7B">
        <w:rPr>
          <w:b/>
          <w:i/>
          <w:sz w:val="22"/>
          <w:szCs w:val="22"/>
        </w:rPr>
        <w:t xml:space="preserve"> </w:t>
      </w:r>
      <w:r>
        <w:rPr>
          <w:b/>
          <w:i/>
          <w:sz w:val="22"/>
          <w:szCs w:val="22"/>
        </w:rPr>
        <w:t xml:space="preserve"> n</w:t>
      </w:r>
      <w:r w:rsidR="00207D7B">
        <w:rPr>
          <w:b/>
          <w:i/>
          <w:sz w:val="22"/>
          <w:szCs w:val="22"/>
        </w:rPr>
        <w:t>°</w:t>
      </w:r>
      <w:r>
        <w:rPr>
          <w:b/>
          <w:i/>
          <w:sz w:val="22"/>
          <w:szCs w:val="22"/>
        </w:rPr>
        <w:t xml:space="preserve"> </w:t>
      </w:r>
      <w:r w:rsidR="00577915">
        <w:rPr>
          <w:b/>
          <w:i/>
          <w:sz w:val="22"/>
          <w:szCs w:val="22"/>
        </w:rPr>
        <w:t>69134</w:t>
      </w:r>
    </w:p>
    <w:p w:rsidR="00CF1084" w:rsidRDefault="00CF1084" w:rsidP="00CF1084">
      <w:pPr>
        <w:pStyle w:val="OR"/>
      </w:pPr>
    </w:p>
    <w:p w:rsidR="00577915" w:rsidRDefault="00E630BA" w:rsidP="00CF1084">
      <w:pPr>
        <w:pStyle w:val="OR"/>
      </w:pPr>
      <w:r>
        <w:t>GRAND PORT MARITIME</w:t>
      </w:r>
    </w:p>
    <w:p w:rsidR="00CF1084" w:rsidRDefault="00E630BA" w:rsidP="00CF1084">
      <w:pPr>
        <w:pStyle w:val="OR"/>
      </w:pPr>
      <w:r>
        <w:t>DE DUNKERQUE</w:t>
      </w:r>
    </w:p>
    <w:p w:rsidR="00CF1084" w:rsidRDefault="00CF1084" w:rsidP="00CF1084">
      <w:pPr>
        <w:pStyle w:val="OR"/>
      </w:pPr>
    </w:p>
    <w:p w:rsidR="00CF1084" w:rsidRDefault="00CF1084" w:rsidP="00CF1084">
      <w:pPr>
        <w:pStyle w:val="OR"/>
      </w:pPr>
    </w:p>
    <w:p w:rsidR="00CF1084" w:rsidRDefault="00CF1084" w:rsidP="00CF1084">
      <w:pPr>
        <w:pStyle w:val="OR"/>
      </w:pPr>
      <w:r w:rsidRPr="00DE5DB3">
        <w:t xml:space="preserve">Exercices </w:t>
      </w:r>
      <w:r>
        <w:t>200</w:t>
      </w:r>
      <w:r w:rsidR="00E630BA">
        <w:t>7</w:t>
      </w:r>
      <w:r>
        <w:t xml:space="preserve"> à</w:t>
      </w:r>
      <w:r w:rsidR="00E630BA">
        <w:t xml:space="preserve"> 2011</w:t>
      </w:r>
    </w:p>
    <w:p w:rsidR="00CF1084" w:rsidRDefault="00CF1084" w:rsidP="00CF1084">
      <w:pPr>
        <w:pStyle w:val="OR"/>
      </w:pPr>
    </w:p>
    <w:p w:rsidR="00CF1084" w:rsidRDefault="00E630BA" w:rsidP="00E630BA">
      <w:pPr>
        <w:pStyle w:val="OR"/>
      </w:pPr>
      <w:r>
        <w:t>Rapport n°</w:t>
      </w:r>
      <w:r w:rsidR="00CF1084">
        <w:t xml:space="preserve"> 201</w:t>
      </w:r>
      <w:r>
        <w:t>3-644-0</w:t>
      </w:r>
    </w:p>
    <w:p w:rsidR="00CF1084" w:rsidRDefault="00CF1084" w:rsidP="00CF1084">
      <w:pPr>
        <w:pStyle w:val="OR"/>
      </w:pPr>
    </w:p>
    <w:p w:rsidR="00CF1084" w:rsidRDefault="00CF1084" w:rsidP="00CF1084">
      <w:pPr>
        <w:pStyle w:val="OR"/>
      </w:pPr>
      <w:r>
        <w:t xml:space="preserve">Audience publique du </w:t>
      </w:r>
      <w:r w:rsidR="00E630BA">
        <w:t>5 décembre</w:t>
      </w:r>
      <w:r>
        <w:t xml:space="preserve"> 2013</w:t>
      </w:r>
    </w:p>
    <w:p w:rsidR="00CF1084" w:rsidRDefault="00CF1084" w:rsidP="00CF1084">
      <w:pPr>
        <w:pStyle w:val="OR"/>
      </w:pPr>
    </w:p>
    <w:p w:rsidR="00CF1084" w:rsidRDefault="00CF1084" w:rsidP="00CF1084">
      <w:pPr>
        <w:pStyle w:val="OR"/>
      </w:pPr>
      <w:r>
        <w:t xml:space="preserve">Lecture publique </w:t>
      </w:r>
      <w:r w:rsidRPr="002F26BB">
        <w:t xml:space="preserve">du </w:t>
      </w:r>
      <w:r w:rsidR="002B127B">
        <w:t>10 mars 2014</w:t>
      </w:r>
    </w:p>
    <w:p w:rsidR="00CF1084" w:rsidRDefault="00CF1084" w:rsidP="00CF1084">
      <w:pPr>
        <w:pStyle w:val="OR"/>
      </w:pPr>
    </w:p>
    <w:p w:rsidR="0094095B" w:rsidRDefault="0094095B" w:rsidP="00CF1084">
      <w:pPr>
        <w:pStyle w:val="OR"/>
      </w:pPr>
    </w:p>
    <w:p w:rsidR="00207D7B" w:rsidRPr="00690D05" w:rsidRDefault="00207D7B" w:rsidP="00207D7B">
      <w:pPr>
        <w:pStyle w:val="P0"/>
        <w:spacing w:after="240"/>
        <w:ind w:left="540" w:right="-284" w:firstLine="594"/>
        <w:jc w:val="center"/>
      </w:pPr>
      <w:r w:rsidRPr="00690D05">
        <w:t>REPUBLIQUE FRANÇAISE</w:t>
      </w:r>
    </w:p>
    <w:p w:rsidR="00207D7B" w:rsidRPr="00690D05" w:rsidRDefault="00207D7B" w:rsidP="00207D7B">
      <w:pPr>
        <w:pStyle w:val="P0"/>
        <w:spacing w:after="360"/>
        <w:ind w:left="539" w:right="-284" w:firstLine="594"/>
        <w:jc w:val="center"/>
      </w:pPr>
      <w:r w:rsidRPr="00690D05">
        <w:t>AU NOM DU PEUPLE FRANÇAIS</w:t>
      </w:r>
    </w:p>
    <w:p w:rsidR="00207D7B" w:rsidRPr="00690D05" w:rsidRDefault="00207D7B" w:rsidP="00207D7B">
      <w:pPr>
        <w:pStyle w:val="P0"/>
        <w:spacing w:after="360"/>
        <w:ind w:left="539" w:right="-284" w:firstLine="595"/>
        <w:jc w:val="center"/>
      </w:pPr>
      <w:r w:rsidRPr="00690D05">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w:t>
      </w:r>
      <w:r w:rsidR="003432DC">
        <w:t xml:space="preserve"> à fin d’instruction de charges</w:t>
      </w:r>
      <w:r>
        <w:t xml:space="preserve"> n°</w:t>
      </w:r>
      <w:r w:rsidR="00511713">
        <w:t> </w:t>
      </w:r>
      <w:r w:rsidR="00E630BA">
        <w:t>2013-46</w:t>
      </w:r>
      <w:r w:rsidR="00B300B9">
        <w:t> </w:t>
      </w:r>
      <w:r w:rsidRPr="00BC105C">
        <w:t xml:space="preserve">RQ-DB </w:t>
      </w:r>
      <w:r>
        <w:t>du</w:t>
      </w:r>
      <w:r w:rsidR="008F2ED4">
        <w:t xml:space="preserve"> </w:t>
      </w:r>
      <w:r w:rsidR="003432DC">
        <w:t>11</w:t>
      </w:r>
      <w:r w:rsidR="008F2ED4">
        <w:t xml:space="preserve"> </w:t>
      </w:r>
      <w:r w:rsidR="00E630BA">
        <w:t>juillet</w:t>
      </w:r>
      <w:r w:rsidR="008F2ED4">
        <w:t xml:space="preserve"> </w:t>
      </w:r>
      <w:r w:rsidR="00E6553D">
        <w:t xml:space="preserve">2013 </w:t>
      </w:r>
      <w:r>
        <w:t>du</w:t>
      </w:r>
      <w:r w:rsidRPr="00BC105C">
        <w:t xml:space="preserve"> Procureur général près la Cour des comptes saisi</w:t>
      </w:r>
      <w:r>
        <w:t>ssant</w:t>
      </w:r>
      <w:r w:rsidRPr="00BC105C">
        <w:t xml:space="preserve"> la septième chambre de la Cour de </w:t>
      </w:r>
      <w:r w:rsidR="00E630BA">
        <w:t xml:space="preserve">trois </w:t>
      </w:r>
      <w:r w:rsidRPr="00BC105C">
        <w:t>présomptions de charges soulevées au cours des exercices</w:t>
      </w:r>
      <w:r w:rsidR="008F2ED4">
        <w:t xml:space="preserve"> </w:t>
      </w:r>
      <w:r w:rsidRPr="00BC105C">
        <w:t>200</w:t>
      </w:r>
      <w:r w:rsidR="00E630BA">
        <w:t>7</w:t>
      </w:r>
      <w:r w:rsidRPr="00BC105C">
        <w:t xml:space="preserve"> à 201</w:t>
      </w:r>
      <w:r w:rsidR="00E630BA">
        <w:t>1</w:t>
      </w:r>
      <w:r w:rsidRPr="00BC105C">
        <w:t xml:space="preserve"> à l’encontre de </w:t>
      </w:r>
      <w:r w:rsidR="00E630BA">
        <w:t>M.</w:t>
      </w:r>
      <w:r w:rsidR="00B300B9">
        <w:t> </w:t>
      </w:r>
      <w:r w:rsidR="00B13CCB">
        <w:t>X</w:t>
      </w:r>
      <w:r w:rsidR="007E23E6">
        <w:t>,</w:t>
      </w:r>
      <w:r>
        <w:t xml:space="preserve"> </w:t>
      </w:r>
      <w:r w:rsidRPr="00BC105C">
        <w:t>agent comptable</w:t>
      </w:r>
      <w:r>
        <w:t xml:space="preserve"> du </w:t>
      </w:r>
      <w:r w:rsidR="00E630BA">
        <w:t>GRAND PORT MARITIME DE DUNKERQUE ;</w:t>
      </w:r>
      <w:r>
        <w:t xml:space="preserve">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w:t>
      </w:r>
      <w:r w:rsidR="00B300B9">
        <w:t> </w:t>
      </w:r>
      <w:r w:rsidRPr="00BC105C">
        <w:t>90 de la loi n°</w:t>
      </w:r>
      <w:r w:rsidR="004D65E6">
        <w:t> </w:t>
      </w:r>
      <w:r w:rsidRPr="00BC105C">
        <w:t>2011-1978 du 28 décembre 2011 de finances rectificative pour 2011 ;</w:t>
      </w:r>
    </w:p>
    <w:p w:rsidR="00CF1084" w:rsidRPr="00BC105C" w:rsidRDefault="00CF1084" w:rsidP="000D0433">
      <w:pPr>
        <w:pStyle w:val="PS"/>
        <w:spacing w:after="360"/>
      </w:pPr>
      <w:r w:rsidRPr="00BC105C">
        <w:t>Vu les lois et règlements applicables aux établissements publi</w:t>
      </w:r>
      <w:r>
        <w:t>cs nationaux</w:t>
      </w:r>
      <w:r w:rsidRPr="00BC105C">
        <w:t> ;</w:t>
      </w:r>
    </w:p>
    <w:p w:rsidR="00511713" w:rsidRPr="00BC105C" w:rsidRDefault="00511713" w:rsidP="005210B5">
      <w:pPr>
        <w:pStyle w:val="PS"/>
        <w:spacing w:before="120" w:after="360"/>
      </w:pPr>
      <w:r w:rsidRPr="00BC105C">
        <w:t>Vu le décret n°</w:t>
      </w:r>
      <w:r w:rsidR="004D65E6">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008F2ED4">
        <w:t> ;</w:t>
      </w:r>
    </w:p>
    <w:p w:rsidR="0094095B" w:rsidRDefault="0094095B" w:rsidP="0094095B">
      <w:pPr>
        <w:pStyle w:val="PS"/>
        <w:spacing w:before="120" w:after="360"/>
      </w:pPr>
      <w:r w:rsidRPr="00BC105C">
        <w:lastRenderedPageBreak/>
        <w:t>Vu le décret n°</w:t>
      </w:r>
      <w:r>
        <w:t> </w:t>
      </w:r>
      <w:r w:rsidRPr="00BC105C">
        <w:t xml:space="preserve">2012-1386 du 10 décembre 2012 portant application du deuxième alinéa du VI de l’article 60 de la loi de finances de 1963 susvisée ; </w:t>
      </w:r>
    </w:p>
    <w:p w:rsidR="003432DC" w:rsidRPr="00BC105C" w:rsidRDefault="003432DC" w:rsidP="003432DC">
      <w:pPr>
        <w:pStyle w:val="PS"/>
        <w:spacing w:after="360"/>
      </w:pPr>
      <w:r>
        <w:t>Vu les décrets n°</w:t>
      </w:r>
      <w:r w:rsidR="00B300B9">
        <w:t> </w:t>
      </w:r>
      <w:r>
        <w:t>65-935 eu 8</w:t>
      </w:r>
      <w:r w:rsidR="008F2ED4">
        <w:t xml:space="preserve"> </w:t>
      </w:r>
      <w:r>
        <w:t>novembre</w:t>
      </w:r>
      <w:r w:rsidR="008F2ED4">
        <w:t xml:space="preserve"> </w:t>
      </w:r>
      <w:r>
        <w:t>1965 et n°</w:t>
      </w:r>
      <w:r w:rsidR="00B300B9">
        <w:t> </w:t>
      </w:r>
      <w:r>
        <w:t>2008-1038 du 9</w:t>
      </w:r>
      <w:r w:rsidR="008F2ED4">
        <w:t xml:space="preserve"> </w:t>
      </w:r>
      <w:r>
        <w:t>octobre</w:t>
      </w:r>
      <w:r w:rsidR="008F2ED4">
        <w:t xml:space="preserve"> </w:t>
      </w:r>
      <w:r>
        <w:t xml:space="preserve">2008, portant création du port autonome de Dunkerque et sa transformation en grand port maritime ; </w:t>
      </w:r>
    </w:p>
    <w:p w:rsidR="00511713" w:rsidRPr="00BC105C" w:rsidRDefault="00511713" w:rsidP="005210B5">
      <w:pPr>
        <w:pStyle w:val="PS"/>
        <w:spacing w:before="120" w:after="360"/>
      </w:pPr>
      <w:r w:rsidRPr="00BC105C">
        <w:t>Vu l’arrêté du Premier président de la Cour des comptes n°</w:t>
      </w:r>
      <w:r>
        <w:t> </w:t>
      </w:r>
      <w:r w:rsidRPr="00BC105C">
        <w:t>1</w:t>
      </w:r>
      <w:r w:rsidR="00CC4ABA">
        <w:t>2-831 du 21</w:t>
      </w:r>
      <w:r w:rsidR="008F2ED4">
        <w:t xml:space="preserve"> </w:t>
      </w:r>
      <w:r w:rsidRPr="00BC105C">
        <w:t>décembre</w:t>
      </w:r>
      <w:r w:rsidR="008F2ED4">
        <w:t xml:space="preserve"> </w:t>
      </w:r>
      <w:r w:rsidR="00CC4ABA">
        <w:t>2012</w:t>
      </w:r>
      <w:r w:rsidRPr="00BC105C">
        <w:t xml:space="preserve"> portant répartition des attributions entre les chambres de la Cour des comptes ;</w:t>
      </w:r>
    </w:p>
    <w:p w:rsidR="00CF1084" w:rsidRPr="00BC105C" w:rsidRDefault="00CF1084" w:rsidP="005210B5">
      <w:pPr>
        <w:pStyle w:val="PS"/>
        <w:spacing w:before="120" w:after="360"/>
      </w:pPr>
      <w:r>
        <w:t>Vu les lettres du</w:t>
      </w:r>
      <w:r w:rsidRPr="00BC105C">
        <w:t xml:space="preserve"> </w:t>
      </w:r>
      <w:r w:rsidR="00CC4ABA">
        <w:t>23 juillet 2013</w:t>
      </w:r>
      <w:r w:rsidRPr="00BC105C">
        <w:t xml:space="preserve"> </w:t>
      </w:r>
      <w:r>
        <w:t xml:space="preserve">transmettant </w:t>
      </w:r>
      <w:r w:rsidRPr="00BC105C">
        <w:t xml:space="preserve">le réquisitoire du ministère public </w:t>
      </w:r>
      <w:r w:rsidR="00CC4ABA">
        <w:t>au comptable concerné</w:t>
      </w:r>
      <w:r w:rsidRPr="00BC105C">
        <w:t xml:space="preserve"> </w:t>
      </w:r>
      <w:r>
        <w:t xml:space="preserve">et à </w:t>
      </w:r>
      <w:r w:rsidR="000B7BBF">
        <w:t xml:space="preserve">la </w:t>
      </w:r>
      <w:r w:rsidR="00CC4ABA">
        <w:t>présidente</w:t>
      </w:r>
      <w:r w:rsidRPr="00BC105C">
        <w:t xml:space="preserve"> de l’établissement, </w:t>
      </w:r>
      <w:r>
        <w:t xml:space="preserve">ainsi que leurs accusés de réception en date </w:t>
      </w:r>
      <w:r w:rsidR="00CC4ABA">
        <w:t>des 5 août et 24 juillet 2013</w:t>
      </w:r>
      <w:r w:rsidR="008F2ED4">
        <w:t> ;</w:t>
      </w:r>
    </w:p>
    <w:p w:rsidR="00CF1084" w:rsidRPr="00BC105C" w:rsidRDefault="00CF1084" w:rsidP="005210B5">
      <w:pPr>
        <w:pStyle w:val="PS"/>
        <w:spacing w:before="120" w:after="360"/>
      </w:pPr>
      <w:r>
        <w:t>Vu les autres pièces du dossier et notamment les courriers d</w:t>
      </w:r>
      <w:r w:rsidR="00864000">
        <w:t>e la présidente de l’é</w:t>
      </w:r>
      <w:r>
        <w:t>tablissement et de M.</w:t>
      </w:r>
      <w:r w:rsidR="00511713">
        <w:t> </w:t>
      </w:r>
      <w:r w:rsidR="00B13CCB">
        <w:t>X</w:t>
      </w:r>
      <w:r>
        <w:t xml:space="preserve">, reçus respectivement les </w:t>
      </w:r>
      <w:r w:rsidR="00D9261B">
        <w:t>12</w:t>
      </w:r>
      <w:r w:rsidR="008F2ED4">
        <w:t xml:space="preserve"> </w:t>
      </w:r>
      <w:r w:rsidR="00D9261B">
        <w:t>septembre et 16</w:t>
      </w:r>
      <w:r w:rsidR="008F2ED4">
        <w:t xml:space="preserve"> </w:t>
      </w:r>
      <w:r w:rsidR="00864000">
        <w:t>septembre</w:t>
      </w:r>
      <w:r w:rsidR="008F2ED4">
        <w:t xml:space="preserve"> </w:t>
      </w:r>
      <w:r w:rsidR="00864000">
        <w:t>2013</w:t>
      </w:r>
      <w:r w:rsidR="008F2ED4">
        <w:t> ;</w:t>
      </w:r>
    </w:p>
    <w:p w:rsidR="00CF1084" w:rsidRPr="00BC105C" w:rsidRDefault="00CF1084" w:rsidP="005210B5">
      <w:pPr>
        <w:pStyle w:val="PS"/>
        <w:spacing w:before="120" w:after="360"/>
      </w:pPr>
      <w:r>
        <w:t>Vu</w:t>
      </w:r>
      <w:r w:rsidRPr="00BC105C">
        <w:t xml:space="preserve"> le rapport </w:t>
      </w:r>
      <w:r w:rsidR="00AA72F5">
        <w:t>n° </w:t>
      </w:r>
      <w:r w:rsidR="00864000">
        <w:t>2013</w:t>
      </w:r>
      <w:r w:rsidR="00460733">
        <w:t>-</w:t>
      </w:r>
      <w:r w:rsidR="00864000">
        <w:t>644</w:t>
      </w:r>
      <w:r w:rsidR="00460733">
        <w:t xml:space="preserve">-0 </w:t>
      </w:r>
      <w:r>
        <w:t xml:space="preserve">du </w:t>
      </w:r>
      <w:r w:rsidR="00864000">
        <w:t>3 octobre 2013</w:t>
      </w:r>
      <w:r>
        <w:t xml:space="preserve"> </w:t>
      </w:r>
      <w:r w:rsidRPr="00BC105C">
        <w:t>de M.</w:t>
      </w:r>
      <w:r w:rsidR="00511713">
        <w:t> </w:t>
      </w:r>
      <w:r w:rsidR="00864000">
        <w:t xml:space="preserve">Patrick </w:t>
      </w:r>
      <w:proofErr w:type="spellStart"/>
      <w:r w:rsidR="00864000">
        <w:t>Bonnaud</w:t>
      </w:r>
      <w:proofErr w:type="spellEnd"/>
      <w:r w:rsidRPr="00BC105C">
        <w:t xml:space="preserve">, </w:t>
      </w:r>
      <w:r>
        <w:t>conseiller référendaire</w:t>
      </w:r>
      <w:r w:rsidR="00864000">
        <w:t> ;</w:t>
      </w:r>
    </w:p>
    <w:p w:rsidR="00CF1084" w:rsidRPr="00BC105C" w:rsidRDefault="00CF1084" w:rsidP="005210B5">
      <w:pPr>
        <w:pStyle w:val="PS"/>
        <w:spacing w:before="120" w:after="360"/>
      </w:pPr>
      <w:r w:rsidRPr="00BC105C">
        <w:t>Vu les conclusions n°</w:t>
      </w:r>
      <w:r w:rsidR="004D65E6">
        <w:t> </w:t>
      </w:r>
      <w:r w:rsidR="00864000">
        <w:t>782</w:t>
      </w:r>
      <w:r w:rsidRPr="00BC105C">
        <w:t xml:space="preserve"> </w:t>
      </w:r>
      <w:r>
        <w:t>du 14</w:t>
      </w:r>
      <w:r w:rsidR="008F2ED4">
        <w:t xml:space="preserve"> </w:t>
      </w:r>
      <w:r w:rsidR="00864000">
        <w:t>novembre</w:t>
      </w:r>
      <w:r w:rsidR="008F2ED4">
        <w:t xml:space="preserve"> </w:t>
      </w:r>
      <w:r>
        <w:t>2013</w:t>
      </w:r>
      <w:r w:rsidRPr="00BC105C">
        <w:t xml:space="preserve"> du Procureur génér</w:t>
      </w:r>
      <w:r>
        <w:t>al de</w:t>
      </w:r>
      <w:r w:rsidR="008F2ED4">
        <w:t xml:space="preserve"> </w:t>
      </w:r>
      <w:r>
        <w:t>la</w:t>
      </w:r>
      <w:r w:rsidR="008F2ED4">
        <w:t xml:space="preserve"> </w:t>
      </w:r>
      <w:r>
        <w:t xml:space="preserve">République </w:t>
      </w:r>
      <w:r w:rsidRPr="00BC105C">
        <w:t>;</w:t>
      </w:r>
    </w:p>
    <w:p w:rsidR="00CF1084" w:rsidRPr="00BC105C" w:rsidRDefault="00CF1084" w:rsidP="005210B5">
      <w:pPr>
        <w:pStyle w:val="PS"/>
        <w:spacing w:before="120" w:after="360"/>
      </w:pPr>
      <w:r w:rsidRPr="00BC105C">
        <w:t>Vu les lettres du</w:t>
      </w:r>
      <w:r>
        <w:t xml:space="preserve"> </w:t>
      </w:r>
      <w:r w:rsidR="00526935">
        <w:t>18 novembre</w:t>
      </w:r>
      <w:r w:rsidR="000B7BBF">
        <w:t xml:space="preserve"> 2013</w:t>
      </w:r>
      <w:r w:rsidRPr="00BC105C">
        <w:t xml:space="preserve"> </w:t>
      </w:r>
      <w:r w:rsidR="00864000">
        <w:t>informant le</w:t>
      </w:r>
      <w:r w:rsidR="00D9261B">
        <w:t xml:space="preserve"> comptable</w:t>
      </w:r>
      <w:r>
        <w:t xml:space="preserve"> et la </w:t>
      </w:r>
      <w:r w:rsidR="00526935">
        <w:t>présidente</w:t>
      </w:r>
      <w:r w:rsidRPr="00BC105C">
        <w:t xml:space="preserve"> de l’établissement de la date </w:t>
      </w:r>
      <w:r>
        <w:t>de l’audience publique, et</w:t>
      </w:r>
      <w:r w:rsidRPr="00BC105C">
        <w:t xml:space="preserve"> leurs accusés </w:t>
      </w:r>
      <w:r>
        <w:t>de réception datés du</w:t>
      </w:r>
      <w:r w:rsidR="00526935">
        <w:t xml:space="preserve"> 20</w:t>
      </w:r>
      <w:r w:rsidR="008F2ED4">
        <w:t xml:space="preserve"> </w:t>
      </w:r>
      <w:r w:rsidR="00526935">
        <w:t>novembre</w:t>
      </w:r>
      <w:r w:rsidR="008F2ED4">
        <w:t xml:space="preserve"> </w:t>
      </w:r>
      <w:r>
        <w:t>2013</w:t>
      </w:r>
      <w:r w:rsidR="008F2ED4">
        <w:t> ;</w:t>
      </w:r>
    </w:p>
    <w:p w:rsidR="00CF1084" w:rsidRPr="00BC105C" w:rsidRDefault="00CF1084" w:rsidP="005210B5">
      <w:pPr>
        <w:pStyle w:val="PS"/>
        <w:spacing w:before="120" w:after="360"/>
      </w:pPr>
      <w:r w:rsidRPr="00BC105C">
        <w:t>Entendu, l</w:t>
      </w:r>
      <w:r>
        <w:t xml:space="preserve">ors de l’audience publique du </w:t>
      </w:r>
      <w:r w:rsidR="00864000">
        <w:t>5 décembre</w:t>
      </w:r>
      <w:r>
        <w:t xml:space="preserve"> 2013, M.</w:t>
      </w:r>
      <w:r w:rsidR="00511713">
        <w:t> </w:t>
      </w:r>
      <w:proofErr w:type="spellStart"/>
      <w:r w:rsidR="00864000">
        <w:t>Bonnaud</w:t>
      </w:r>
      <w:proofErr w:type="spellEnd"/>
      <w:r w:rsidRPr="00BC105C">
        <w:t xml:space="preserve"> en s</w:t>
      </w:r>
      <w:r w:rsidR="00864000">
        <w:t>on</w:t>
      </w:r>
      <w:r w:rsidRPr="00BC105C">
        <w:t xml:space="preserve"> rapport,</w:t>
      </w:r>
      <w:r>
        <w:t xml:space="preserve"> </w:t>
      </w:r>
      <w:r w:rsidRPr="00BC105C">
        <w:t>M.</w:t>
      </w:r>
      <w:r w:rsidR="00511713">
        <w:t> </w:t>
      </w:r>
      <w:r w:rsidRPr="00BC105C">
        <w:t>Yves Perrin, avoc</w:t>
      </w:r>
      <w:r>
        <w:t xml:space="preserve">at général, en ses conclusions, </w:t>
      </w:r>
      <w:r w:rsidR="00864000">
        <w:t>M.</w:t>
      </w:r>
      <w:r w:rsidR="00B300B9">
        <w:t> </w:t>
      </w:r>
      <w:r w:rsidR="00B13CCB">
        <w:t>X</w:t>
      </w:r>
      <w:r w:rsidRPr="00BC105C">
        <w:t xml:space="preserve"> ayant eu la parole en dernier</w:t>
      </w:r>
      <w:r w:rsidR="008F2ED4">
        <w:t>,</w:t>
      </w:r>
      <w:r w:rsidR="00DA002E">
        <w:t xml:space="preserve"> la présidente de l’établissement n’étant ni présente ni représentée ; </w:t>
      </w:r>
    </w:p>
    <w:p w:rsidR="005210B5" w:rsidRDefault="00CF1084" w:rsidP="003432DC">
      <w:pPr>
        <w:pStyle w:val="PS"/>
        <w:spacing w:before="120" w:after="360"/>
        <w:rPr>
          <w:i/>
          <w:u w:val="single"/>
        </w:rPr>
      </w:pPr>
      <w:r>
        <w:t>Ayant délibéré</w:t>
      </w:r>
      <w:r w:rsidRPr="00BC105C">
        <w:t xml:space="preserve"> hors la présence du rapporteur et du ministère public</w:t>
      </w:r>
      <w:r>
        <w:t xml:space="preserve"> et après avoir entendu M.</w:t>
      </w:r>
      <w:r w:rsidR="00511713">
        <w:t> </w:t>
      </w:r>
      <w:r w:rsidR="00864000">
        <w:t xml:space="preserve">Jean-Marie Le </w:t>
      </w:r>
      <w:proofErr w:type="spellStart"/>
      <w:r w:rsidR="00864000">
        <w:t>Méné</w:t>
      </w:r>
      <w:proofErr w:type="spellEnd"/>
      <w:r>
        <w:t>, conseiller maître, réviseur, en ses observations</w:t>
      </w:r>
      <w:r w:rsidRPr="00BC105C">
        <w:t xml:space="preserve"> ;</w:t>
      </w:r>
    </w:p>
    <w:p w:rsidR="00CF1084" w:rsidRDefault="00CF1084" w:rsidP="00511713">
      <w:pPr>
        <w:pStyle w:val="PS"/>
        <w:spacing w:after="360"/>
        <w:rPr>
          <w:i/>
          <w:u w:val="single"/>
        </w:rPr>
      </w:pPr>
      <w:r w:rsidRPr="00BC105C">
        <w:rPr>
          <w:i/>
          <w:u w:val="single"/>
        </w:rPr>
        <w:t>Sur la charge n°</w:t>
      </w:r>
      <w:r w:rsidR="00344506">
        <w:rPr>
          <w:i/>
          <w:u w:val="single"/>
        </w:rPr>
        <w:t> </w:t>
      </w:r>
      <w:r w:rsidRPr="00BC105C">
        <w:rPr>
          <w:i/>
          <w:u w:val="single"/>
        </w:rPr>
        <w:t>1</w:t>
      </w:r>
    </w:p>
    <w:p w:rsidR="00CF1084" w:rsidRPr="0036568F" w:rsidRDefault="007C2B36" w:rsidP="00511713">
      <w:pPr>
        <w:pStyle w:val="PS"/>
        <w:spacing w:after="360"/>
      </w:pPr>
      <w:r w:rsidRPr="007C2B36">
        <w:t>Considérant</w:t>
      </w:r>
      <w:r w:rsidR="005C1A52">
        <w:t xml:space="preserve"> que le p</w:t>
      </w:r>
      <w:r w:rsidRPr="007C2B36">
        <w:t xml:space="preserve">ort a émis le 20 mars 2007, à l’encontre de la société </w:t>
      </w:r>
      <w:r w:rsidR="008F2ED4">
        <w:t>« </w:t>
      </w:r>
      <w:proofErr w:type="spellStart"/>
      <w:r w:rsidRPr="007C2B36">
        <w:t>Sea</w:t>
      </w:r>
      <w:proofErr w:type="spellEnd"/>
      <w:r w:rsidRPr="007C2B36">
        <w:t xml:space="preserve"> </w:t>
      </w:r>
      <w:proofErr w:type="spellStart"/>
      <w:r w:rsidRPr="007C2B36">
        <w:t>Invest</w:t>
      </w:r>
      <w:proofErr w:type="spellEnd"/>
      <w:r w:rsidRPr="007C2B36">
        <w:t xml:space="preserve"> Shipping Agency</w:t>
      </w:r>
      <w:r w:rsidR="008F2ED4">
        <w:t> »</w:t>
      </w:r>
      <w:r w:rsidRPr="007C2B36">
        <w:t>, la facture n° 026906, d’un montant de 2 981,18</w:t>
      </w:r>
      <w:r w:rsidR="00B300B9">
        <w:t> </w:t>
      </w:r>
      <w:r w:rsidRPr="007C2B36">
        <w:t>€, relative à des opérations de relèvement de plan d’eau</w:t>
      </w:r>
      <w:r w:rsidR="008F2ED4">
        <w:t> ;</w:t>
      </w:r>
      <w:r w:rsidRPr="007C2B36">
        <w:t xml:space="preserve"> que cette facture a fait l’objet</w:t>
      </w:r>
      <w:r w:rsidR="00E6553D">
        <w:t>,</w:t>
      </w:r>
      <w:r w:rsidRPr="007C2B36">
        <w:t xml:space="preserve"> le</w:t>
      </w:r>
      <w:r w:rsidR="008F2ED4">
        <w:t xml:space="preserve"> </w:t>
      </w:r>
      <w:r w:rsidRPr="007C2B36">
        <w:t>19</w:t>
      </w:r>
      <w:r w:rsidR="008F2ED4">
        <w:t xml:space="preserve"> </w:t>
      </w:r>
      <w:r w:rsidRPr="007C2B36">
        <w:t>juillet</w:t>
      </w:r>
      <w:r w:rsidR="008F2ED4">
        <w:t xml:space="preserve"> </w:t>
      </w:r>
      <w:r w:rsidRPr="007C2B36">
        <w:t>2007</w:t>
      </w:r>
      <w:r w:rsidR="00E6553D">
        <w:t>,</w:t>
      </w:r>
      <w:r w:rsidRPr="007C2B36">
        <w:t xml:space="preserve"> de l’émission d’un état exécutoire ;</w:t>
      </w:r>
      <w:r>
        <w:t xml:space="preserve"> </w:t>
      </w:r>
      <w:r w:rsidRPr="007C2B36">
        <w:t xml:space="preserve">qu’il appartient au comptable de faire la preuve de diligences rapides, adéquates et complètes pour recouvrer les créances </w:t>
      </w:r>
      <w:r w:rsidRPr="007C2B36">
        <w:lastRenderedPageBreak/>
        <w:t>qu’il a pris en charge ; qu’en l’espèce, les diligences exercées par l’agent comptable en vue du recouvrement de cette créance se s</w:t>
      </w:r>
      <w:r w:rsidR="000B7BBF">
        <w:t>o</w:t>
      </w:r>
      <w:r w:rsidRPr="007C2B36">
        <w:t xml:space="preserve">nt limitées à l’envoi d’une </w:t>
      </w:r>
      <w:r w:rsidR="000B7BBF">
        <w:t xml:space="preserve">seule </w:t>
      </w:r>
      <w:r w:rsidRPr="007C2B36">
        <w:t>lettre de relance</w:t>
      </w:r>
      <w:r w:rsidR="000B7BBF">
        <w:t>, le 25</w:t>
      </w:r>
      <w:r w:rsidR="008F2ED4">
        <w:t xml:space="preserve"> </w:t>
      </w:r>
      <w:r w:rsidR="000B7BBF">
        <w:t>mars</w:t>
      </w:r>
      <w:r w:rsidR="008F2ED4">
        <w:t xml:space="preserve"> </w:t>
      </w:r>
      <w:r w:rsidR="000B7BBF">
        <w:t>2013</w:t>
      </w:r>
      <w:r>
        <w:t> ;</w:t>
      </w:r>
      <w:r w:rsidR="00BD084C">
        <w:t xml:space="preserve"> </w:t>
      </w:r>
      <w:r w:rsidR="00CF1084" w:rsidRPr="0036568F">
        <w:t>que</w:t>
      </w:r>
      <w:r w:rsidR="000B7BBF">
        <w:t>,</w:t>
      </w:r>
      <w:r w:rsidR="00CF1084" w:rsidRPr="0036568F">
        <w:t xml:space="preserve"> </w:t>
      </w:r>
      <w:r w:rsidR="00BD084C">
        <w:t>selon le réquisitoire susvisé, c</w:t>
      </w:r>
      <w:r w:rsidR="00CF1084" w:rsidRPr="0036568F">
        <w:t xml:space="preserve">e défaut de </w:t>
      </w:r>
      <w:r w:rsidR="00BD084C">
        <w:t>diligence et le non recouvrement de la créance à la clôture de la gestion</w:t>
      </w:r>
      <w:r w:rsidR="008F2ED4">
        <w:t xml:space="preserve"> </w:t>
      </w:r>
      <w:r w:rsidR="00BD084C">
        <w:t xml:space="preserve">2011 </w:t>
      </w:r>
      <w:r w:rsidR="00AE1AAC">
        <w:t>sont</w:t>
      </w:r>
      <w:r w:rsidR="00CF1084" w:rsidRPr="0036568F">
        <w:t xml:space="preserve"> susceptible</w:t>
      </w:r>
      <w:r w:rsidR="00AE1AAC">
        <w:t>s</w:t>
      </w:r>
      <w:r w:rsidR="00CF1084" w:rsidRPr="0036568F">
        <w:t xml:space="preserve"> de fonder la mise en jeu de la responsabilité personnelle et pécuniaire de M.</w:t>
      </w:r>
      <w:r w:rsidR="004D65E6">
        <w:t> </w:t>
      </w:r>
      <w:r w:rsidR="00B13CCB">
        <w:t>X</w:t>
      </w:r>
      <w:r w:rsidR="00CF1084" w:rsidRPr="0036568F">
        <w:t>, à</w:t>
      </w:r>
      <w:r w:rsidR="008F2ED4">
        <w:t xml:space="preserve"> </w:t>
      </w:r>
      <w:r w:rsidR="00CF1084" w:rsidRPr="0036568F">
        <w:t xml:space="preserve">hauteur de </w:t>
      </w:r>
      <w:r w:rsidR="00BD084C">
        <w:t>2 981,18</w:t>
      </w:r>
      <w:r w:rsidR="004D65E6">
        <w:t> </w:t>
      </w:r>
      <w:r w:rsidR="00BD084C">
        <w:t>€, au titre de l’exercice 2011</w:t>
      </w:r>
      <w:r w:rsidR="00CF1084">
        <w:t> ;</w:t>
      </w:r>
    </w:p>
    <w:p w:rsidR="00E47267" w:rsidRDefault="00CF1084" w:rsidP="00511713">
      <w:pPr>
        <w:pStyle w:val="PS"/>
        <w:spacing w:after="360"/>
      </w:pPr>
      <w:r w:rsidRPr="0036568F">
        <w:t xml:space="preserve">Considérant que le comptable fait valoir que, </w:t>
      </w:r>
      <w:r w:rsidR="00E47267">
        <w:t xml:space="preserve">à réception de la facture, la société </w:t>
      </w:r>
      <w:r w:rsidR="008F2ED4">
        <w:t>« </w:t>
      </w:r>
      <w:proofErr w:type="spellStart"/>
      <w:r w:rsidR="00E47267" w:rsidRPr="007C2B36">
        <w:t>Sea</w:t>
      </w:r>
      <w:proofErr w:type="spellEnd"/>
      <w:r w:rsidR="00E47267" w:rsidRPr="007C2B36">
        <w:t xml:space="preserve"> </w:t>
      </w:r>
      <w:proofErr w:type="spellStart"/>
      <w:r w:rsidR="00E47267" w:rsidRPr="007C2B36">
        <w:t>Invest</w:t>
      </w:r>
      <w:proofErr w:type="spellEnd"/>
      <w:r w:rsidR="00E47267" w:rsidRPr="007C2B36">
        <w:t xml:space="preserve"> Shipping Agency</w:t>
      </w:r>
      <w:r w:rsidR="008F2ED4">
        <w:t> »</w:t>
      </w:r>
      <w:r w:rsidR="00E47267">
        <w:t xml:space="preserve"> a </w:t>
      </w:r>
      <w:r w:rsidR="00AE1AAC">
        <w:t>indiqué</w:t>
      </w:r>
      <w:r w:rsidR="00E47267">
        <w:t xml:space="preserve"> que cette facture ne concernait pas sa société ; que l’ordonnateur a suspendu les poursuites ; que la facture a été annulé</w:t>
      </w:r>
      <w:r w:rsidR="000B7BBF">
        <w:t>e</w:t>
      </w:r>
      <w:r w:rsidR="00E47267">
        <w:t>, dans les formes particulières à l’établissement, par décision de la présidente du directoire, le</w:t>
      </w:r>
      <w:r w:rsidR="008F2ED4">
        <w:t xml:space="preserve"> </w:t>
      </w:r>
      <w:r w:rsidR="00E47267">
        <w:t>13</w:t>
      </w:r>
      <w:r w:rsidR="008F2ED4">
        <w:t xml:space="preserve"> </w:t>
      </w:r>
      <w:r w:rsidR="00E47267">
        <w:t>mai</w:t>
      </w:r>
      <w:r w:rsidR="008F2ED4">
        <w:t xml:space="preserve"> </w:t>
      </w:r>
      <w:r w:rsidR="00E47267">
        <w:t xml:space="preserve">2013 ; </w:t>
      </w:r>
      <w:r w:rsidR="00AE1AAC">
        <w:t>que la créance ne devait être prescrite, en assiette comme en recouvrement</w:t>
      </w:r>
      <w:r w:rsidR="000B7BBF">
        <w:t>,</w:t>
      </w:r>
      <w:r w:rsidR="00AE1AAC">
        <w:t xml:space="preserve"> que le 20 juin 2013 ;</w:t>
      </w:r>
    </w:p>
    <w:p w:rsidR="00AE1AAC" w:rsidRDefault="00CF1084" w:rsidP="00511713">
      <w:pPr>
        <w:pStyle w:val="PS"/>
        <w:spacing w:after="360"/>
      </w:pPr>
      <w:r w:rsidRPr="0036568F">
        <w:t xml:space="preserve">Considérant </w:t>
      </w:r>
      <w:r w:rsidR="00AE1AAC" w:rsidRPr="000600BF">
        <w:t>que la responsabilité personnelle et pécuniaire d’un comptable public peut être mise en jeu, en matière de recettes, lorsque le comptable n’a pas exercé, dans les délais appropriés</w:t>
      </w:r>
      <w:r w:rsidR="00B300B9">
        <w:t>,</w:t>
      </w:r>
      <w:r w:rsidR="00AE1AAC" w:rsidRPr="000600BF">
        <w:t xml:space="preserve"> toutes diligences requises et que, de ce fait, une recette est devenue irrécouvrable</w:t>
      </w:r>
      <w:r w:rsidR="008F2ED4">
        <w:t> </w:t>
      </w:r>
      <w:r w:rsidR="00AE1AAC" w:rsidRPr="000600BF">
        <w:t>;</w:t>
      </w:r>
      <w:r w:rsidR="00AE1AAC">
        <w:t xml:space="preserve"> qu’au 31</w:t>
      </w:r>
      <w:r w:rsidR="008F2ED4">
        <w:t xml:space="preserve"> </w:t>
      </w:r>
      <w:r w:rsidR="00AE1AAC">
        <w:t>décembre</w:t>
      </w:r>
      <w:r w:rsidR="008F2ED4">
        <w:t xml:space="preserve"> </w:t>
      </w:r>
      <w:r w:rsidR="00AE1AAC">
        <w:t>2011, la créance en cause restait recouvrable</w:t>
      </w:r>
      <w:r w:rsidR="008F2ED4">
        <w:t xml:space="preserve"> </w:t>
      </w:r>
      <w:r w:rsidR="00AE1AAC">
        <w:t>et qu’il n’y a donc pas lieu d’engager, à cette date, la responsabilité du</w:t>
      </w:r>
      <w:r w:rsidR="00B300B9">
        <w:t> </w:t>
      </w:r>
      <w:r w:rsidR="00AE1AAC">
        <w:t>comptable ;</w:t>
      </w:r>
    </w:p>
    <w:p w:rsidR="00AD1230" w:rsidRDefault="00AD1230" w:rsidP="00511713">
      <w:pPr>
        <w:pStyle w:val="PS"/>
        <w:spacing w:after="360"/>
      </w:pPr>
      <w:r w:rsidRPr="00BC105C">
        <w:rPr>
          <w:i/>
          <w:u w:val="single"/>
        </w:rPr>
        <w:t>Sur la charge n°</w:t>
      </w:r>
      <w:r>
        <w:rPr>
          <w:i/>
          <w:u w:val="single"/>
        </w:rPr>
        <w:t> 2</w:t>
      </w:r>
    </w:p>
    <w:p w:rsidR="00AD1230" w:rsidRDefault="005C1A52" w:rsidP="00511713">
      <w:pPr>
        <w:pStyle w:val="PS"/>
        <w:spacing w:after="360"/>
      </w:pPr>
      <w:r>
        <w:t>Considérant que</w:t>
      </w:r>
      <w:r w:rsidR="00260718">
        <w:t xml:space="preserve"> </w:t>
      </w:r>
      <w:r>
        <w:t>le comptable a payé</w:t>
      </w:r>
      <w:r w:rsidR="000B7BBF">
        <w:t>,</w:t>
      </w:r>
      <w:r>
        <w:t xml:space="preserve"> au cours des années 2007 à 2011</w:t>
      </w:r>
      <w:r w:rsidR="000B7BBF">
        <w:t>,</w:t>
      </w:r>
      <w:r>
        <w:t xml:space="preserve"> des subventions à deux associations : Dunkerque promotion et l’amicale des retraités et préretraités ; que ces subventions ont été justifiées par des délibérations du conseil d’administration du grand port maritime de Dunkerque ; que, selon le réquisitoire susvisé</w:t>
      </w:r>
      <w:r w:rsidR="000B7BBF">
        <w:t>,</w:t>
      </w:r>
      <w:r>
        <w:t xml:space="preserve"> ces paiements auraient dû être, aux termes de la loi n°</w:t>
      </w:r>
      <w:r w:rsidR="00B300B9">
        <w:t> </w:t>
      </w:r>
      <w:r>
        <w:t>2000-321 du</w:t>
      </w:r>
      <w:r w:rsidR="008F2ED4">
        <w:t xml:space="preserve"> </w:t>
      </w:r>
      <w:r>
        <w:t>12</w:t>
      </w:r>
      <w:r w:rsidR="008F2ED4">
        <w:t xml:space="preserve"> </w:t>
      </w:r>
      <w:r>
        <w:t>avril</w:t>
      </w:r>
      <w:r w:rsidR="008F2ED4">
        <w:t xml:space="preserve"> </w:t>
      </w:r>
      <w:r>
        <w:t>2000 et du décret n°</w:t>
      </w:r>
      <w:r w:rsidR="00B300B9">
        <w:t> </w:t>
      </w:r>
      <w:r>
        <w:t>2001-495 du 6</w:t>
      </w:r>
      <w:r w:rsidR="008F2ED4">
        <w:t xml:space="preserve"> </w:t>
      </w:r>
      <w:r>
        <w:t xml:space="preserve">juin 2001, appuyés de conventions conclues entre l’établissement public et ces associations ; qu’à défaut d’avoir, en l’absence de ces </w:t>
      </w:r>
      <w:r w:rsidR="001368AF">
        <w:t>con</w:t>
      </w:r>
      <w:r w:rsidR="002C77FF">
        <w:t>ventions, suspendu les paiement</w:t>
      </w:r>
      <w:r>
        <w:t>s, le comptable a engagé sa responsabilité à hauteur de</w:t>
      </w:r>
      <w:r w:rsidR="008F2ED4">
        <w:t xml:space="preserve"> </w:t>
      </w:r>
      <w:r>
        <w:t>132 897</w:t>
      </w:r>
      <w:r w:rsidR="00B300B9">
        <w:t> </w:t>
      </w:r>
      <w:r>
        <w:t>€ pour l’exercice</w:t>
      </w:r>
      <w:r w:rsidR="008F2ED4">
        <w:t xml:space="preserve"> </w:t>
      </w:r>
      <w:r>
        <w:t>2007, de 124 441</w:t>
      </w:r>
      <w:r w:rsidR="004F2D63">
        <w:t> </w:t>
      </w:r>
      <w:r>
        <w:t>€ pour l’exercice</w:t>
      </w:r>
      <w:r w:rsidR="008F2ED4">
        <w:t xml:space="preserve"> </w:t>
      </w:r>
      <w:r>
        <w:t>2008, de</w:t>
      </w:r>
      <w:r w:rsidR="008F2ED4">
        <w:t xml:space="preserve"> </w:t>
      </w:r>
      <w:r>
        <w:t>155 350</w:t>
      </w:r>
      <w:r w:rsidR="004F2D63">
        <w:t> </w:t>
      </w:r>
      <w:r>
        <w:t>€ pour l’ex</w:t>
      </w:r>
      <w:r w:rsidR="00F61FDB">
        <w:t>ercice</w:t>
      </w:r>
      <w:r w:rsidR="008F2ED4">
        <w:t xml:space="preserve"> </w:t>
      </w:r>
      <w:r w:rsidR="00F61FDB">
        <w:t>2009</w:t>
      </w:r>
      <w:r>
        <w:t>, de</w:t>
      </w:r>
      <w:r w:rsidR="00F61FDB">
        <w:t xml:space="preserve"> 153 850</w:t>
      </w:r>
      <w:r w:rsidR="004F2D63">
        <w:t> </w:t>
      </w:r>
      <w:r w:rsidR="00F61FDB">
        <w:t>€ pour l’exercice</w:t>
      </w:r>
      <w:r w:rsidR="007B12B8">
        <w:t xml:space="preserve"> </w:t>
      </w:r>
      <w:r w:rsidR="00F61FDB">
        <w:t xml:space="preserve">2010, </w:t>
      </w:r>
      <w:r w:rsidR="004F2D63">
        <w:t>et</w:t>
      </w:r>
      <w:r w:rsidR="007B12B8">
        <w:t xml:space="preserve"> </w:t>
      </w:r>
      <w:r w:rsidR="00F61FDB">
        <w:t>154 330 € pour l’exercice</w:t>
      </w:r>
      <w:r w:rsidR="007B12B8">
        <w:t xml:space="preserve"> </w:t>
      </w:r>
      <w:r w:rsidR="00F61FDB">
        <w:t>2011 ;</w:t>
      </w:r>
    </w:p>
    <w:p w:rsidR="00F61FDB" w:rsidRDefault="00F61FDB" w:rsidP="00511713">
      <w:pPr>
        <w:pStyle w:val="PS"/>
        <w:spacing w:after="360"/>
      </w:pPr>
      <w:r>
        <w:t>Considérant que le comptable fait valoir, pour Dunkerque promotion, qu’aucune convention n’a été signée en la forme, mais qu’un accord spécifique annuel était donné pour autoriser la dépense dans le cadre défini par le conseil d’administration, ce qu’il a régulièrement vérifié ; qu’il reconnait l’absence de convention pour l’amicale des retraités et préretraités ; que l’o</w:t>
      </w:r>
      <w:r w:rsidR="000B7BBF">
        <w:t>r</w:t>
      </w:r>
      <w:r>
        <w:t>donnateur reconnait qu’aucune convention, sous aucune forme, ni aucun avenant n’ont été conclus avec aucune des deux associations ; que cette pratique a été modifiée en 2013 ;</w:t>
      </w:r>
    </w:p>
    <w:p w:rsidR="002C77FF" w:rsidRDefault="002C77FF" w:rsidP="00511713">
      <w:pPr>
        <w:pStyle w:val="PS"/>
        <w:spacing w:after="360"/>
      </w:pPr>
      <w:r>
        <w:t>Considérant qu’il résulte de la loi</w:t>
      </w:r>
      <w:r w:rsidRPr="002C77FF">
        <w:t xml:space="preserve"> </w:t>
      </w:r>
      <w:r>
        <w:t>n°</w:t>
      </w:r>
      <w:r w:rsidR="004F2D63">
        <w:t> </w:t>
      </w:r>
      <w:r>
        <w:t>2000-321 du 12 avril 2000 et du décret n°</w:t>
      </w:r>
      <w:r w:rsidR="004F2D63">
        <w:t> </w:t>
      </w:r>
      <w:r>
        <w:t>2001-495 du 6 juin</w:t>
      </w:r>
      <w:r w:rsidR="004F2D63">
        <w:t> </w:t>
      </w:r>
      <w:r>
        <w:t>2001, que l’attribution par une personne publique d’une subvention doit faire l’objet d’une convention dès lors que le montant de cette subvention excède 23</w:t>
      </w:r>
      <w:r w:rsidR="004F2D63">
        <w:t> </w:t>
      </w:r>
      <w:r>
        <w:t>000</w:t>
      </w:r>
      <w:r w:rsidR="004F2D63">
        <w:t> </w:t>
      </w:r>
      <w:r>
        <w:t>€ ;</w:t>
      </w:r>
      <w:r w:rsidR="000B7BBF">
        <w:t xml:space="preserve"> </w:t>
      </w:r>
    </w:p>
    <w:p w:rsidR="00F61FDB" w:rsidRDefault="00D04BF9" w:rsidP="0094095B">
      <w:pPr>
        <w:pStyle w:val="PS"/>
        <w:spacing w:after="320"/>
      </w:pPr>
      <w:r>
        <w:lastRenderedPageBreak/>
        <w:t>Considérant que, du fait de</w:t>
      </w:r>
      <w:r w:rsidR="00F61FDB">
        <w:t xml:space="preserve"> l’absence de dispositions spécifiques au port valant nomenclature des pièces justificatives</w:t>
      </w:r>
      <w:r w:rsidR="00DB4FCE">
        <w:t xml:space="preserve">, </w:t>
      </w:r>
      <w:r w:rsidR="00826531">
        <w:t>et dans le silence de la nomenclature annexée à l’instruction M</w:t>
      </w:r>
      <w:r w:rsidR="002C77FF">
        <w:t xml:space="preserve">95 applicable aux établissements publics industriels ou commerciaux, </w:t>
      </w:r>
      <w:r w:rsidR="00DB4FCE">
        <w:t xml:space="preserve">il appartenait au comptable de </w:t>
      </w:r>
      <w:r w:rsidR="00E6553D">
        <w:t>s</w:t>
      </w:r>
      <w:r w:rsidR="002C77FF">
        <w:t>e référer à la nomenclature des</w:t>
      </w:r>
      <w:r w:rsidR="00DB4FCE">
        <w:t xml:space="preserve"> </w:t>
      </w:r>
      <w:r w:rsidR="002C77FF">
        <w:t>pièces justificatives des dépenses de l’Etat ; que cette nomenclature prévoit à l’appui du paiement de subvention</w:t>
      </w:r>
      <w:r w:rsidR="00E6553D">
        <w:t>s</w:t>
      </w:r>
      <w:r w:rsidR="002C77FF">
        <w:t xml:space="preserve"> la production de la décision attributive ou de la convention d’attribution ; que si la subvention accordée à un organisme de droit privé est supérieure à 23</w:t>
      </w:r>
      <w:r w:rsidR="004F2D63">
        <w:t> </w:t>
      </w:r>
      <w:r w:rsidR="002C77FF">
        <w:t>000</w:t>
      </w:r>
      <w:r w:rsidR="004F2D63">
        <w:t> </w:t>
      </w:r>
      <w:r w:rsidR="002C77FF">
        <w:t xml:space="preserve">€, la décision prend obligatoirement la forme d’une convention ; </w:t>
      </w:r>
      <w:r w:rsidR="005631EF">
        <w:t>que la circulaire du 24</w:t>
      </w:r>
      <w:r w:rsidR="007B12B8">
        <w:t xml:space="preserve"> </w:t>
      </w:r>
      <w:r w:rsidR="005631EF">
        <w:t>décembre</w:t>
      </w:r>
      <w:r w:rsidR="007B12B8">
        <w:t xml:space="preserve"> </w:t>
      </w:r>
      <w:r w:rsidR="005631EF">
        <w:t xml:space="preserve">2002, publiée au </w:t>
      </w:r>
      <w:r w:rsidR="007B12B8" w:rsidRPr="007B12B8">
        <w:rPr>
          <w:i/>
        </w:rPr>
        <w:t>J</w:t>
      </w:r>
      <w:r w:rsidR="005631EF" w:rsidRPr="007B12B8">
        <w:rPr>
          <w:i/>
        </w:rPr>
        <w:t>ournal officiel</w:t>
      </w:r>
      <w:r w:rsidR="001368AF">
        <w:t>,</w:t>
      </w:r>
      <w:r w:rsidR="005631EF">
        <w:t xml:space="preserve"> prévoit également que la production d’une convention est nécessaire au paiement ; </w:t>
      </w:r>
      <w:r w:rsidR="000B7BBF">
        <w:t>que l’accord spécifique annuel mentionné par le comptable ne saurait en tenir lieu ;</w:t>
      </w:r>
    </w:p>
    <w:p w:rsidR="004F3B10" w:rsidRDefault="004F3B10" w:rsidP="0094095B">
      <w:pPr>
        <w:pStyle w:val="PS"/>
        <w:spacing w:after="320"/>
      </w:pPr>
      <w:r>
        <w:t xml:space="preserve">Considérant que les </w:t>
      </w:r>
      <w:r w:rsidR="00720ACC">
        <w:t>subventions accordées à</w:t>
      </w:r>
      <w:r w:rsidR="00AC2047">
        <w:t xml:space="preserve"> Dunkerque promotion</w:t>
      </w:r>
      <w:r w:rsidR="007B12B8">
        <w:t>,</w:t>
      </w:r>
      <w:r w:rsidR="00AC2047">
        <w:t xml:space="preserve"> </w:t>
      </w:r>
      <w:r w:rsidR="00720ACC">
        <w:t>qui</w:t>
      </w:r>
      <w:r w:rsidR="007B12B8">
        <w:t xml:space="preserve"> </w:t>
      </w:r>
      <w:r w:rsidR="00720ACC">
        <w:t xml:space="preserve">excèdent le </w:t>
      </w:r>
      <w:r w:rsidR="001E0CAC">
        <w:t>seuil</w:t>
      </w:r>
      <w:r w:rsidR="00720ACC">
        <w:t xml:space="preserve"> de</w:t>
      </w:r>
      <w:r>
        <w:t xml:space="preserve"> 23 000 €</w:t>
      </w:r>
      <w:r w:rsidR="007B12B8">
        <w:t>,</w:t>
      </w:r>
      <w:r w:rsidR="00AC2047">
        <w:t xml:space="preserve"> s’élèvent à 96</w:t>
      </w:r>
      <w:r w:rsidR="004F2D63">
        <w:t> </w:t>
      </w:r>
      <w:r w:rsidR="00AC2047">
        <w:t>000</w:t>
      </w:r>
      <w:r w:rsidR="004F2D63">
        <w:t> </w:t>
      </w:r>
      <w:r w:rsidR="00AC2047">
        <w:t>€ en 2007, 124</w:t>
      </w:r>
      <w:r w:rsidR="004F2D63">
        <w:t> </w:t>
      </w:r>
      <w:r w:rsidR="00AC2047">
        <w:t>441</w:t>
      </w:r>
      <w:r w:rsidR="004F2D63">
        <w:t> </w:t>
      </w:r>
      <w:r w:rsidR="00AC2047">
        <w:t>€ en 2008, 130</w:t>
      </w:r>
      <w:r w:rsidR="004F2D63">
        <w:t> </w:t>
      </w:r>
      <w:r w:rsidR="00AC2047">
        <w:t>000</w:t>
      </w:r>
      <w:r w:rsidR="004F2D63">
        <w:t> </w:t>
      </w:r>
      <w:r w:rsidR="00AC2047">
        <w:t>€ en</w:t>
      </w:r>
      <w:r>
        <w:t xml:space="preserve"> 2009</w:t>
      </w:r>
      <w:r w:rsidR="00AC2047">
        <w:t>, 130</w:t>
      </w:r>
      <w:r w:rsidR="004F2D63">
        <w:t> </w:t>
      </w:r>
      <w:r w:rsidR="00AC2047">
        <w:t>000</w:t>
      </w:r>
      <w:r w:rsidR="004F2D63">
        <w:t> </w:t>
      </w:r>
      <w:r w:rsidR="00720ACC">
        <w:t>€ en 2010 et 130</w:t>
      </w:r>
      <w:r w:rsidR="004F2D63">
        <w:t> </w:t>
      </w:r>
      <w:r w:rsidR="00720ACC">
        <w:t>980</w:t>
      </w:r>
      <w:r w:rsidR="004F2D63">
        <w:t> </w:t>
      </w:r>
      <w:r w:rsidR="00720ACC">
        <w:t>€ en 2011 ;</w:t>
      </w:r>
    </w:p>
    <w:p w:rsidR="004F3B10" w:rsidRDefault="004F3B10" w:rsidP="0094095B">
      <w:pPr>
        <w:pStyle w:val="PS"/>
        <w:spacing w:after="320"/>
      </w:pPr>
      <w:r>
        <w:t>Considérant</w:t>
      </w:r>
      <w:r w:rsidR="00720ACC">
        <w:t xml:space="preserve"> que les </w:t>
      </w:r>
      <w:r w:rsidR="00F147B2">
        <w:t>subventions accordées à</w:t>
      </w:r>
      <w:r>
        <w:t xml:space="preserve"> l’amicale des retraités et préretraités</w:t>
      </w:r>
      <w:r w:rsidR="00F147B2">
        <w:t xml:space="preserve"> qui excèdent le </w:t>
      </w:r>
      <w:r w:rsidR="001E0CAC">
        <w:t>seuil</w:t>
      </w:r>
      <w:r w:rsidR="00F147B2">
        <w:t xml:space="preserve"> de 23</w:t>
      </w:r>
      <w:r w:rsidR="004F2D63">
        <w:t> </w:t>
      </w:r>
      <w:r w:rsidR="00F147B2">
        <w:t>000</w:t>
      </w:r>
      <w:r w:rsidR="004F2D63">
        <w:t> </w:t>
      </w:r>
      <w:r w:rsidR="00F147B2">
        <w:t>€ s’élèvent à 27</w:t>
      </w:r>
      <w:r w:rsidR="004F2D63">
        <w:t> </w:t>
      </w:r>
      <w:r w:rsidR="00F147B2">
        <w:t>750</w:t>
      </w:r>
      <w:r w:rsidR="004F2D63">
        <w:t> </w:t>
      </w:r>
      <w:r w:rsidR="00F147B2">
        <w:t>€ en 2007</w:t>
      </w:r>
      <w:r>
        <w:t xml:space="preserve">, </w:t>
      </w:r>
      <w:r w:rsidR="00F147B2">
        <w:t>25</w:t>
      </w:r>
      <w:r w:rsidR="004F2D63">
        <w:t> </w:t>
      </w:r>
      <w:r w:rsidR="00F147B2">
        <w:t>350</w:t>
      </w:r>
      <w:r w:rsidR="004F2D63">
        <w:t> </w:t>
      </w:r>
      <w:r w:rsidR="00F147B2">
        <w:t>€ en</w:t>
      </w:r>
      <w:r w:rsidR="007B12B8">
        <w:t xml:space="preserve"> </w:t>
      </w:r>
      <w:r w:rsidR="00F147B2">
        <w:t>2009, 23</w:t>
      </w:r>
      <w:r w:rsidR="004F2D63">
        <w:t> </w:t>
      </w:r>
      <w:r w:rsidR="00F147B2">
        <w:t>850</w:t>
      </w:r>
      <w:r w:rsidR="004F2D63">
        <w:t> </w:t>
      </w:r>
      <w:r w:rsidR="00F147B2">
        <w:t>€ en 2010 et 23</w:t>
      </w:r>
      <w:r w:rsidR="004F2D63">
        <w:t> </w:t>
      </w:r>
      <w:r w:rsidR="00F147B2">
        <w:t>350</w:t>
      </w:r>
      <w:r w:rsidR="004F2D63">
        <w:t> </w:t>
      </w:r>
      <w:r w:rsidR="00F147B2">
        <w:t>€ en 2011 ;</w:t>
      </w:r>
    </w:p>
    <w:p w:rsidR="005631EF" w:rsidRDefault="005631EF" w:rsidP="0094095B">
      <w:pPr>
        <w:pStyle w:val="PS"/>
        <w:spacing w:after="320"/>
      </w:pPr>
      <w:r>
        <w:t xml:space="preserve">Considérant qu’en procédant au paiement des </w:t>
      </w:r>
      <w:r w:rsidR="00424968">
        <w:t>mandat</w:t>
      </w:r>
      <w:r>
        <w:t>s en cause sans s’être fait produire les conventions conclues entre le grand port maritime de Dunkerque et les associations Dunkerque promotion et amicale des retraités</w:t>
      </w:r>
      <w:r w:rsidR="001E0CAC">
        <w:t xml:space="preserve"> et préretraités, le comptable </w:t>
      </w:r>
      <w:r>
        <w:t>ne s’est pas assuré de la produc</w:t>
      </w:r>
      <w:r w:rsidR="001368AF">
        <w:t>tion des justifications de ces</w:t>
      </w:r>
      <w:r>
        <w:t xml:space="preserve"> dépense</w:t>
      </w:r>
      <w:r w:rsidR="001368AF">
        <w:t>s</w:t>
      </w:r>
      <w:r>
        <w:t xml:space="preserve">, qui </w:t>
      </w:r>
      <w:r w:rsidR="001368AF">
        <w:t>ont</w:t>
      </w:r>
      <w:r>
        <w:t>, ainsi, été irrégulièrement payée</w:t>
      </w:r>
      <w:r w:rsidR="001368AF">
        <w:t>s</w:t>
      </w:r>
      <w:r>
        <w:t> ; que le comptable a manqué aux obligations de contrôle en matière de dépenses qui lui incombent en application des dispositions de l’article 60 de la loi n°</w:t>
      </w:r>
      <w:r w:rsidR="004F2D63">
        <w:t> </w:t>
      </w:r>
      <w:r>
        <w:t>63-156 du 23 février 1963 et des articles 11, 12B, 13 et 37 du décret n°</w:t>
      </w:r>
      <w:r w:rsidR="004F2D63">
        <w:t> </w:t>
      </w:r>
      <w:r>
        <w:t xml:space="preserve">62-1587 du 29 décembre 1962, alors </w:t>
      </w:r>
      <w:r w:rsidR="00E6553D">
        <w:t>en vigueur</w:t>
      </w:r>
      <w:r>
        <w:t> ; qu’il a</w:t>
      </w:r>
      <w:r w:rsidR="00AA53B7">
        <w:t>,</w:t>
      </w:r>
      <w:r>
        <w:t xml:space="preserve"> ainsi</w:t>
      </w:r>
      <w:r w:rsidR="00AA53B7">
        <w:t>,</w:t>
      </w:r>
      <w:r>
        <w:t xml:space="preserve"> engagé sa responsabilité ;</w:t>
      </w:r>
      <w:r w:rsidR="00424968">
        <w:t xml:space="preserve"> </w:t>
      </w:r>
    </w:p>
    <w:p w:rsidR="007677AB" w:rsidRDefault="00CF1084" w:rsidP="0094095B">
      <w:pPr>
        <w:pStyle w:val="PS"/>
        <w:spacing w:after="320"/>
      </w:pPr>
      <w:r w:rsidRPr="0036568F">
        <w:t>Considérant que le manquement du comptable ne résulte pas de circonstances de force</w:t>
      </w:r>
      <w:r>
        <w:t xml:space="preserve"> </w:t>
      </w:r>
      <w:r w:rsidRPr="0036568F">
        <w:t>majeure</w:t>
      </w:r>
      <w:r w:rsidR="007677AB">
        <w:t> ;</w:t>
      </w:r>
    </w:p>
    <w:p w:rsidR="00CF1084" w:rsidRDefault="007677AB" w:rsidP="0094095B">
      <w:pPr>
        <w:pStyle w:val="PS"/>
        <w:spacing w:after="320"/>
      </w:pPr>
      <w:r>
        <w:t xml:space="preserve">Considérant que </w:t>
      </w:r>
      <w:r w:rsidR="006A6FC7">
        <w:t>ces</w:t>
      </w:r>
      <w:r w:rsidR="00260718">
        <w:t xml:space="preserve"> payements </w:t>
      </w:r>
      <w:r w:rsidR="0062339C">
        <w:t xml:space="preserve">sans convention, </w:t>
      </w:r>
      <w:r w:rsidR="006A6FC7">
        <w:t xml:space="preserve">en dépassement du seuil </w:t>
      </w:r>
      <w:r w:rsidR="0062339C">
        <w:t>réglementaire annuel,</w:t>
      </w:r>
      <w:r w:rsidR="00260718">
        <w:t xml:space="preserve"> ont</w:t>
      </w:r>
      <w:r w:rsidR="001E0CAC">
        <w:t xml:space="preserve"> causé un</w:t>
      </w:r>
      <w:r w:rsidR="001E0CAC" w:rsidRPr="0036568F">
        <w:t xml:space="preserve"> préjudice financier </w:t>
      </w:r>
      <w:r w:rsidR="001E0CAC">
        <w:t>à</w:t>
      </w:r>
      <w:r w:rsidR="001E0CAC" w:rsidRPr="0036568F">
        <w:t xml:space="preserve"> l’établissement</w:t>
      </w:r>
      <w:r w:rsidR="001E0CAC">
        <w:t> ;</w:t>
      </w:r>
      <w:r w:rsidR="00CF1084" w:rsidRPr="00A7760C">
        <w:t xml:space="preserve"> </w:t>
      </w:r>
    </w:p>
    <w:p w:rsidR="008B600F" w:rsidRDefault="00260718" w:rsidP="0094095B">
      <w:pPr>
        <w:pStyle w:val="PS"/>
        <w:spacing w:after="320"/>
      </w:pPr>
      <w:r>
        <w:t>Considérant qu’il y a donc lieu de constituer M.</w:t>
      </w:r>
      <w:r w:rsidR="004F2D63">
        <w:t> </w:t>
      </w:r>
      <w:r w:rsidR="00B13CCB">
        <w:t>X</w:t>
      </w:r>
      <w:r>
        <w:t xml:space="preserve"> en débet, au titre de l’exercice</w:t>
      </w:r>
      <w:r w:rsidR="007B12B8">
        <w:t xml:space="preserve"> </w:t>
      </w:r>
      <w:r>
        <w:t>2007, de la somme de 123</w:t>
      </w:r>
      <w:r w:rsidR="004F2D63">
        <w:t> </w:t>
      </w:r>
      <w:r>
        <w:t>759</w:t>
      </w:r>
      <w:r w:rsidR="004F2D63">
        <w:t> </w:t>
      </w:r>
      <w:r>
        <w:t>€, au titre de l’exercice</w:t>
      </w:r>
      <w:r w:rsidR="007B12B8">
        <w:t xml:space="preserve"> </w:t>
      </w:r>
      <w:r>
        <w:t>2008, de la somme de</w:t>
      </w:r>
      <w:r w:rsidR="007B12B8">
        <w:t xml:space="preserve"> </w:t>
      </w:r>
      <w:r>
        <w:t>124</w:t>
      </w:r>
      <w:r w:rsidR="004F2D63">
        <w:t> </w:t>
      </w:r>
      <w:r>
        <w:t>441</w:t>
      </w:r>
      <w:r w:rsidR="004F2D63">
        <w:t> </w:t>
      </w:r>
      <w:r>
        <w:t>€, au titre de l’exercice</w:t>
      </w:r>
      <w:r w:rsidR="007B12B8">
        <w:t xml:space="preserve"> </w:t>
      </w:r>
      <w:r>
        <w:t>2009, de la somme de 155</w:t>
      </w:r>
      <w:r w:rsidR="004F2D63">
        <w:t> </w:t>
      </w:r>
      <w:r>
        <w:t>350</w:t>
      </w:r>
      <w:r w:rsidR="004F2D63">
        <w:t> </w:t>
      </w:r>
      <w:r>
        <w:t>€, au titre de l’exercice</w:t>
      </w:r>
      <w:r w:rsidR="007B12B8">
        <w:t xml:space="preserve"> </w:t>
      </w:r>
      <w:r>
        <w:t>2010</w:t>
      </w:r>
      <w:r w:rsidR="00D04135">
        <w:t>, de la somme de 153</w:t>
      </w:r>
      <w:r w:rsidR="004F2D63">
        <w:t> </w:t>
      </w:r>
      <w:r w:rsidR="00D04135">
        <w:t>850</w:t>
      </w:r>
      <w:r w:rsidR="004F2D63">
        <w:t> </w:t>
      </w:r>
      <w:r w:rsidR="00D04135">
        <w:t>€ et</w:t>
      </w:r>
      <w:r w:rsidR="007B12B8">
        <w:t>,</w:t>
      </w:r>
      <w:r w:rsidR="00D04135">
        <w:t xml:space="preserve"> au titre de 2011, de la somme de</w:t>
      </w:r>
      <w:r w:rsidR="007B12B8">
        <w:t xml:space="preserve"> </w:t>
      </w:r>
      <w:r w:rsidR="00D04135">
        <w:t>154</w:t>
      </w:r>
      <w:r w:rsidR="004F2D63">
        <w:t> </w:t>
      </w:r>
      <w:r w:rsidR="00D04135">
        <w:t>330</w:t>
      </w:r>
      <w:r w:rsidR="004F2D63">
        <w:t> </w:t>
      </w:r>
      <w:r w:rsidR="00D04135">
        <w:t>€, portant intérêts de droit à compter du 5 août 2013, date à laquelle le réquisitoire a été notifié au comptable ;</w:t>
      </w:r>
    </w:p>
    <w:p w:rsidR="008B600F" w:rsidRDefault="008B600F" w:rsidP="0094095B">
      <w:pPr>
        <w:pStyle w:val="PS"/>
        <w:spacing w:after="320"/>
      </w:pPr>
      <w:r w:rsidRPr="00BC105C">
        <w:rPr>
          <w:i/>
          <w:u w:val="single"/>
        </w:rPr>
        <w:t>Sur la charge n°</w:t>
      </w:r>
      <w:r>
        <w:rPr>
          <w:i/>
          <w:u w:val="single"/>
        </w:rPr>
        <w:t> </w:t>
      </w:r>
      <w:r w:rsidR="004E0283">
        <w:rPr>
          <w:i/>
          <w:u w:val="single"/>
        </w:rPr>
        <w:t>3</w:t>
      </w:r>
    </w:p>
    <w:p w:rsidR="00C168DD" w:rsidRPr="00C168DD" w:rsidRDefault="00C168DD" w:rsidP="00C168DD">
      <w:pPr>
        <w:pStyle w:val="PS"/>
        <w:spacing w:after="360"/>
      </w:pPr>
      <w:r w:rsidRPr="00C168DD">
        <w:t>Considérant qu</w:t>
      </w:r>
      <w:r w:rsidR="008F0362">
        <w:t xml:space="preserve">e </w:t>
      </w:r>
      <w:r w:rsidRPr="00C168DD">
        <w:t xml:space="preserve">l’agent comptable </w:t>
      </w:r>
      <w:proofErr w:type="gramStart"/>
      <w:r w:rsidRPr="00C168DD">
        <w:t>a</w:t>
      </w:r>
      <w:proofErr w:type="gramEnd"/>
      <w:r w:rsidRPr="00C168DD">
        <w:t xml:space="preserve"> versé, durant ses gestions 2007 à 2011, au profit de divers agents du Port, des primes de déplacement dites « </w:t>
      </w:r>
      <w:proofErr w:type="spellStart"/>
      <w:r w:rsidRPr="00C168DD">
        <w:t>Mardyck</w:t>
      </w:r>
      <w:proofErr w:type="spellEnd"/>
      <w:r w:rsidRPr="00C168DD">
        <w:t> » et « </w:t>
      </w:r>
      <w:proofErr w:type="spellStart"/>
      <w:r w:rsidRPr="00C168DD">
        <w:t>Watier</w:t>
      </w:r>
      <w:proofErr w:type="spellEnd"/>
      <w:r w:rsidRPr="00C168DD">
        <w:t xml:space="preserve"> », à hauteur </w:t>
      </w:r>
      <w:r>
        <w:t xml:space="preserve">de </w:t>
      </w:r>
      <w:r w:rsidR="00C920F0" w:rsidRPr="00C920F0">
        <w:t>4</w:t>
      </w:r>
      <w:r w:rsidR="004F2D63">
        <w:t> </w:t>
      </w:r>
      <w:r w:rsidR="00C920F0" w:rsidRPr="00C920F0">
        <w:t>241,44</w:t>
      </w:r>
      <w:r w:rsidR="004F2D63">
        <w:t> </w:t>
      </w:r>
      <w:r w:rsidR="00C920F0">
        <w:t>€ au titre de l’exercice</w:t>
      </w:r>
      <w:r w:rsidR="007B12B8">
        <w:t xml:space="preserve"> </w:t>
      </w:r>
      <w:r w:rsidR="00C920F0">
        <w:t>2007,</w:t>
      </w:r>
      <w:r w:rsidR="00C920F0" w:rsidRPr="00C920F0">
        <w:t xml:space="preserve"> </w:t>
      </w:r>
      <w:r w:rsidR="00C920F0" w:rsidRPr="00C920F0">
        <w:tab/>
        <w:t>2 632,37</w:t>
      </w:r>
      <w:r w:rsidR="004F2D63">
        <w:t> </w:t>
      </w:r>
      <w:r w:rsidR="00C920F0">
        <w:t>€ au titre de l’exercice</w:t>
      </w:r>
      <w:r w:rsidR="007B12B8">
        <w:t xml:space="preserve"> </w:t>
      </w:r>
      <w:r w:rsidR="00C920F0">
        <w:t xml:space="preserve">2008, </w:t>
      </w:r>
      <w:r w:rsidR="00C920F0" w:rsidRPr="00C920F0">
        <w:t>2</w:t>
      </w:r>
      <w:r w:rsidR="004F2D63">
        <w:t> </w:t>
      </w:r>
      <w:r w:rsidR="00C920F0" w:rsidRPr="00C920F0">
        <w:t>398,77</w:t>
      </w:r>
      <w:r w:rsidR="004F2D63">
        <w:t> </w:t>
      </w:r>
      <w:r w:rsidR="00C920F0">
        <w:t>€ au titre de l’exercice</w:t>
      </w:r>
      <w:r w:rsidR="007B12B8">
        <w:t xml:space="preserve"> </w:t>
      </w:r>
      <w:r w:rsidR="00C920F0">
        <w:t xml:space="preserve">2009, </w:t>
      </w:r>
      <w:r w:rsidR="00C920F0" w:rsidRPr="00C920F0">
        <w:t>2</w:t>
      </w:r>
      <w:r w:rsidR="004F2D63">
        <w:t> </w:t>
      </w:r>
      <w:r w:rsidR="00C920F0" w:rsidRPr="00C920F0">
        <w:t>258,11</w:t>
      </w:r>
      <w:r w:rsidR="004F2D63">
        <w:t> </w:t>
      </w:r>
      <w:r w:rsidR="00C920F0">
        <w:t>€ au titre de l’exercice</w:t>
      </w:r>
      <w:r w:rsidR="007B12B8">
        <w:t xml:space="preserve"> </w:t>
      </w:r>
      <w:r w:rsidR="00C920F0">
        <w:t xml:space="preserve">2010, et </w:t>
      </w:r>
      <w:r w:rsidR="00C920F0" w:rsidRPr="00C920F0">
        <w:t>1</w:t>
      </w:r>
      <w:r w:rsidR="004F2D63">
        <w:t> </w:t>
      </w:r>
      <w:r w:rsidR="00C920F0" w:rsidRPr="00C920F0">
        <w:t>726,34</w:t>
      </w:r>
      <w:r w:rsidR="004F2D63">
        <w:t> </w:t>
      </w:r>
      <w:r w:rsidR="00C920F0">
        <w:t>€ au titre de l’exercice</w:t>
      </w:r>
      <w:r w:rsidR="004F2D63">
        <w:t> </w:t>
      </w:r>
      <w:r w:rsidR="00C920F0">
        <w:t>2011 ;</w:t>
      </w:r>
    </w:p>
    <w:p w:rsidR="008F0362" w:rsidRDefault="00C920F0" w:rsidP="0094095B">
      <w:pPr>
        <w:pStyle w:val="PS"/>
      </w:pPr>
      <w:r>
        <w:lastRenderedPageBreak/>
        <w:t>Considérant que</w:t>
      </w:r>
      <w:r w:rsidR="008F0362">
        <w:t xml:space="preserve">, selon le réquisitoire susvisé, avant de procéder à ces paiements, le comptable </w:t>
      </w:r>
      <w:r w:rsidR="0071180A">
        <w:t xml:space="preserve">aurait dû </w:t>
      </w:r>
      <w:r w:rsidR="008F0362">
        <w:t>disposer du ou des textes fondant les primes litigieuses ; qu’à défaut, il aurait dû suspendre le</w:t>
      </w:r>
      <w:r w:rsidR="00470181">
        <w:t>s</w:t>
      </w:r>
      <w:r w:rsidR="008F0362">
        <w:t xml:space="preserve"> paiement</w:t>
      </w:r>
      <w:r w:rsidR="00470181">
        <w:t>s, conformément à</w:t>
      </w:r>
      <w:r w:rsidR="007B12B8">
        <w:t xml:space="preserve"> </w:t>
      </w:r>
      <w:r w:rsidR="00470181">
        <w:t>l’article</w:t>
      </w:r>
      <w:r w:rsidR="007B12B8">
        <w:t xml:space="preserve"> </w:t>
      </w:r>
      <w:r w:rsidR="00470181">
        <w:t>37 du décret n°</w:t>
      </w:r>
      <w:r w:rsidR="004F2D63">
        <w:t> </w:t>
      </w:r>
      <w:r w:rsidR="00470181">
        <w:t>62-1587 du 29</w:t>
      </w:r>
      <w:r w:rsidR="007B12B8">
        <w:t xml:space="preserve"> </w:t>
      </w:r>
      <w:r w:rsidR="00470181">
        <w:t>décembre</w:t>
      </w:r>
      <w:r w:rsidR="007B12B8">
        <w:t xml:space="preserve"> </w:t>
      </w:r>
      <w:r w:rsidR="00470181">
        <w:t>1962</w:t>
      </w:r>
      <w:r w:rsidR="008F0362">
        <w:t xml:space="preserve"> et en informer l’ordonnateur ; qu’au surplus, en ne relevant pas l’incompétence de l’ordonnateur pour mettre en </w:t>
      </w:r>
      <w:r w:rsidR="00BD6243">
        <w:t>œuvre</w:t>
      </w:r>
      <w:r w:rsidR="008F0362">
        <w:t xml:space="preserve"> un régime indemnitaire non prévu par la convention collective applicable, ni établi par délibération exécutoire du conseil d’administration, il a méconnu ses obligations de contrôle telles que prévues à l’article</w:t>
      </w:r>
      <w:r w:rsidR="007B12B8">
        <w:t xml:space="preserve"> </w:t>
      </w:r>
      <w:r w:rsidR="008F0362">
        <w:t>12</w:t>
      </w:r>
      <w:r w:rsidR="007B12B8">
        <w:t xml:space="preserve"> </w:t>
      </w:r>
      <w:r w:rsidR="008F0362">
        <w:t>B du même décret ;</w:t>
      </w:r>
    </w:p>
    <w:p w:rsidR="008F0362" w:rsidRDefault="00470181" w:rsidP="0094095B">
      <w:pPr>
        <w:pStyle w:val="PS"/>
      </w:pPr>
      <w:r>
        <w:t xml:space="preserve">Considérant que le comptable a fait valoir que l’intitulé exact des primes est « prime de déplacement </w:t>
      </w:r>
      <w:proofErr w:type="spellStart"/>
      <w:r>
        <w:t>Mardick</w:t>
      </w:r>
      <w:proofErr w:type="spellEnd"/>
      <w:r>
        <w:t xml:space="preserve"> » et « prime de déplacement </w:t>
      </w:r>
      <w:proofErr w:type="spellStart"/>
      <w:r>
        <w:t>Watier</w:t>
      </w:r>
      <w:proofErr w:type="spellEnd"/>
      <w:r>
        <w:t xml:space="preserve"> » ; que, s’agissant d’indemnités allouées aux agents qui utilisent leurs moyens de transports personnels pour se rendre dans différents endroits du port pour effectuer leur mission, l’appellation « prime » est erronée et que celle « d’indemnité d’utilisation de moyens de transports personnels : IU » est </w:t>
      </w:r>
      <w:r w:rsidR="0071180A">
        <w:t>plus appropriée ;</w:t>
      </w:r>
    </w:p>
    <w:p w:rsidR="00470181" w:rsidRDefault="00470181" w:rsidP="0094095B">
      <w:pPr>
        <w:pStyle w:val="PS"/>
      </w:pPr>
      <w:r>
        <w:t xml:space="preserve">Considérant que le comptable fait également valoir que la convention collective prévoit, dans son article 24, le remboursement des frais de déplacement ; que la </w:t>
      </w:r>
      <w:r w:rsidR="00BF0FCC">
        <w:t>« </w:t>
      </w:r>
      <w:r>
        <w:t>prime de déplaceme</w:t>
      </w:r>
      <w:r w:rsidR="00BD6243">
        <w:t xml:space="preserve">nt </w:t>
      </w:r>
      <w:proofErr w:type="spellStart"/>
      <w:r w:rsidR="00BD6243">
        <w:t>M</w:t>
      </w:r>
      <w:r>
        <w:t>ardyck</w:t>
      </w:r>
      <w:proofErr w:type="spellEnd"/>
      <w:r w:rsidR="00BF0FCC">
        <w:t> »</w:t>
      </w:r>
      <w:r>
        <w:t xml:space="preserve"> est allouée sous la condition d’utilisation du véhicule personnel</w:t>
      </w:r>
      <w:r w:rsidR="00121CD9">
        <w:t xml:space="preserve"> aux grutiers po</w:t>
      </w:r>
      <w:r>
        <w:t>ur se rendre</w:t>
      </w:r>
      <w:r w:rsidR="0061540B">
        <w:t xml:space="preserve"> de leur bâtiment jusqu’au bureau de l’exploitation et aux opérateurs de conduite d’ouvrage qui devaient se rendre à l’écluse</w:t>
      </w:r>
      <w:r w:rsidR="007B12B8">
        <w:t xml:space="preserve"> </w:t>
      </w:r>
      <w:proofErr w:type="spellStart"/>
      <w:r w:rsidR="0061540B">
        <w:t>Mardyck</w:t>
      </w:r>
      <w:proofErr w:type="spellEnd"/>
      <w:r w:rsidR="0061540B">
        <w:t xml:space="preserve"> ; que la </w:t>
      </w:r>
      <w:r w:rsidR="00BF0FCC">
        <w:t>« </w:t>
      </w:r>
      <w:r w:rsidR="0061540B">
        <w:t xml:space="preserve">prime de déplacement </w:t>
      </w:r>
      <w:proofErr w:type="spellStart"/>
      <w:r w:rsidR="0061540B">
        <w:t>Watier</w:t>
      </w:r>
      <w:proofErr w:type="spellEnd"/>
      <w:r w:rsidR="00BF0FCC">
        <w:t> »</w:t>
      </w:r>
      <w:r w:rsidR="0061540B">
        <w:t xml:space="preserve"> était allouée sous condition d’utilisation du véhicule </w:t>
      </w:r>
      <w:r w:rsidR="00121CD9">
        <w:t>personnel aux gru</w:t>
      </w:r>
      <w:r w:rsidR="0061540B">
        <w:t>t</w:t>
      </w:r>
      <w:r w:rsidR="00121CD9">
        <w:t>i</w:t>
      </w:r>
      <w:r w:rsidR="0061540B">
        <w:t>ers pour se rendre de leur bâtiment vers le site de la réparation navale et le lieu de dragage ; que le paiement de ces indemnités depuis plusieurs années est consécutif à l’usage constaté dans le règlement additionnel qui permet d’indemniser les salariés qui utilisent leurs moyens de transport personnels dans le cadre de l’exécution du service sur le territoire portuaire, dont la façade maritime représente plus de 17</w:t>
      </w:r>
      <w:r w:rsidR="004F2D63">
        <w:t> </w:t>
      </w:r>
      <w:r w:rsidR="0061540B">
        <w:t>kilomètres ;</w:t>
      </w:r>
    </w:p>
    <w:p w:rsidR="0061540B" w:rsidRDefault="0061540B" w:rsidP="0094095B">
      <w:pPr>
        <w:pStyle w:val="PS"/>
      </w:pPr>
      <w:r>
        <w:t>Considérant que le comptable fait valoir, enfin, que les « IU » ont été payées au vu d’états just</w:t>
      </w:r>
      <w:r w:rsidR="003B3C9C">
        <w:t>i</w:t>
      </w:r>
      <w:r>
        <w:t>ficatifs des déplacements validés par les responsables d’unités et chefs de service ;</w:t>
      </w:r>
    </w:p>
    <w:p w:rsidR="002B4756" w:rsidRDefault="002B4756" w:rsidP="0094095B">
      <w:pPr>
        <w:pStyle w:val="PS"/>
      </w:pPr>
      <w:r>
        <w:t>Co</w:t>
      </w:r>
      <w:r w:rsidR="007541F9">
        <w:t>nsidérant que l’ordonnateur a indiqué que, pour ce qui</w:t>
      </w:r>
      <w:r w:rsidR="00BD6243">
        <w:t xml:space="preserve"> concerne les </w:t>
      </w:r>
      <w:r w:rsidR="00BF0FCC">
        <w:t>« </w:t>
      </w:r>
      <w:r w:rsidR="00BD6243">
        <w:t xml:space="preserve">primes </w:t>
      </w:r>
      <w:proofErr w:type="spellStart"/>
      <w:r w:rsidR="00BD6243">
        <w:t>M</w:t>
      </w:r>
      <w:r w:rsidR="007541F9">
        <w:t>ardyck</w:t>
      </w:r>
      <w:proofErr w:type="spellEnd"/>
      <w:r w:rsidR="007541F9">
        <w:t xml:space="preserve"> et </w:t>
      </w:r>
      <w:proofErr w:type="spellStart"/>
      <w:r w:rsidR="007541F9">
        <w:t>Watier</w:t>
      </w:r>
      <w:proofErr w:type="spellEnd"/>
      <w:r w:rsidR="00BF0FCC">
        <w:t> »</w:t>
      </w:r>
      <w:r w:rsidR="007541F9">
        <w:t xml:space="preserve">, aucun texte </w:t>
      </w:r>
      <w:proofErr w:type="spellStart"/>
      <w:r w:rsidR="007541F9">
        <w:t>institutif</w:t>
      </w:r>
      <w:proofErr w:type="spellEnd"/>
      <w:r w:rsidR="007541F9">
        <w:t xml:space="preserve"> n’avait pu être retracé pour la période considérée</w:t>
      </w:r>
      <w:r w:rsidR="00282585">
        <w:t> ;</w:t>
      </w:r>
      <w:r w:rsidR="007541F9">
        <w:t xml:space="preserve"> que, </w:t>
      </w:r>
      <w:r w:rsidR="00282585">
        <w:t>à partir de 2013, cependant, un protocole avait été validé par un accord paritaire pour en fixer les conditions d’attribution ;</w:t>
      </w:r>
    </w:p>
    <w:p w:rsidR="00CF2D56" w:rsidRDefault="00432D6D" w:rsidP="00FB6A26">
      <w:pPr>
        <w:pStyle w:val="PS"/>
        <w:spacing w:after="360"/>
      </w:pPr>
      <w:r>
        <w:t xml:space="preserve">Considérant que, contrairement à ce que </w:t>
      </w:r>
      <w:r w:rsidR="00BD6243">
        <w:t>soutient</w:t>
      </w:r>
      <w:r>
        <w:t xml:space="preserve"> le comptable, </w:t>
      </w:r>
      <w:r w:rsidR="00441591">
        <w:t>ni la convention collectiv</w:t>
      </w:r>
      <w:r>
        <w:t xml:space="preserve">e, ni son règlement additionnel ne prévoient de telles primes ou indemnités ; </w:t>
      </w:r>
      <w:r w:rsidR="00CF2D56">
        <w:t>que les dispositions du protocole additionnel du 22</w:t>
      </w:r>
      <w:r w:rsidR="007B12B8">
        <w:t xml:space="preserve"> </w:t>
      </w:r>
      <w:r w:rsidR="00CF2D56">
        <w:t>décembre</w:t>
      </w:r>
      <w:r w:rsidR="007B12B8">
        <w:t xml:space="preserve"> </w:t>
      </w:r>
      <w:r w:rsidR="00CF2D56">
        <w:t>1992 ne</w:t>
      </w:r>
      <w:r w:rsidR="007B12B8">
        <w:t xml:space="preserve"> </w:t>
      </w:r>
      <w:r w:rsidR="00CF2D56">
        <w:t>correspondent</w:t>
      </w:r>
      <w:r w:rsidR="003B3C9C">
        <w:t xml:space="preserve"> pas</w:t>
      </w:r>
      <w:r w:rsidR="00CF2D56">
        <w:t xml:space="preserve"> aux critères </w:t>
      </w:r>
      <w:r w:rsidR="003B3C9C">
        <w:t xml:space="preserve">d’attribution </w:t>
      </w:r>
      <w:r w:rsidR="00CF2D56">
        <w:t>des « primes</w:t>
      </w:r>
      <w:r w:rsidR="007B12B8">
        <w:t xml:space="preserve"> </w:t>
      </w:r>
      <w:proofErr w:type="spellStart"/>
      <w:r w:rsidR="00CF2D56">
        <w:t>Mardyck</w:t>
      </w:r>
      <w:proofErr w:type="spellEnd"/>
      <w:r w:rsidR="00CF2D56">
        <w:t> » ou « </w:t>
      </w:r>
      <w:proofErr w:type="spellStart"/>
      <w:r w:rsidR="00CF2D56">
        <w:t>Watier</w:t>
      </w:r>
      <w:proofErr w:type="spellEnd"/>
      <w:r w:rsidR="00CF2D56">
        <w:t> » ; que</w:t>
      </w:r>
      <w:r w:rsidR="007B12B8">
        <w:t xml:space="preserve"> </w:t>
      </w:r>
      <w:r w:rsidR="00CF2D56">
        <w:t>les dispositions de l’article</w:t>
      </w:r>
      <w:r w:rsidR="00AF7DA4">
        <w:t> </w:t>
      </w:r>
      <w:r w:rsidR="00CF2D56">
        <w:t>24 de la convention collective relatif à divers avantages en nature et aux frais de déplacement ne sauraient</w:t>
      </w:r>
      <w:r w:rsidR="001368AF">
        <w:t>,</w:t>
      </w:r>
      <w:r w:rsidR="00CF2D56">
        <w:t xml:space="preserve"> non plus</w:t>
      </w:r>
      <w:r w:rsidR="001368AF">
        <w:t>,</w:t>
      </w:r>
      <w:r w:rsidR="00CF2D56">
        <w:t xml:space="preserve"> justifier les paiements en</w:t>
      </w:r>
      <w:r w:rsidR="007B12B8">
        <w:t xml:space="preserve"> </w:t>
      </w:r>
      <w:r w:rsidR="00CF2D56">
        <w:t>cause ; qu’en effet, les déplacements ici indemnisés ne sont pas effectués hors la résidence administrative et qu’ils n’ont pas été appuyés d’ordre de mission, d’état de frais signés de l’ordonnateur, d’autorisation d’utiliser un véhicule personnel, de</w:t>
      </w:r>
      <w:r w:rsidR="007B12B8">
        <w:t xml:space="preserve"> </w:t>
      </w:r>
      <w:r w:rsidR="00CF2D56">
        <w:lastRenderedPageBreak/>
        <w:t>décomptes d’indemnités kilométriques, toutes just</w:t>
      </w:r>
      <w:r w:rsidR="00121CD9">
        <w:t>i</w:t>
      </w:r>
      <w:r w:rsidR="00CF2D56">
        <w:t>fications prévues par l’annexe</w:t>
      </w:r>
      <w:r w:rsidR="007B12B8">
        <w:t xml:space="preserve"> </w:t>
      </w:r>
      <w:r w:rsidR="00CF2D56">
        <w:t>11 de l’instruction codificatrice n°</w:t>
      </w:r>
      <w:r w:rsidR="00AF7DA4">
        <w:t> </w:t>
      </w:r>
      <w:r w:rsidR="00CF2D56">
        <w:t>02-072-M</w:t>
      </w:r>
      <w:r w:rsidR="00AF7DA4">
        <w:t> </w:t>
      </w:r>
      <w:r w:rsidR="00CF2D56">
        <w:t>95 du 2</w:t>
      </w:r>
      <w:r w:rsidR="007B12B8">
        <w:t xml:space="preserve"> </w:t>
      </w:r>
      <w:r w:rsidR="00CF2D56">
        <w:t>septembre</w:t>
      </w:r>
      <w:r w:rsidR="007B12B8">
        <w:t xml:space="preserve"> </w:t>
      </w:r>
      <w:r w:rsidR="00CF2D56">
        <w:t>2002, déjà mentionnée ; qu’aucun accord ni avenant local complémentaire n’a, non plus, été produit ;</w:t>
      </w:r>
    </w:p>
    <w:p w:rsidR="00441591" w:rsidRDefault="00441591" w:rsidP="00FB6A26">
      <w:pPr>
        <w:pStyle w:val="PS"/>
        <w:spacing w:after="360"/>
      </w:pPr>
      <w:r>
        <w:t xml:space="preserve">Considérant, donc, qu’en procédant aux paiements en cause sans s’être fait produire les textes </w:t>
      </w:r>
      <w:proofErr w:type="spellStart"/>
      <w:r>
        <w:t>institutifs</w:t>
      </w:r>
      <w:proofErr w:type="spellEnd"/>
      <w:r>
        <w:t xml:space="preserve"> des primes litigieuses, le comptable a manqué aux obligations de contrôles en matière de dépenses qui lui incombent en application des dispositions de l’article 60 de la loi n°</w:t>
      </w:r>
      <w:r w:rsidR="00AF7DA4">
        <w:t> </w:t>
      </w:r>
      <w:r>
        <w:t>63-156 du 23</w:t>
      </w:r>
      <w:r w:rsidR="007B12B8">
        <w:t xml:space="preserve"> </w:t>
      </w:r>
      <w:r>
        <w:t>février</w:t>
      </w:r>
      <w:r w:rsidR="007B12B8">
        <w:t xml:space="preserve"> </w:t>
      </w:r>
      <w:r>
        <w:t>1963 et des articles</w:t>
      </w:r>
      <w:r w:rsidR="00AF7DA4">
        <w:t> </w:t>
      </w:r>
      <w:r>
        <w:t>11, 12</w:t>
      </w:r>
      <w:r w:rsidR="007B12B8">
        <w:t> </w:t>
      </w:r>
      <w:r>
        <w:t>B, 13 et 37 du décret n°</w:t>
      </w:r>
      <w:r w:rsidR="00AF7DA4">
        <w:t> </w:t>
      </w:r>
      <w:r>
        <w:t>62-1587 du 29</w:t>
      </w:r>
      <w:r w:rsidR="007B12B8">
        <w:t xml:space="preserve"> </w:t>
      </w:r>
      <w:r>
        <w:t>décembre</w:t>
      </w:r>
      <w:r w:rsidR="007B12B8">
        <w:t xml:space="preserve"> </w:t>
      </w:r>
      <w:r>
        <w:t xml:space="preserve">1962, alors </w:t>
      </w:r>
      <w:r w:rsidR="00121CD9">
        <w:t>en vigueur</w:t>
      </w:r>
      <w:r>
        <w:t> ; qu’il a, ainsi, engagé sa responsabilité ;</w:t>
      </w:r>
    </w:p>
    <w:p w:rsidR="00441591" w:rsidRDefault="00441591" w:rsidP="00FB6A26">
      <w:pPr>
        <w:pStyle w:val="PS"/>
        <w:spacing w:after="360"/>
      </w:pPr>
      <w:r w:rsidRPr="0036568F">
        <w:t>Considérant que le manquement du comptable ne résulte pas de circonstances de force</w:t>
      </w:r>
      <w:r>
        <w:t xml:space="preserve"> </w:t>
      </w:r>
      <w:r w:rsidRPr="0036568F">
        <w:t>majeure</w:t>
      </w:r>
      <w:r>
        <w:t> ;</w:t>
      </w:r>
    </w:p>
    <w:p w:rsidR="008A3876" w:rsidRDefault="008A3876" w:rsidP="00FB6A26">
      <w:pPr>
        <w:pStyle w:val="PS"/>
        <w:spacing w:after="360"/>
      </w:pPr>
      <w:r>
        <w:t>Considérant que le fait, pour le port, d’avoir versé des primes qui n’étaient prévues par aucun texte, a constitué des paiements indus et, par le fait même, entrainé un préjudice ; que les allégations selon lesquelles ces paiements de primes auraient permis des économies ne sont ni justifiées ni chiffrées ;</w:t>
      </w:r>
      <w:r w:rsidR="00121CD9">
        <w:t xml:space="preserve"> que l’ancienneté de l’usage ne supplée pas son absence de fondement ;</w:t>
      </w:r>
      <w:r w:rsidR="0075600E">
        <w:t xml:space="preserve"> que sa validation récente par un accord local est sans incidence sur la responsabilité du comptable, qui s’apprécie à la date des paiements litigieux ;</w:t>
      </w:r>
    </w:p>
    <w:p w:rsidR="00CF1084" w:rsidRDefault="00CF1084" w:rsidP="00FB6A26">
      <w:pPr>
        <w:pStyle w:val="PS"/>
        <w:spacing w:after="360"/>
      </w:pPr>
      <w:r>
        <w:t xml:space="preserve">Considérant </w:t>
      </w:r>
      <w:r w:rsidRPr="0036568F">
        <w:t xml:space="preserve">qu’il y a donc lieu de constituer </w:t>
      </w:r>
      <w:r w:rsidR="000E3F1A" w:rsidRPr="0036568F">
        <w:t>M.</w:t>
      </w:r>
      <w:r w:rsidR="000E3F1A">
        <w:t> </w:t>
      </w:r>
      <w:r w:rsidR="00B13CCB">
        <w:t>X</w:t>
      </w:r>
      <w:r w:rsidR="000E3F1A" w:rsidRPr="0036568F">
        <w:t xml:space="preserve"> </w:t>
      </w:r>
      <w:r w:rsidRPr="0036568F">
        <w:t xml:space="preserve">en débet </w:t>
      </w:r>
      <w:r w:rsidR="000E3F1A" w:rsidRPr="0036568F">
        <w:t>de</w:t>
      </w:r>
      <w:r w:rsidR="000E3F1A">
        <w:t xml:space="preserve">s </w:t>
      </w:r>
      <w:r w:rsidR="000E3F1A" w:rsidRPr="0036568F">
        <w:t>somme</w:t>
      </w:r>
      <w:r w:rsidR="000E3F1A">
        <w:t>s</w:t>
      </w:r>
      <w:r w:rsidR="000E3F1A" w:rsidRPr="0036568F">
        <w:t xml:space="preserve"> </w:t>
      </w:r>
      <w:r w:rsidR="000E3F1A">
        <w:t>de 4 241,44</w:t>
      </w:r>
      <w:r w:rsidR="00AF7DA4">
        <w:t> </w:t>
      </w:r>
      <w:r w:rsidR="000E3F1A">
        <w:t xml:space="preserve">€ </w:t>
      </w:r>
      <w:r w:rsidRPr="0036568F">
        <w:t>au titre de l’exercice</w:t>
      </w:r>
      <w:r w:rsidR="007B12B8">
        <w:t xml:space="preserve"> </w:t>
      </w:r>
      <w:r w:rsidRPr="0036568F">
        <w:t>200</w:t>
      </w:r>
      <w:r w:rsidR="00452BE0">
        <w:t>7</w:t>
      </w:r>
      <w:r w:rsidRPr="0036568F">
        <w:t xml:space="preserve">, </w:t>
      </w:r>
      <w:r w:rsidR="000E3F1A">
        <w:t>2 632,37</w:t>
      </w:r>
      <w:r w:rsidR="00AF7DA4">
        <w:t> </w:t>
      </w:r>
      <w:r w:rsidR="000E3F1A">
        <w:t xml:space="preserve">€ </w:t>
      </w:r>
      <w:r w:rsidR="00452BE0" w:rsidRPr="0036568F">
        <w:t>au titre de l’exercice</w:t>
      </w:r>
      <w:r w:rsidR="007B12B8">
        <w:t xml:space="preserve"> </w:t>
      </w:r>
      <w:r w:rsidR="00452BE0" w:rsidRPr="0036568F">
        <w:t>200</w:t>
      </w:r>
      <w:r w:rsidR="00452BE0">
        <w:t>8</w:t>
      </w:r>
      <w:r w:rsidR="00452BE0" w:rsidRPr="0036568F">
        <w:t xml:space="preserve">, </w:t>
      </w:r>
      <w:r w:rsidR="000E3F1A">
        <w:t>2 398,77</w:t>
      </w:r>
      <w:r w:rsidR="00AF7DA4">
        <w:t> </w:t>
      </w:r>
      <w:r w:rsidR="000E3F1A">
        <w:t xml:space="preserve">€ </w:t>
      </w:r>
      <w:r w:rsidR="00452BE0" w:rsidRPr="0036568F">
        <w:t>au titre de l’exercice</w:t>
      </w:r>
      <w:r w:rsidR="007B12B8">
        <w:t xml:space="preserve"> </w:t>
      </w:r>
      <w:r w:rsidR="00452BE0" w:rsidRPr="0036568F">
        <w:t>200</w:t>
      </w:r>
      <w:r w:rsidR="00452BE0">
        <w:t>9</w:t>
      </w:r>
      <w:r w:rsidR="00452BE0" w:rsidRPr="0036568F">
        <w:t xml:space="preserve">, </w:t>
      </w:r>
      <w:r w:rsidR="000E3F1A">
        <w:t>2 258,11</w:t>
      </w:r>
      <w:r w:rsidR="00AF7DA4">
        <w:t> </w:t>
      </w:r>
      <w:r w:rsidR="000E3F1A">
        <w:t xml:space="preserve">€ </w:t>
      </w:r>
      <w:r w:rsidR="00452BE0" w:rsidRPr="0036568F">
        <w:t>au titre de l’exercice</w:t>
      </w:r>
      <w:r w:rsidR="007B12B8">
        <w:t xml:space="preserve"> </w:t>
      </w:r>
      <w:r w:rsidR="00452BE0">
        <w:t>2010</w:t>
      </w:r>
      <w:r w:rsidR="00452BE0" w:rsidRPr="0036568F">
        <w:t xml:space="preserve">, </w:t>
      </w:r>
      <w:r w:rsidR="001962CB">
        <w:t>1 726,34</w:t>
      </w:r>
      <w:r w:rsidR="00AF7DA4">
        <w:t> </w:t>
      </w:r>
      <w:r w:rsidR="001962CB">
        <w:t xml:space="preserve">€ </w:t>
      </w:r>
      <w:r w:rsidR="00452BE0" w:rsidRPr="0036568F">
        <w:t>au titre de l’exercice</w:t>
      </w:r>
      <w:r w:rsidR="007B12B8">
        <w:t xml:space="preserve"> </w:t>
      </w:r>
      <w:r w:rsidR="00452BE0">
        <w:t>2011</w:t>
      </w:r>
      <w:r w:rsidR="001962CB">
        <w:t>, augmentées des</w:t>
      </w:r>
      <w:r w:rsidR="001962CB" w:rsidRPr="0036568F">
        <w:t xml:space="preserve"> intérêts de droit à compter du </w:t>
      </w:r>
      <w:r w:rsidR="001962CB">
        <w:t>5 août 2013</w:t>
      </w:r>
      <w:r w:rsidR="001962CB" w:rsidRPr="0036568F">
        <w:t>, date à laquelle le réquisit</w:t>
      </w:r>
      <w:r w:rsidR="001962CB">
        <w:t>oire a été notifié au comptable ;</w:t>
      </w:r>
    </w:p>
    <w:p w:rsidR="00236930" w:rsidRDefault="00236930" w:rsidP="00FB6A26">
      <w:pPr>
        <w:pStyle w:val="PS"/>
        <w:spacing w:after="360"/>
      </w:pPr>
      <w:r>
        <w:t xml:space="preserve">Considérant qu’il n’existait pas de plan de contrôle sélectif de la dépense ; que cette circonstance fait obstacle à </w:t>
      </w:r>
      <w:r w:rsidR="007C4165">
        <w:t>une</w:t>
      </w:r>
      <w:r>
        <w:t xml:space="preserve"> remise gracieuse totale</w:t>
      </w:r>
      <w:r w:rsidR="007B12B8">
        <w:t xml:space="preserve"> </w:t>
      </w:r>
      <w:r>
        <w:t>de ces débets</w:t>
      </w:r>
      <w:r w:rsidR="007B12B8">
        <w:t> ;</w:t>
      </w:r>
    </w:p>
    <w:p w:rsidR="00CF1084" w:rsidRPr="00344506" w:rsidRDefault="00CF1084" w:rsidP="00FB6A26">
      <w:pPr>
        <w:pStyle w:val="PS"/>
        <w:spacing w:after="360"/>
      </w:pPr>
      <w:r w:rsidRPr="00344506">
        <w:t>Par ces motifs,</w:t>
      </w:r>
    </w:p>
    <w:p w:rsidR="00CF1084" w:rsidRPr="00344506" w:rsidRDefault="00CF1084" w:rsidP="00FB6A26">
      <w:pPr>
        <w:pStyle w:val="P0"/>
        <w:spacing w:after="360"/>
        <w:jc w:val="center"/>
        <w:rPr>
          <w:b/>
        </w:rPr>
      </w:pPr>
      <w:r w:rsidRPr="00344506">
        <w:rPr>
          <w:b/>
        </w:rPr>
        <w:t>ORDONNE :</w:t>
      </w:r>
    </w:p>
    <w:p w:rsidR="006B0945" w:rsidRDefault="00CF1084" w:rsidP="00FB6A26">
      <w:pPr>
        <w:pStyle w:val="PS"/>
        <w:spacing w:after="360"/>
      </w:pPr>
      <w:r w:rsidRPr="001A35D1">
        <w:rPr>
          <w:u w:val="single"/>
        </w:rPr>
        <w:t>Article 1</w:t>
      </w:r>
      <w:r w:rsidRPr="001A35D1">
        <w:rPr>
          <w:u w:val="single"/>
          <w:vertAlign w:val="superscript"/>
        </w:rPr>
        <w:t>er</w:t>
      </w:r>
      <w:r>
        <w:t xml:space="preserve"> : </w:t>
      </w:r>
      <w:r w:rsidR="006B0945">
        <w:t>En ce qui concerne la 1</w:t>
      </w:r>
      <w:r w:rsidR="006B0945" w:rsidRPr="006B0945">
        <w:rPr>
          <w:vertAlign w:val="superscript"/>
        </w:rPr>
        <w:t>ère</w:t>
      </w:r>
      <w:r w:rsidR="006B0945">
        <w:t xml:space="preserve"> présomption de charge, i</w:t>
      </w:r>
      <w:r w:rsidR="006D6A6A">
        <w:t>l n’y a pas lieu d’engager la responsabilité de M.</w:t>
      </w:r>
      <w:r w:rsidR="00AF7DA4">
        <w:t> </w:t>
      </w:r>
      <w:r w:rsidR="00B13CCB">
        <w:t>X</w:t>
      </w:r>
      <w:r w:rsidR="006B0945">
        <w:t>;</w:t>
      </w:r>
    </w:p>
    <w:p w:rsidR="000E3F1A" w:rsidRDefault="005210B5" w:rsidP="00FB6A26">
      <w:pPr>
        <w:pStyle w:val="PS"/>
        <w:spacing w:after="360"/>
      </w:pPr>
      <w:r w:rsidRPr="001A35D1">
        <w:rPr>
          <w:u w:val="single"/>
        </w:rPr>
        <w:t xml:space="preserve">Article </w:t>
      </w:r>
      <w:r>
        <w:rPr>
          <w:u w:val="single"/>
        </w:rPr>
        <w:t>2</w:t>
      </w:r>
      <w:r>
        <w:t xml:space="preserve"> : </w:t>
      </w:r>
      <w:r w:rsidR="006B0945">
        <w:t>En ce qui concerne la 2</w:t>
      </w:r>
      <w:r w:rsidR="006B0945" w:rsidRPr="006B0945">
        <w:rPr>
          <w:vertAlign w:val="superscript"/>
        </w:rPr>
        <w:t>ème</w:t>
      </w:r>
      <w:r w:rsidR="006B0945">
        <w:rPr>
          <w:vertAlign w:val="superscript"/>
        </w:rPr>
        <w:t> </w:t>
      </w:r>
      <w:r w:rsidR="006B0945">
        <w:t xml:space="preserve">présomption de charge, </w:t>
      </w:r>
      <w:r w:rsidR="00733163">
        <w:t>M.</w:t>
      </w:r>
      <w:r w:rsidR="00AF7DA4">
        <w:t> </w:t>
      </w:r>
      <w:r w:rsidR="00B13CCB">
        <w:t>X</w:t>
      </w:r>
      <w:r w:rsidR="00733163">
        <w:t xml:space="preserve"> est constitué débiteur du grand port maritime de</w:t>
      </w:r>
      <w:r w:rsidR="00AF7DA4">
        <w:t> </w:t>
      </w:r>
      <w:r w:rsidR="00733163">
        <w:t xml:space="preserve">Dunkerque des sommes de </w:t>
      </w:r>
      <w:r w:rsidR="000E3F1A">
        <w:t>123</w:t>
      </w:r>
      <w:r w:rsidR="00AF7DA4">
        <w:t> </w:t>
      </w:r>
      <w:r w:rsidR="000E3F1A">
        <w:t>759</w:t>
      </w:r>
      <w:r w:rsidR="00AF7DA4">
        <w:t> </w:t>
      </w:r>
      <w:r w:rsidR="000E3F1A">
        <w:t>€</w:t>
      </w:r>
      <w:r w:rsidR="000E3F1A" w:rsidRPr="000E3F1A">
        <w:t xml:space="preserve"> </w:t>
      </w:r>
      <w:r w:rsidR="000E3F1A">
        <w:t>au titre de l’exercice 2007, 124</w:t>
      </w:r>
      <w:r w:rsidR="00AF7DA4">
        <w:t> </w:t>
      </w:r>
      <w:r w:rsidR="000E3F1A">
        <w:t>441</w:t>
      </w:r>
      <w:r w:rsidR="00AF7DA4">
        <w:t> </w:t>
      </w:r>
      <w:r w:rsidR="000E3F1A">
        <w:t>€ au titre de l’exercice</w:t>
      </w:r>
      <w:r w:rsidR="007B12B8">
        <w:t xml:space="preserve"> </w:t>
      </w:r>
      <w:r w:rsidR="000E3F1A">
        <w:t>2008, 155</w:t>
      </w:r>
      <w:r w:rsidR="00AF7DA4">
        <w:t> </w:t>
      </w:r>
      <w:r w:rsidR="000E3F1A">
        <w:t>350</w:t>
      </w:r>
      <w:r w:rsidR="00AF7DA4">
        <w:t> </w:t>
      </w:r>
      <w:r w:rsidR="000E3F1A">
        <w:t>€ au titre de l’exercice</w:t>
      </w:r>
      <w:r w:rsidR="007B12B8">
        <w:t xml:space="preserve"> </w:t>
      </w:r>
      <w:r w:rsidR="000E3F1A">
        <w:t>2009, 153</w:t>
      </w:r>
      <w:r w:rsidR="00AF7DA4">
        <w:t> </w:t>
      </w:r>
      <w:r w:rsidR="000E3F1A">
        <w:t>850</w:t>
      </w:r>
      <w:r w:rsidR="00AF7DA4">
        <w:t> </w:t>
      </w:r>
      <w:r w:rsidR="000E3F1A">
        <w:t>€ au titre de l’exercice</w:t>
      </w:r>
      <w:r w:rsidR="007B12B8">
        <w:t xml:space="preserve"> </w:t>
      </w:r>
      <w:r w:rsidR="000E3F1A">
        <w:t>2010, 154</w:t>
      </w:r>
      <w:r w:rsidR="00AF7DA4">
        <w:t> </w:t>
      </w:r>
      <w:r w:rsidR="000E3F1A">
        <w:t>330</w:t>
      </w:r>
      <w:r w:rsidR="00AF7DA4">
        <w:t> </w:t>
      </w:r>
      <w:r w:rsidR="000E3F1A">
        <w:t>€ au titre de 2011, augmentées des intérêts de droit à compter du 5</w:t>
      </w:r>
      <w:r w:rsidR="00AF7DA4">
        <w:t> </w:t>
      </w:r>
      <w:r w:rsidR="000E3F1A">
        <w:t>août</w:t>
      </w:r>
      <w:r w:rsidR="00AF7DA4">
        <w:t> </w:t>
      </w:r>
      <w:r w:rsidR="000E3F1A">
        <w:t>2013 ;</w:t>
      </w:r>
    </w:p>
    <w:p w:rsidR="00CF1084" w:rsidRDefault="00FB6A26" w:rsidP="00FB6A26">
      <w:pPr>
        <w:pStyle w:val="PS"/>
        <w:spacing w:after="360"/>
      </w:pPr>
      <w:r>
        <w:rPr>
          <w:u w:val="single"/>
        </w:rPr>
        <w:br w:type="page"/>
      </w:r>
      <w:r w:rsidR="00CF1084" w:rsidRPr="001A35D1">
        <w:rPr>
          <w:u w:val="single"/>
        </w:rPr>
        <w:lastRenderedPageBreak/>
        <w:t xml:space="preserve">Article </w:t>
      </w:r>
      <w:r w:rsidR="005210B5">
        <w:rPr>
          <w:u w:val="single"/>
        </w:rPr>
        <w:t>3</w:t>
      </w:r>
      <w:r w:rsidR="00CF1084">
        <w:t xml:space="preserve"> : </w:t>
      </w:r>
      <w:r w:rsidR="006B0945">
        <w:t>En ce qui concerne la 3</w:t>
      </w:r>
      <w:r w:rsidR="006B0945" w:rsidRPr="006B0945">
        <w:rPr>
          <w:vertAlign w:val="superscript"/>
        </w:rPr>
        <w:t>ème</w:t>
      </w:r>
      <w:r w:rsidR="006B0945">
        <w:rPr>
          <w:vertAlign w:val="superscript"/>
        </w:rPr>
        <w:t> </w:t>
      </w:r>
      <w:r w:rsidR="006B0945">
        <w:t xml:space="preserve">présomption de charge, </w:t>
      </w:r>
      <w:r w:rsidR="00CF1084">
        <w:t>M.</w:t>
      </w:r>
      <w:r w:rsidR="00AB5DA7">
        <w:t> </w:t>
      </w:r>
      <w:r w:rsidR="00B13CCB">
        <w:t>X</w:t>
      </w:r>
      <w:r w:rsidR="00CF1084">
        <w:t xml:space="preserve"> </w:t>
      </w:r>
      <w:r w:rsidR="00CF1084" w:rsidRPr="00016709">
        <w:t>est constitué</w:t>
      </w:r>
      <w:r w:rsidR="00CF1084">
        <w:t xml:space="preserve"> débiteur du </w:t>
      </w:r>
      <w:r w:rsidR="003B3C9C">
        <w:t>grand port maritime de</w:t>
      </w:r>
      <w:r w:rsidR="00AF7DA4">
        <w:t> </w:t>
      </w:r>
      <w:r w:rsidR="003B3C9C">
        <w:t xml:space="preserve">Dunkerque </w:t>
      </w:r>
      <w:r w:rsidR="001368AF">
        <w:t>des</w:t>
      </w:r>
      <w:r w:rsidR="00AB5DA7">
        <w:t xml:space="preserve"> somme</w:t>
      </w:r>
      <w:r w:rsidR="003B3C9C">
        <w:t>s</w:t>
      </w:r>
      <w:r w:rsidR="00AB5DA7">
        <w:t xml:space="preserve"> </w:t>
      </w:r>
      <w:r w:rsidR="00CF1084" w:rsidRPr="00016709">
        <w:t xml:space="preserve">de </w:t>
      </w:r>
      <w:r w:rsidR="003B3C9C">
        <w:t>4 241,44</w:t>
      </w:r>
      <w:r w:rsidR="00AF7DA4">
        <w:t> </w:t>
      </w:r>
      <w:r w:rsidR="003B3C9C">
        <w:t>€</w:t>
      </w:r>
      <w:r w:rsidR="00CF1084" w:rsidRPr="00016709">
        <w:t> au titre de l’</w:t>
      </w:r>
      <w:r w:rsidR="00CF1084">
        <w:t>exercice</w:t>
      </w:r>
      <w:r w:rsidR="007B12B8">
        <w:t xml:space="preserve"> </w:t>
      </w:r>
      <w:r w:rsidR="003B3C9C">
        <w:t>2007, 2 632,37</w:t>
      </w:r>
      <w:r w:rsidR="00AF7DA4">
        <w:t> </w:t>
      </w:r>
      <w:r w:rsidR="003B3C9C">
        <w:t>€ au titre de l’exercice</w:t>
      </w:r>
      <w:r w:rsidR="007B12B8">
        <w:t xml:space="preserve"> </w:t>
      </w:r>
      <w:r w:rsidR="003B3C9C">
        <w:t>2008, 2 398,77</w:t>
      </w:r>
      <w:r w:rsidR="00AF7DA4">
        <w:t> </w:t>
      </w:r>
      <w:r w:rsidR="003B3C9C">
        <w:t>€, au titre de l’exercice</w:t>
      </w:r>
      <w:r w:rsidR="007B12B8">
        <w:t xml:space="preserve"> </w:t>
      </w:r>
      <w:r w:rsidR="003B3C9C">
        <w:t>2009, 2 258,11</w:t>
      </w:r>
      <w:r w:rsidR="00AF7DA4">
        <w:t> </w:t>
      </w:r>
      <w:r w:rsidR="003B3C9C">
        <w:t>€, au titre de l’exercice</w:t>
      </w:r>
      <w:r w:rsidR="007B12B8">
        <w:t xml:space="preserve"> </w:t>
      </w:r>
      <w:r w:rsidR="003B3C9C">
        <w:t>2010, 1 726,34</w:t>
      </w:r>
      <w:r w:rsidR="00AF7DA4">
        <w:t> </w:t>
      </w:r>
      <w:r w:rsidR="003B3C9C">
        <w:t xml:space="preserve">€ au titre de </w:t>
      </w:r>
      <w:r w:rsidR="00BD6243">
        <w:t>l’exercice</w:t>
      </w:r>
      <w:r w:rsidR="007B12B8">
        <w:t xml:space="preserve"> </w:t>
      </w:r>
      <w:r w:rsidR="003B3C9C">
        <w:t>2011, augmenté</w:t>
      </w:r>
      <w:r w:rsidR="00BD6243">
        <w:t>e</w:t>
      </w:r>
      <w:r w:rsidR="003B3C9C">
        <w:t>s</w:t>
      </w:r>
      <w:r w:rsidR="00AB5DA7">
        <w:t xml:space="preserve"> des intérêts de droit</w:t>
      </w:r>
      <w:r w:rsidR="00CF1084">
        <w:t xml:space="preserve"> à compter du</w:t>
      </w:r>
      <w:r w:rsidR="007B12B8">
        <w:t xml:space="preserve"> </w:t>
      </w:r>
      <w:r w:rsidR="003B3C9C">
        <w:t>5</w:t>
      </w:r>
      <w:r w:rsidR="007B12B8">
        <w:t xml:space="preserve"> </w:t>
      </w:r>
      <w:r w:rsidR="003B3C9C">
        <w:t>août</w:t>
      </w:r>
      <w:r w:rsidR="007B12B8">
        <w:t xml:space="preserve"> </w:t>
      </w:r>
      <w:r w:rsidR="003B3C9C">
        <w:t>2013</w:t>
      </w:r>
      <w:r w:rsidR="00CF1084">
        <w:t>.</w:t>
      </w:r>
    </w:p>
    <w:p w:rsidR="007C5B86" w:rsidRDefault="00344506" w:rsidP="00FB6A26">
      <w:pPr>
        <w:pStyle w:val="PS"/>
        <w:spacing w:after="360"/>
        <w:ind w:firstLine="0"/>
        <w:jc w:val="center"/>
      </w:pPr>
      <w:r>
        <w:t>----------</w:t>
      </w:r>
    </w:p>
    <w:p w:rsidR="00CF1084" w:rsidRDefault="00CF1084" w:rsidP="00F045BD">
      <w:pPr>
        <w:pStyle w:val="PS"/>
        <w:spacing w:after="600"/>
      </w:pPr>
      <w:r w:rsidRPr="00BC105C">
        <w:t>Fait et jugé à la Cour des comptes, septième chambr</w:t>
      </w:r>
      <w:r>
        <w:t xml:space="preserve">e, </w:t>
      </w:r>
      <w:r w:rsidR="00733163">
        <w:t>première</w:t>
      </w:r>
      <w:r>
        <w:t xml:space="preserve"> section, le</w:t>
      </w:r>
      <w:r w:rsidR="007B12B8">
        <w:t xml:space="preserve"> </w:t>
      </w:r>
      <w:r w:rsidR="003B3C9C">
        <w:t>cinq décembre deux mil</w:t>
      </w:r>
      <w:r>
        <w:t xml:space="preserve"> trei</w:t>
      </w:r>
      <w:r w:rsidRPr="00BC105C">
        <w:t>ze. Présents :</w:t>
      </w:r>
      <w:r w:rsidR="00FE383E">
        <w:t> </w:t>
      </w:r>
      <w:r w:rsidR="00C433EC">
        <w:t>M</w:t>
      </w:r>
      <w:r w:rsidR="00C433EC" w:rsidRPr="007B12B8">
        <w:rPr>
          <w:vertAlign w:val="superscript"/>
        </w:rPr>
        <w:t>me</w:t>
      </w:r>
      <w:r w:rsidR="00C433EC">
        <w:t xml:space="preserve"> </w:t>
      </w:r>
      <w:r w:rsidR="001962CB">
        <w:t>Ratte, président</w:t>
      </w:r>
      <w:r w:rsidR="00C433EC">
        <w:t>e</w:t>
      </w:r>
      <w:r w:rsidR="001962CB">
        <w:t xml:space="preserve">, </w:t>
      </w:r>
      <w:r w:rsidR="00C433EC">
        <w:t>M</w:t>
      </w:r>
      <w:r w:rsidR="00C433EC" w:rsidRPr="007B12B8">
        <w:rPr>
          <w:vertAlign w:val="superscript"/>
        </w:rPr>
        <w:t>me</w:t>
      </w:r>
      <w:r w:rsidR="00C433EC">
        <w:t xml:space="preserve"> </w:t>
      </w:r>
      <w:proofErr w:type="spellStart"/>
      <w:r w:rsidR="001962CB">
        <w:t>Darragon</w:t>
      </w:r>
      <w:proofErr w:type="spellEnd"/>
      <w:r w:rsidR="001962CB">
        <w:t xml:space="preserve">, </w:t>
      </w:r>
      <w:r w:rsidR="00C433EC">
        <w:t>M. </w:t>
      </w:r>
      <w:r w:rsidR="001962CB">
        <w:t xml:space="preserve">Le </w:t>
      </w:r>
      <w:proofErr w:type="spellStart"/>
      <w:r w:rsidR="001962CB">
        <w:t>Méné</w:t>
      </w:r>
      <w:proofErr w:type="spellEnd"/>
      <w:r w:rsidR="001962CB">
        <w:t xml:space="preserve">, </w:t>
      </w:r>
      <w:r w:rsidR="00C433EC">
        <w:t>M</w:t>
      </w:r>
      <w:bookmarkStart w:id="0" w:name="_GoBack"/>
      <w:r w:rsidR="00C433EC" w:rsidRPr="007B12B8">
        <w:rPr>
          <w:vertAlign w:val="superscript"/>
        </w:rPr>
        <w:t>me</w:t>
      </w:r>
      <w:bookmarkEnd w:id="0"/>
      <w:r w:rsidR="00C433EC">
        <w:t xml:space="preserve"> </w:t>
      </w:r>
      <w:proofErr w:type="spellStart"/>
      <w:r w:rsidR="001962CB">
        <w:t>Vergnet</w:t>
      </w:r>
      <w:proofErr w:type="spellEnd"/>
      <w:r w:rsidR="001962CB">
        <w:t xml:space="preserve">, </w:t>
      </w:r>
      <w:r w:rsidR="00C433EC">
        <w:t>MM. </w:t>
      </w:r>
      <w:r w:rsidR="001962CB">
        <w:t>Le Mer</w:t>
      </w:r>
      <w:r w:rsidR="00C433EC">
        <w:t xml:space="preserve"> et</w:t>
      </w:r>
      <w:r w:rsidR="001962CB">
        <w:t xml:space="preserve"> Ortiz, conseillers maîtres.</w:t>
      </w:r>
    </w:p>
    <w:p w:rsidR="00226942" w:rsidRDefault="00226942" w:rsidP="00226942">
      <w:pPr>
        <w:pStyle w:val="PS"/>
      </w:pPr>
      <w:r>
        <w:t>Signé :</w:t>
      </w:r>
      <w:r w:rsidR="00733163">
        <w:t xml:space="preserve"> Ratte</w:t>
      </w:r>
      <w:r>
        <w:t>,</w:t>
      </w:r>
      <w:r w:rsidR="0042357A">
        <w:t xml:space="preserve"> </w:t>
      </w:r>
      <w:r>
        <w:t>président</w:t>
      </w:r>
      <w:r w:rsidR="00C433EC">
        <w:t>e</w:t>
      </w:r>
      <w:r>
        <w:t xml:space="preserve">, et </w:t>
      </w:r>
      <w:proofErr w:type="spellStart"/>
      <w:r w:rsidR="00BD6243">
        <w:t>F</w:t>
      </w:r>
      <w:r w:rsidR="00C433EC">
        <w:t>é</w:t>
      </w:r>
      <w:r w:rsidR="00BD6243">
        <w:t>rez</w:t>
      </w:r>
      <w:proofErr w:type="spellEnd"/>
      <w:r w:rsidR="00BD6243">
        <w:t>, greffier</w:t>
      </w:r>
      <w:r>
        <w:t>.</w:t>
      </w:r>
    </w:p>
    <w:p w:rsidR="00226942" w:rsidRPr="006D6569" w:rsidRDefault="00226942" w:rsidP="00226942">
      <w:pPr>
        <w:pStyle w:val="PS"/>
        <w:spacing w:after="360"/>
      </w:pPr>
      <w:r w:rsidRPr="006D6569">
        <w:t>Collationné, certifié conforme à la minute étant au greffe de la Cour des comptes.</w:t>
      </w:r>
    </w:p>
    <w:p w:rsidR="00226942" w:rsidRDefault="00226942" w:rsidP="00226942">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226942" w:rsidRPr="0007430D" w:rsidRDefault="00226942" w:rsidP="00226942">
      <w:pPr>
        <w:pStyle w:val="PS"/>
      </w:pPr>
      <w:r w:rsidRPr="0007430D">
        <w:t>Délivré par moi, secrétaire général.</w:t>
      </w:r>
    </w:p>
    <w:p w:rsidR="00226942" w:rsidRDefault="00226942" w:rsidP="00226942">
      <w:pPr>
        <w:pStyle w:val="P0"/>
        <w:spacing w:before="120"/>
        <w:ind w:left="0" w:firstLine="6521"/>
        <w:jc w:val="center"/>
        <w:rPr>
          <w:b/>
        </w:rPr>
      </w:pPr>
      <w:r>
        <w:rPr>
          <w:b/>
        </w:rPr>
        <w:t>Pour le Secrétaire général</w:t>
      </w:r>
    </w:p>
    <w:p w:rsidR="00226942" w:rsidRDefault="00226942" w:rsidP="00226942">
      <w:pPr>
        <w:pStyle w:val="P0"/>
        <w:ind w:left="0" w:firstLine="6521"/>
        <w:jc w:val="center"/>
        <w:rPr>
          <w:b/>
        </w:rPr>
      </w:pPr>
      <w:proofErr w:type="gramStart"/>
      <w:r>
        <w:rPr>
          <w:b/>
        </w:rPr>
        <w:t>et</w:t>
      </w:r>
      <w:proofErr w:type="gramEnd"/>
      <w:r>
        <w:rPr>
          <w:b/>
        </w:rPr>
        <w:t xml:space="preserve"> par délégation,</w:t>
      </w:r>
    </w:p>
    <w:p w:rsidR="00226942" w:rsidRDefault="00207D7B" w:rsidP="00226942">
      <w:pPr>
        <w:pStyle w:val="P0"/>
        <w:ind w:left="0" w:firstLine="6521"/>
        <w:jc w:val="center"/>
        <w:rPr>
          <w:b/>
        </w:rPr>
      </w:pPr>
      <w:proofErr w:type="gramStart"/>
      <w:r>
        <w:rPr>
          <w:b/>
        </w:rPr>
        <w:t>la</w:t>
      </w:r>
      <w:proofErr w:type="gramEnd"/>
      <w:r>
        <w:rPr>
          <w:b/>
        </w:rPr>
        <w:t xml:space="preserve"> greffière principale,</w:t>
      </w:r>
    </w:p>
    <w:p w:rsidR="00226942" w:rsidRDefault="00207D7B" w:rsidP="00207D7B">
      <w:pPr>
        <w:pStyle w:val="P0"/>
        <w:ind w:left="0" w:firstLine="5812"/>
        <w:jc w:val="center"/>
        <w:rPr>
          <w:b/>
        </w:rPr>
      </w:pPr>
      <w:r>
        <w:rPr>
          <w:b/>
        </w:rPr>
        <w:t xml:space="preserve">        </w:t>
      </w:r>
      <w:proofErr w:type="gramStart"/>
      <w:r>
        <w:rPr>
          <w:b/>
        </w:rPr>
        <w:t>chef</w:t>
      </w:r>
      <w:proofErr w:type="gramEnd"/>
      <w:r>
        <w:rPr>
          <w:b/>
        </w:rPr>
        <w:t xml:space="preserve"> du greffe de la Cour des comptes</w:t>
      </w:r>
    </w:p>
    <w:p w:rsidR="00AD74A4" w:rsidRDefault="00AD74A4" w:rsidP="00226942">
      <w:pPr>
        <w:pStyle w:val="P0"/>
        <w:ind w:left="0" w:firstLine="6521"/>
        <w:jc w:val="center"/>
        <w:rPr>
          <w:b/>
        </w:rPr>
      </w:pPr>
    </w:p>
    <w:p w:rsidR="00FE383E" w:rsidRDefault="00FE383E"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C168DD" w:rsidRPr="001962CB" w:rsidRDefault="00207D7B" w:rsidP="00207D7B">
      <w:pPr>
        <w:pStyle w:val="P0"/>
        <w:ind w:left="0" w:firstLine="6379"/>
        <w:jc w:val="center"/>
        <w:rPr>
          <w:b/>
        </w:rPr>
      </w:pPr>
      <w:r>
        <w:rPr>
          <w:b/>
        </w:rPr>
        <w:t>Florence BIOT</w:t>
      </w:r>
    </w:p>
    <w:sectPr w:rsidR="00C168DD" w:rsidRPr="001962CB" w:rsidSect="0094095B">
      <w:headerReference w:type="default" r:id="rId7"/>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960" w:rsidRDefault="00294960">
      <w:r>
        <w:separator/>
      </w:r>
    </w:p>
  </w:endnote>
  <w:endnote w:type="continuationSeparator" w:id="0">
    <w:p w:rsidR="00294960" w:rsidRDefault="0029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960" w:rsidRDefault="00294960">
      <w:r>
        <w:separator/>
      </w:r>
    </w:p>
  </w:footnote>
  <w:footnote w:type="continuationSeparator" w:id="0">
    <w:p w:rsidR="00294960" w:rsidRDefault="00294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9C" w:rsidRDefault="003B3C9C">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7B12B8">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210D8"/>
    <w:rsid w:val="00024CFF"/>
    <w:rsid w:val="00042F11"/>
    <w:rsid w:val="000657DA"/>
    <w:rsid w:val="00066671"/>
    <w:rsid w:val="000A2D71"/>
    <w:rsid w:val="000B7061"/>
    <w:rsid w:val="000B7BBF"/>
    <w:rsid w:val="000D0433"/>
    <w:rsid w:val="000E3F1A"/>
    <w:rsid w:val="00116429"/>
    <w:rsid w:val="00120130"/>
    <w:rsid w:val="00121CD9"/>
    <w:rsid w:val="001368AF"/>
    <w:rsid w:val="00142BC9"/>
    <w:rsid w:val="001476A4"/>
    <w:rsid w:val="001962CB"/>
    <w:rsid w:val="00196FAE"/>
    <w:rsid w:val="001A1BE5"/>
    <w:rsid w:val="001A7BC7"/>
    <w:rsid w:val="001D0DA6"/>
    <w:rsid w:val="001D79AB"/>
    <w:rsid w:val="001E0CAC"/>
    <w:rsid w:val="00207D7B"/>
    <w:rsid w:val="00215F05"/>
    <w:rsid w:val="00226942"/>
    <w:rsid w:val="00232156"/>
    <w:rsid w:val="00236930"/>
    <w:rsid w:val="00260718"/>
    <w:rsid w:val="002679B2"/>
    <w:rsid w:val="00282585"/>
    <w:rsid w:val="00294960"/>
    <w:rsid w:val="002A269E"/>
    <w:rsid w:val="002B11D4"/>
    <w:rsid w:val="002B127B"/>
    <w:rsid w:val="002B4756"/>
    <w:rsid w:val="002C77FF"/>
    <w:rsid w:val="003273B9"/>
    <w:rsid w:val="003432DC"/>
    <w:rsid w:val="00344506"/>
    <w:rsid w:val="003446B6"/>
    <w:rsid w:val="00362C28"/>
    <w:rsid w:val="003641D8"/>
    <w:rsid w:val="0038403E"/>
    <w:rsid w:val="003966AB"/>
    <w:rsid w:val="003B3C9C"/>
    <w:rsid w:val="003C3D9C"/>
    <w:rsid w:val="003D169C"/>
    <w:rsid w:val="0040127D"/>
    <w:rsid w:val="00405406"/>
    <w:rsid w:val="00420880"/>
    <w:rsid w:val="0042357A"/>
    <w:rsid w:val="00424968"/>
    <w:rsid w:val="00432D6D"/>
    <w:rsid w:val="00433DA1"/>
    <w:rsid w:val="00441591"/>
    <w:rsid w:val="00452BE0"/>
    <w:rsid w:val="00460733"/>
    <w:rsid w:val="00470181"/>
    <w:rsid w:val="00474BBA"/>
    <w:rsid w:val="00493CAB"/>
    <w:rsid w:val="004A20FE"/>
    <w:rsid w:val="004A458A"/>
    <w:rsid w:val="004B3031"/>
    <w:rsid w:val="004B32FF"/>
    <w:rsid w:val="004D65E6"/>
    <w:rsid w:val="004E0283"/>
    <w:rsid w:val="004F2D63"/>
    <w:rsid w:val="004F3B10"/>
    <w:rsid w:val="00502D40"/>
    <w:rsid w:val="00511713"/>
    <w:rsid w:val="00513415"/>
    <w:rsid w:val="005210B5"/>
    <w:rsid w:val="005217D5"/>
    <w:rsid w:val="00526935"/>
    <w:rsid w:val="00550387"/>
    <w:rsid w:val="00551273"/>
    <w:rsid w:val="00554058"/>
    <w:rsid w:val="005631EF"/>
    <w:rsid w:val="00577915"/>
    <w:rsid w:val="00592D9E"/>
    <w:rsid w:val="005A01AA"/>
    <w:rsid w:val="005A4F5A"/>
    <w:rsid w:val="005B01F2"/>
    <w:rsid w:val="005C1A52"/>
    <w:rsid w:val="005C6717"/>
    <w:rsid w:val="005E2520"/>
    <w:rsid w:val="00610E8F"/>
    <w:rsid w:val="00612ABF"/>
    <w:rsid w:val="0061540B"/>
    <w:rsid w:val="0062339C"/>
    <w:rsid w:val="006512C8"/>
    <w:rsid w:val="006A6FC7"/>
    <w:rsid w:val="006B0945"/>
    <w:rsid w:val="006B618F"/>
    <w:rsid w:val="006D1615"/>
    <w:rsid w:val="006D6A6A"/>
    <w:rsid w:val="006E06E5"/>
    <w:rsid w:val="006E7F10"/>
    <w:rsid w:val="006F2C76"/>
    <w:rsid w:val="006F7016"/>
    <w:rsid w:val="00700C72"/>
    <w:rsid w:val="0071180A"/>
    <w:rsid w:val="00720ACC"/>
    <w:rsid w:val="00733163"/>
    <w:rsid w:val="007541F9"/>
    <w:rsid w:val="0075600E"/>
    <w:rsid w:val="0075641F"/>
    <w:rsid w:val="007677AB"/>
    <w:rsid w:val="007A43BC"/>
    <w:rsid w:val="007B01DF"/>
    <w:rsid w:val="007B0DB6"/>
    <w:rsid w:val="007B12B8"/>
    <w:rsid w:val="007B3D54"/>
    <w:rsid w:val="007C2B36"/>
    <w:rsid w:val="007C4165"/>
    <w:rsid w:val="007C5A15"/>
    <w:rsid w:val="007C5B86"/>
    <w:rsid w:val="007E23E6"/>
    <w:rsid w:val="008166C9"/>
    <w:rsid w:val="00817CCE"/>
    <w:rsid w:val="0082111E"/>
    <w:rsid w:val="00826531"/>
    <w:rsid w:val="00844457"/>
    <w:rsid w:val="00845CE5"/>
    <w:rsid w:val="0086374C"/>
    <w:rsid w:val="00864000"/>
    <w:rsid w:val="00880B3D"/>
    <w:rsid w:val="00886CD7"/>
    <w:rsid w:val="008947D0"/>
    <w:rsid w:val="008A3876"/>
    <w:rsid w:val="008B4262"/>
    <w:rsid w:val="008B600F"/>
    <w:rsid w:val="008C0ACB"/>
    <w:rsid w:val="008F0362"/>
    <w:rsid w:val="008F2ED4"/>
    <w:rsid w:val="0094095B"/>
    <w:rsid w:val="009D0F64"/>
    <w:rsid w:val="00A05FBC"/>
    <w:rsid w:val="00A10955"/>
    <w:rsid w:val="00A26EDA"/>
    <w:rsid w:val="00A31966"/>
    <w:rsid w:val="00A96ACA"/>
    <w:rsid w:val="00AA53B7"/>
    <w:rsid w:val="00AA5E25"/>
    <w:rsid w:val="00AA72F5"/>
    <w:rsid w:val="00AB5DA7"/>
    <w:rsid w:val="00AC2047"/>
    <w:rsid w:val="00AD1230"/>
    <w:rsid w:val="00AD74A4"/>
    <w:rsid w:val="00AE0A4D"/>
    <w:rsid w:val="00AE1AAC"/>
    <w:rsid w:val="00AE599C"/>
    <w:rsid w:val="00AF4129"/>
    <w:rsid w:val="00AF7DA4"/>
    <w:rsid w:val="00B13CCB"/>
    <w:rsid w:val="00B300B9"/>
    <w:rsid w:val="00B86D3B"/>
    <w:rsid w:val="00BA79A0"/>
    <w:rsid w:val="00BC76EA"/>
    <w:rsid w:val="00BD084C"/>
    <w:rsid w:val="00BD6243"/>
    <w:rsid w:val="00BF0FCC"/>
    <w:rsid w:val="00C033CF"/>
    <w:rsid w:val="00C168DD"/>
    <w:rsid w:val="00C27883"/>
    <w:rsid w:val="00C433EC"/>
    <w:rsid w:val="00C435ED"/>
    <w:rsid w:val="00C875CB"/>
    <w:rsid w:val="00C9153A"/>
    <w:rsid w:val="00C920F0"/>
    <w:rsid w:val="00C934AB"/>
    <w:rsid w:val="00C969CF"/>
    <w:rsid w:val="00CC4ABA"/>
    <w:rsid w:val="00CF1084"/>
    <w:rsid w:val="00CF2D56"/>
    <w:rsid w:val="00D04135"/>
    <w:rsid w:val="00D04BF9"/>
    <w:rsid w:val="00D102DC"/>
    <w:rsid w:val="00D20161"/>
    <w:rsid w:val="00D41F87"/>
    <w:rsid w:val="00D9261B"/>
    <w:rsid w:val="00D942CB"/>
    <w:rsid w:val="00DA002E"/>
    <w:rsid w:val="00DB4FCE"/>
    <w:rsid w:val="00DC6A43"/>
    <w:rsid w:val="00DE51FF"/>
    <w:rsid w:val="00E124AF"/>
    <w:rsid w:val="00E132B6"/>
    <w:rsid w:val="00E47267"/>
    <w:rsid w:val="00E630BA"/>
    <w:rsid w:val="00E6553D"/>
    <w:rsid w:val="00E70459"/>
    <w:rsid w:val="00E76F2B"/>
    <w:rsid w:val="00E823A2"/>
    <w:rsid w:val="00EA3CC6"/>
    <w:rsid w:val="00EB1CCB"/>
    <w:rsid w:val="00EC5BAC"/>
    <w:rsid w:val="00EC5D3E"/>
    <w:rsid w:val="00ED4906"/>
    <w:rsid w:val="00EE0ECA"/>
    <w:rsid w:val="00F045BD"/>
    <w:rsid w:val="00F12BC0"/>
    <w:rsid w:val="00F147B2"/>
    <w:rsid w:val="00F60949"/>
    <w:rsid w:val="00F61FDB"/>
    <w:rsid w:val="00F64A07"/>
    <w:rsid w:val="00F94E8E"/>
    <w:rsid w:val="00F963E8"/>
    <w:rsid w:val="00FA073F"/>
    <w:rsid w:val="00FB6A26"/>
    <w:rsid w:val="00FC43DD"/>
    <w:rsid w:val="00FD59EC"/>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uiPriority w:val="99"/>
    <w:rsid w:val="00CF1084"/>
    <w:pPr>
      <w:spacing w:before="120" w:after="120"/>
      <w:ind w:firstLine="709"/>
      <w:jc w:val="both"/>
    </w:pPr>
    <w:rPr>
      <w:sz w:val="24"/>
    </w:rPr>
  </w:style>
  <w:style w:type="character" w:customStyle="1" w:styleId="CorpsdetexteCar">
    <w:name w:val="Corps de texte Car"/>
    <w:basedOn w:val="Policepardfaut"/>
    <w:uiPriority w:val="99"/>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94095B"/>
    <w:pPr>
      <w:tabs>
        <w:tab w:val="center" w:pos="4536"/>
        <w:tab w:val="right" w:pos="9072"/>
      </w:tabs>
    </w:pPr>
  </w:style>
  <w:style w:type="character" w:customStyle="1" w:styleId="PieddepageCar">
    <w:name w:val="Pied de page Car"/>
    <w:basedOn w:val="Policepardfaut"/>
    <w:link w:val="Pieddepage"/>
    <w:uiPriority w:val="99"/>
    <w:rsid w:val="0094095B"/>
  </w:style>
  <w:style w:type="paragraph" w:customStyle="1" w:styleId="CarCar1CarCarCar">
    <w:name w:val="Car Car1 Car Car Car"/>
    <w:basedOn w:val="Normal"/>
    <w:rsid w:val="00207D7B"/>
    <w:pPr>
      <w:spacing w:after="160" w:line="240" w:lineRule="exact"/>
    </w:pPr>
    <w:rPr>
      <w:rFonts w:ascii="Tahoma" w:hAnsi="Tahoma"/>
      <w:lang w:val="en-US" w:eastAsia="en-US"/>
    </w:rPr>
  </w:style>
  <w:style w:type="character" w:styleId="Marquedecommentaire">
    <w:name w:val="annotation reference"/>
    <w:uiPriority w:val="99"/>
    <w:semiHidden/>
    <w:unhideWhenUsed/>
    <w:rsid w:val="008166C9"/>
    <w:rPr>
      <w:sz w:val="16"/>
      <w:szCs w:val="16"/>
    </w:rPr>
  </w:style>
  <w:style w:type="paragraph" w:styleId="Commentaire">
    <w:name w:val="annotation text"/>
    <w:basedOn w:val="Normal"/>
    <w:link w:val="CommentaireCar"/>
    <w:uiPriority w:val="99"/>
    <w:semiHidden/>
    <w:unhideWhenUsed/>
    <w:rsid w:val="008166C9"/>
  </w:style>
  <w:style w:type="character" w:customStyle="1" w:styleId="CommentaireCar">
    <w:name w:val="Commentaire Car"/>
    <w:basedOn w:val="Policepardfaut"/>
    <w:link w:val="Commentaire"/>
    <w:uiPriority w:val="99"/>
    <w:semiHidden/>
    <w:rsid w:val="008166C9"/>
  </w:style>
  <w:style w:type="paragraph" w:styleId="Objetducommentaire">
    <w:name w:val="annotation subject"/>
    <w:basedOn w:val="Commentaire"/>
    <w:next w:val="Commentaire"/>
    <w:link w:val="ObjetducommentaireCar"/>
    <w:uiPriority w:val="99"/>
    <w:semiHidden/>
    <w:unhideWhenUsed/>
    <w:rsid w:val="008166C9"/>
    <w:rPr>
      <w:b/>
      <w:bCs/>
    </w:rPr>
  </w:style>
  <w:style w:type="character" w:customStyle="1" w:styleId="ObjetducommentaireCar">
    <w:name w:val="Objet du commentaire Car"/>
    <w:link w:val="Objetducommentaire"/>
    <w:uiPriority w:val="99"/>
    <w:semiHidden/>
    <w:rsid w:val="008166C9"/>
    <w:rPr>
      <w:b/>
      <w:bCs/>
    </w:rPr>
  </w:style>
  <w:style w:type="paragraph" w:styleId="Rvision">
    <w:name w:val="Revision"/>
    <w:hidden/>
    <w:uiPriority w:val="99"/>
    <w:semiHidden/>
    <w:rsid w:val="00816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22</TotalTime>
  <Pages>7</Pages>
  <Words>2522</Words>
  <Characters>13871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2014-02-18T13:33:00Z</cp:lastPrinted>
  <dcterms:created xsi:type="dcterms:W3CDTF">2014-05-21T15:10:00Z</dcterms:created>
  <dcterms:modified xsi:type="dcterms:W3CDTF">2014-05-28T18:03:00Z</dcterms:modified>
</cp:coreProperties>
</file>