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9630FA" w:rsidP="00CF1084">
      <w:pPr>
        <w:pStyle w:val="ET"/>
      </w:pPr>
      <w:r>
        <w:t>troisième</w:t>
      </w:r>
      <w:r w:rsidR="00CF1084">
        <w:t xml:space="preserve"> SECTION</w:t>
      </w:r>
    </w:p>
    <w:p w:rsidR="00CF1084" w:rsidRDefault="00CF1084" w:rsidP="00CF1084">
      <w:pPr>
        <w:pStyle w:val="ET"/>
        <w:spacing w:after="120"/>
      </w:pPr>
      <w:r>
        <w:tab/>
        <w:t>  -------</w:t>
      </w:r>
    </w:p>
    <w:p w:rsidR="00CF1084" w:rsidRPr="00EB77A7" w:rsidRDefault="00CF1084" w:rsidP="00CF1084">
      <w:pPr>
        <w:pStyle w:val="En-tte"/>
        <w:rPr>
          <w:b/>
          <w:i/>
          <w:sz w:val="22"/>
          <w:szCs w:val="22"/>
        </w:rPr>
      </w:pPr>
      <w:r>
        <w:rPr>
          <w:b/>
          <w:i/>
          <w:sz w:val="22"/>
          <w:szCs w:val="22"/>
        </w:rPr>
        <w:t xml:space="preserve">  </w:t>
      </w:r>
      <w:r w:rsidR="00EB77A7">
        <w:rPr>
          <w:b/>
          <w:i/>
          <w:sz w:val="22"/>
          <w:szCs w:val="22"/>
        </w:rPr>
        <w:t xml:space="preserve">      </w:t>
      </w:r>
      <w:r>
        <w:rPr>
          <w:b/>
          <w:i/>
          <w:sz w:val="22"/>
          <w:szCs w:val="22"/>
        </w:rPr>
        <w:t xml:space="preserve">   </w:t>
      </w:r>
      <w:r w:rsidR="009630FA" w:rsidRPr="00EB77A7">
        <w:rPr>
          <w:b/>
          <w:i/>
          <w:sz w:val="22"/>
          <w:szCs w:val="22"/>
        </w:rPr>
        <w:t xml:space="preserve">Arrêt n° </w:t>
      </w:r>
      <w:r w:rsidR="00EB77A7" w:rsidRPr="00EB77A7">
        <w:rPr>
          <w:b/>
          <w:i/>
          <w:sz w:val="22"/>
          <w:szCs w:val="22"/>
        </w:rPr>
        <w:t>69257</w:t>
      </w:r>
    </w:p>
    <w:p w:rsidR="00CF1084" w:rsidRDefault="00CF1084" w:rsidP="00CF1084">
      <w:pPr>
        <w:pStyle w:val="OR"/>
      </w:pPr>
      <w:r>
        <w:t>C</w:t>
      </w:r>
      <w:r w:rsidR="009630FA">
        <w:t>ENTRE R</w:t>
      </w:r>
      <w:r w:rsidR="00FA76F2">
        <w:t>É</w:t>
      </w:r>
      <w:r w:rsidR="009630FA">
        <w:t>GIONAL DE LA PROPRI</w:t>
      </w:r>
      <w:r w:rsidR="00FA76F2" w:rsidRPr="00FA76F2">
        <w:t>É</w:t>
      </w:r>
      <w:r w:rsidR="009630FA">
        <w:t>T</w:t>
      </w:r>
      <w:r w:rsidR="00FA76F2" w:rsidRPr="00FA76F2">
        <w:t>É</w:t>
      </w:r>
      <w:r w:rsidR="009630FA">
        <w:t xml:space="preserve"> FORESTI</w:t>
      </w:r>
      <w:r w:rsidR="00FA76F2">
        <w:t>È</w:t>
      </w:r>
      <w:r w:rsidR="009630FA">
        <w:t>RE</w:t>
      </w:r>
      <w:r w:rsidR="00EB77A7">
        <w:t xml:space="preserve"> </w:t>
      </w:r>
      <w:r w:rsidR="009630FA">
        <w:t>D</w:t>
      </w:r>
      <w:r w:rsidR="00F31076">
        <w:t>E PROVENCE-ALPES-CÔTE-D’AZUR</w:t>
      </w:r>
    </w:p>
    <w:p w:rsidR="00CE7CC2" w:rsidRDefault="00CE7CC2" w:rsidP="00CF1084">
      <w:pPr>
        <w:pStyle w:val="OR"/>
      </w:pPr>
    </w:p>
    <w:p w:rsidR="00CF1084" w:rsidRDefault="00CF1084" w:rsidP="00CF1084">
      <w:pPr>
        <w:pStyle w:val="OR"/>
      </w:pPr>
      <w:r w:rsidRPr="00DE5DB3">
        <w:t xml:space="preserve">Exercices </w:t>
      </w:r>
      <w:r>
        <w:t>200</w:t>
      </w:r>
      <w:r w:rsidR="009630FA">
        <w:t>7</w:t>
      </w:r>
      <w:r>
        <w:t xml:space="preserve"> à</w:t>
      </w:r>
      <w:r w:rsidRPr="00DE5DB3">
        <w:t xml:space="preserve"> 20</w:t>
      </w:r>
      <w:r w:rsidR="00F359DB">
        <w:t>10</w:t>
      </w:r>
    </w:p>
    <w:p w:rsidR="00CF1084" w:rsidRDefault="00CF1084" w:rsidP="00CF1084">
      <w:pPr>
        <w:pStyle w:val="OR"/>
      </w:pPr>
    </w:p>
    <w:p w:rsidR="00CF1084" w:rsidRDefault="00CF1084" w:rsidP="00CF1084">
      <w:pPr>
        <w:pStyle w:val="OR"/>
      </w:pPr>
      <w:r>
        <w:t>Rapport n° 201</w:t>
      </w:r>
      <w:r w:rsidR="002C07D8">
        <w:t>4</w:t>
      </w:r>
      <w:r>
        <w:t>-</w:t>
      </w:r>
      <w:r w:rsidR="002C07D8">
        <w:t>010</w:t>
      </w:r>
      <w:r>
        <w:t>-</w:t>
      </w:r>
      <w:r w:rsidR="00223239">
        <w:t>0</w:t>
      </w:r>
    </w:p>
    <w:p w:rsidR="00CF1084" w:rsidRDefault="00CF1084" w:rsidP="00CF1084">
      <w:pPr>
        <w:pStyle w:val="OR"/>
      </w:pPr>
    </w:p>
    <w:p w:rsidR="00CF1084" w:rsidRDefault="00CF1084" w:rsidP="00CF1084">
      <w:pPr>
        <w:pStyle w:val="OR"/>
      </w:pPr>
      <w:r>
        <w:t xml:space="preserve">Audience publique </w:t>
      </w:r>
      <w:r w:rsidR="00004B6C">
        <w:t xml:space="preserve">et délibéré </w:t>
      </w:r>
      <w:r>
        <w:t xml:space="preserve">du </w:t>
      </w:r>
      <w:r w:rsidR="002C07D8">
        <w:t xml:space="preserve">19 février </w:t>
      </w:r>
      <w:r>
        <w:t>201</w:t>
      </w:r>
      <w:r w:rsidR="002C07D8">
        <w:t>4</w:t>
      </w:r>
    </w:p>
    <w:p w:rsidR="00CF1084" w:rsidRDefault="00CF1084" w:rsidP="00CF1084">
      <w:pPr>
        <w:pStyle w:val="OR"/>
      </w:pPr>
    </w:p>
    <w:p w:rsidR="00CF1084" w:rsidRDefault="00CF1084" w:rsidP="00CF1084">
      <w:pPr>
        <w:pStyle w:val="OR"/>
      </w:pPr>
      <w:r>
        <w:t xml:space="preserve">Lecture publique </w:t>
      </w:r>
      <w:r w:rsidR="009630FA">
        <w:t>du</w:t>
      </w:r>
      <w:r w:rsidR="00242878">
        <w:t xml:space="preserve"> </w:t>
      </w:r>
      <w:r w:rsidR="00EB77A7">
        <w:t xml:space="preserve">7 </w:t>
      </w:r>
      <w:r w:rsidR="003932E3">
        <w:t>avril</w:t>
      </w:r>
      <w:r w:rsidR="00242878">
        <w:t xml:space="preserve"> 2014</w:t>
      </w:r>
    </w:p>
    <w:p w:rsidR="00FE383E" w:rsidRDefault="00FE383E" w:rsidP="00CF1084">
      <w:pPr>
        <w:pStyle w:val="OR"/>
      </w:pPr>
    </w:p>
    <w:p w:rsidR="00E83716" w:rsidRPr="00690D05" w:rsidRDefault="00E83716" w:rsidP="00E83716">
      <w:pPr>
        <w:pStyle w:val="P0"/>
        <w:spacing w:after="240"/>
        <w:ind w:left="540" w:right="-284" w:firstLine="594"/>
        <w:jc w:val="center"/>
      </w:pPr>
      <w:bookmarkStart w:id="0" w:name="_GoBack"/>
      <w:r w:rsidRPr="00690D05">
        <w:t>REPUBLIQUE FRANÇAISE</w:t>
      </w:r>
    </w:p>
    <w:p w:rsidR="00E83716" w:rsidRPr="00690D05" w:rsidRDefault="00E83716" w:rsidP="00E83716">
      <w:pPr>
        <w:pStyle w:val="P0"/>
        <w:spacing w:after="360"/>
        <w:ind w:left="539" w:right="-284" w:firstLine="594"/>
        <w:jc w:val="center"/>
      </w:pPr>
      <w:r w:rsidRPr="00690D05">
        <w:t>AU NOM DU PEUPLE FRANÇAIS</w:t>
      </w:r>
    </w:p>
    <w:p w:rsidR="00E83716" w:rsidRPr="00690D05" w:rsidRDefault="00E83716" w:rsidP="00E83716">
      <w:pPr>
        <w:pStyle w:val="P0"/>
        <w:spacing w:after="480"/>
        <w:ind w:left="539" w:right="-284" w:firstLine="594"/>
        <w:jc w:val="center"/>
      </w:pPr>
      <w:r w:rsidRPr="00690D05">
        <w:t>LA COUR DES COMPTES a rendu l’arrêt suivant :</w:t>
      </w:r>
    </w:p>
    <w:p w:rsidR="00E83716" w:rsidRDefault="00E83716" w:rsidP="00E83716">
      <w:pPr>
        <w:pStyle w:val="PS"/>
        <w:spacing w:after="240"/>
      </w:pPr>
      <w:r>
        <w:t>LA COUR,</w:t>
      </w:r>
    </w:p>
    <w:p w:rsidR="00CF1084" w:rsidRPr="00BC105C" w:rsidRDefault="00CF1084" w:rsidP="000D0433">
      <w:pPr>
        <w:pStyle w:val="PS"/>
        <w:spacing w:after="360"/>
      </w:pPr>
      <w:r>
        <w:t>Vu le réquisitoire n°</w:t>
      </w:r>
      <w:r w:rsidR="00511713">
        <w:t> </w:t>
      </w:r>
      <w:r>
        <w:t>201</w:t>
      </w:r>
      <w:r w:rsidR="009630FA">
        <w:t>3</w:t>
      </w:r>
      <w:r>
        <w:t>-</w:t>
      </w:r>
      <w:r w:rsidR="002C07D8">
        <w:t>26</w:t>
      </w:r>
      <w:r w:rsidRPr="00BC105C">
        <w:t xml:space="preserve"> RQ-DB </w:t>
      </w:r>
      <w:r>
        <w:t xml:space="preserve">du </w:t>
      </w:r>
      <w:r w:rsidR="002C07D8">
        <w:t>3</w:t>
      </w:r>
      <w:r>
        <w:t xml:space="preserve"> </w:t>
      </w:r>
      <w:r w:rsidR="00F06591">
        <w:t>mai</w:t>
      </w:r>
      <w:r w:rsidRPr="00BC105C">
        <w:t xml:space="preserve"> 201</w:t>
      </w:r>
      <w:r w:rsidR="009630FA">
        <w:t>3</w:t>
      </w:r>
      <w:r w:rsidRPr="00BC105C">
        <w:t xml:space="preserve"> </w:t>
      </w:r>
      <w:r>
        <w:t>du</w:t>
      </w:r>
      <w:r w:rsidRPr="00BC105C">
        <w:t xml:space="preserve"> Procureur général près la Cour des comptes saisi</w:t>
      </w:r>
      <w:r>
        <w:t>ssant</w:t>
      </w:r>
      <w:r w:rsidRPr="00BC105C">
        <w:t xml:space="preserve"> la septième chambre de la Cour d</w:t>
      </w:r>
      <w:r w:rsidR="002C07D8">
        <w:t xml:space="preserve">’une </w:t>
      </w:r>
      <w:r w:rsidR="009630FA">
        <w:t>présomption</w:t>
      </w:r>
      <w:r w:rsidRPr="00BC105C">
        <w:t xml:space="preserve"> de charge</w:t>
      </w:r>
      <w:r w:rsidR="002C07D8">
        <w:t xml:space="preserve"> </w:t>
      </w:r>
      <w:r w:rsidRPr="00BC105C">
        <w:t>soulevé</w:t>
      </w:r>
      <w:r w:rsidR="001D1A68">
        <w:t>e</w:t>
      </w:r>
      <w:r w:rsidRPr="00BC105C">
        <w:t xml:space="preserve"> au cours des exercices 200</w:t>
      </w:r>
      <w:r w:rsidR="009630FA">
        <w:t>7</w:t>
      </w:r>
      <w:r w:rsidRPr="00BC105C">
        <w:t xml:space="preserve"> à 20</w:t>
      </w:r>
      <w:r w:rsidR="00FA4E15">
        <w:t>09</w:t>
      </w:r>
      <w:r w:rsidRPr="00BC105C">
        <w:t xml:space="preserve"> à l’encontre</w:t>
      </w:r>
      <w:r w:rsidR="00C4154E">
        <w:t xml:space="preserve"> de</w:t>
      </w:r>
      <w:r w:rsidRPr="00BC105C">
        <w:t xml:space="preserve"> M</w:t>
      </w:r>
      <w:r>
        <w:t>.</w:t>
      </w:r>
      <w:r w:rsidR="00511713">
        <w:t> </w:t>
      </w:r>
      <w:r w:rsidR="00D7789D">
        <w:t>X</w:t>
      </w:r>
      <w:r w:rsidR="00F06591">
        <w:t xml:space="preserve">, </w:t>
      </w:r>
      <w:r w:rsidRPr="00BC105C">
        <w:t>agent comptable</w:t>
      </w:r>
      <w:r>
        <w:t xml:space="preserve"> du C</w:t>
      </w:r>
      <w:r w:rsidR="009630FA">
        <w:t>ENTRE R</w:t>
      </w:r>
      <w:r w:rsidR="00FA76F2" w:rsidRPr="00FA76F2">
        <w:t>É</w:t>
      </w:r>
      <w:r w:rsidR="009630FA">
        <w:t>GIONAL DE LA PROPRI</w:t>
      </w:r>
      <w:r w:rsidR="00FA76F2" w:rsidRPr="00FA76F2">
        <w:t>É</w:t>
      </w:r>
      <w:r w:rsidR="009630FA">
        <w:t>T</w:t>
      </w:r>
      <w:r w:rsidR="00FA76F2" w:rsidRPr="00FA76F2">
        <w:t>É</w:t>
      </w:r>
      <w:r w:rsidR="009630FA">
        <w:t xml:space="preserve"> FORESTI</w:t>
      </w:r>
      <w:r w:rsidR="00FA76F2">
        <w:t>È</w:t>
      </w:r>
      <w:r w:rsidR="009630FA">
        <w:t xml:space="preserve">RE </w:t>
      </w:r>
      <w:r w:rsidR="00C4154E" w:rsidRPr="00C4154E">
        <w:t>D</w:t>
      </w:r>
      <w:r w:rsidR="002C07D8">
        <w:t xml:space="preserve">E </w:t>
      </w:r>
      <w:r w:rsidR="002C07D8" w:rsidRPr="002C07D8">
        <w:t>PROVENCE-ALPES-CÔTE-D’AZUR</w:t>
      </w:r>
      <w:r w:rsidR="00F06591">
        <w:t xml:space="preserve">, du </w:t>
      </w:r>
      <w:r w:rsidR="002C07D8">
        <w:t>1</w:t>
      </w:r>
      <w:r w:rsidR="002C07D8" w:rsidRPr="002C07D8">
        <w:rPr>
          <w:vertAlign w:val="superscript"/>
        </w:rPr>
        <w:t>er</w:t>
      </w:r>
      <w:r w:rsidR="00AC1AEB" w:rsidRPr="00AC1AEB">
        <w:t xml:space="preserve"> </w:t>
      </w:r>
      <w:r w:rsidR="004134EA">
        <w:t>octobre</w:t>
      </w:r>
      <w:r w:rsidR="00AC1AEB">
        <w:t xml:space="preserve"> </w:t>
      </w:r>
      <w:r w:rsidR="002C07D8">
        <w:t>1998</w:t>
      </w:r>
      <w:r w:rsidR="00F06591">
        <w:t xml:space="preserve"> au </w:t>
      </w:r>
      <w:r w:rsidR="002C07D8">
        <w:t xml:space="preserve">31 mars </w:t>
      </w:r>
      <w:r w:rsidR="00C4154E">
        <w:t>2010</w:t>
      </w:r>
      <w:r w:rsidR="00AC1AEB">
        <w:t> ;</w:t>
      </w:r>
    </w:p>
    <w:p w:rsidR="00CF1084" w:rsidRDefault="00CF1084" w:rsidP="000D0433">
      <w:pPr>
        <w:pStyle w:val="PS"/>
        <w:spacing w:after="360"/>
      </w:pPr>
      <w:r w:rsidRPr="00BC105C">
        <w:t>Vu le code des juridictions financières</w:t>
      </w:r>
      <w:r w:rsidR="00AC1AEB">
        <w:t>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w:t>
      </w:r>
      <w:r w:rsidR="00AC1AEB">
        <w:t> ;</w:t>
      </w:r>
    </w:p>
    <w:p w:rsidR="00511713" w:rsidRPr="00BC105C" w:rsidRDefault="00511713" w:rsidP="005210B5">
      <w:pPr>
        <w:pStyle w:val="PS"/>
        <w:spacing w:before="120" w:after="360"/>
      </w:pPr>
      <w:r w:rsidRPr="00BC105C">
        <w:t>Vu le décret n°</w:t>
      </w:r>
      <w:r w:rsidR="00B0549E">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00AC1AEB">
        <w:t> ;</w:t>
      </w:r>
    </w:p>
    <w:p w:rsidR="004C2432" w:rsidRPr="00BC105C" w:rsidRDefault="004C2432" w:rsidP="004C2432">
      <w:pPr>
        <w:pStyle w:val="PS"/>
        <w:spacing w:after="360"/>
      </w:pPr>
      <w:r>
        <w:t xml:space="preserve">Vu le code forestier, ainsi que les lois, décrets et règlements sur la comptabilité publique des </w:t>
      </w:r>
      <w:r w:rsidRPr="00BC105C">
        <w:t>établissements publi</w:t>
      </w:r>
      <w:r>
        <w:t>cs nationaux à caractère administratif ;</w:t>
      </w:r>
    </w:p>
    <w:p w:rsidR="006F5676" w:rsidRDefault="006F5676" w:rsidP="006F5676">
      <w:pPr>
        <w:pStyle w:val="PS"/>
        <w:spacing w:before="120" w:after="360"/>
      </w:pPr>
      <w:r>
        <w:lastRenderedPageBreak/>
        <w:t>Vu l’ordonnance n°</w:t>
      </w:r>
      <w:r w:rsidR="00B0549E">
        <w:t> </w:t>
      </w:r>
      <w:r>
        <w:t>2009-1369 du 6 novembre 2009 relative au regroupement du Centre national professionnel de la propriété forestière (CNPPF) et des centres régionaux de la propriété forestière (CRPF) ainsi que le décret n°</w:t>
      </w:r>
      <w:r w:rsidR="00B0549E">
        <w:t> </w:t>
      </w:r>
      <w:r>
        <w:t>2010-326 du</w:t>
      </w:r>
      <w:r w:rsidR="00AC1AEB">
        <w:t xml:space="preserve"> </w:t>
      </w:r>
      <w:r>
        <w:t>22 mars 2010, en vigueur à compter du 1</w:t>
      </w:r>
      <w:r w:rsidRPr="00AC1AEB">
        <w:rPr>
          <w:vertAlign w:val="superscript"/>
        </w:rPr>
        <w:t>er</w:t>
      </w:r>
      <w:r>
        <w:t xml:space="preserve"> avril 2010, relatif au Centre national de la propriété forestière, codifiés</w:t>
      </w:r>
      <w:r w:rsidR="00AC1AEB">
        <w:t> ;</w:t>
      </w:r>
    </w:p>
    <w:p w:rsidR="006F5676" w:rsidRDefault="006F5676" w:rsidP="006F5676">
      <w:pPr>
        <w:pStyle w:val="PS"/>
        <w:spacing w:before="120" w:after="360"/>
      </w:pPr>
      <w:r>
        <w:t>Vu l'arrêté du Premier président de la Cour des comptes n°</w:t>
      </w:r>
      <w:r w:rsidR="00EB77A7">
        <w:t> </w:t>
      </w:r>
      <w:r>
        <w:t>12-831 du 21 décembre 2012 portant répartition des attributions entre les chambres de la Cour des comptes</w:t>
      </w:r>
      <w:r w:rsidR="00AC1AEB">
        <w:t> ;</w:t>
      </w:r>
    </w:p>
    <w:p w:rsidR="00753C98" w:rsidRPr="00753C98" w:rsidRDefault="00753C98" w:rsidP="00753C98">
      <w:pPr>
        <w:pStyle w:val="PS"/>
        <w:spacing w:before="120" w:after="360"/>
      </w:pPr>
      <w:r w:rsidRPr="00753C98">
        <w:t>Vu l’ordonnance n° 6</w:t>
      </w:r>
      <w:r w:rsidR="00195CA9">
        <w:t>7</w:t>
      </w:r>
      <w:r w:rsidR="002C07D8">
        <w:t>010</w:t>
      </w:r>
      <w:r w:rsidRPr="00753C98">
        <w:t xml:space="preserve"> du </w:t>
      </w:r>
      <w:r w:rsidR="007377F7">
        <w:t>2</w:t>
      </w:r>
      <w:r w:rsidR="002C07D8">
        <w:t xml:space="preserve">1 mai </w:t>
      </w:r>
      <w:r w:rsidR="004714EE">
        <w:t>2013</w:t>
      </w:r>
      <w:r w:rsidRPr="00753C98">
        <w:t xml:space="preserve"> constatant la décharge de M. </w:t>
      </w:r>
      <w:r w:rsidR="00D7789D">
        <w:t>X</w:t>
      </w:r>
      <w:r w:rsidR="007377F7">
        <w:t xml:space="preserve"> </w:t>
      </w:r>
      <w:r w:rsidRPr="00753C98">
        <w:t xml:space="preserve">de sa gestion du </w:t>
      </w:r>
      <w:r w:rsidR="00FA4E15">
        <w:t>1</w:t>
      </w:r>
      <w:r w:rsidR="003A7D23" w:rsidRPr="003A7D23">
        <w:rPr>
          <w:vertAlign w:val="superscript"/>
        </w:rPr>
        <w:t>er</w:t>
      </w:r>
      <w:r w:rsidR="003A7D23">
        <w:t xml:space="preserve"> </w:t>
      </w:r>
      <w:r w:rsidR="002C07D8">
        <w:t xml:space="preserve">octobre 1998 </w:t>
      </w:r>
      <w:r w:rsidR="00195CA9">
        <w:t>au</w:t>
      </w:r>
      <w:r w:rsidRPr="00753C98">
        <w:t xml:space="preserve"> 31 décembre 2006</w:t>
      </w:r>
      <w:r w:rsidR="00FA4E15">
        <w:t xml:space="preserve"> et déchargeant l’intéressé de sa gestion </w:t>
      </w:r>
      <w:r w:rsidR="003A7D23">
        <w:t xml:space="preserve">2010, </w:t>
      </w:r>
      <w:r w:rsidR="00FA4E15">
        <w:t>du 1</w:t>
      </w:r>
      <w:r w:rsidR="00FA4E15" w:rsidRPr="00FA4E15">
        <w:rPr>
          <w:vertAlign w:val="superscript"/>
        </w:rPr>
        <w:t>er</w:t>
      </w:r>
      <w:r w:rsidR="00FA4E15">
        <w:t xml:space="preserve"> janvier au </w:t>
      </w:r>
      <w:r w:rsidR="002C07D8">
        <w:t>31 mars</w:t>
      </w:r>
      <w:r w:rsidR="00AC1AEB">
        <w:t> ;</w:t>
      </w:r>
    </w:p>
    <w:p w:rsidR="00CF1084" w:rsidRPr="00BC105C" w:rsidRDefault="00753C98" w:rsidP="005210B5">
      <w:pPr>
        <w:pStyle w:val="PS"/>
        <w:spacing w:before="120" w:after="360"/>
      </w:pPr>
      <w:r>
        <w:t xml:space="preserve">Vu les lettres </w:t>
      </w:r>
      <w:r w:rsidR="001A1EE9">
        <w:t>d</w:t>
      </w:r>
      <w:r w:rsidR="002C07D8">
        <w:t>es 14 et 1</w:t>
      </w:r>
      <w:r w:rsidR="007377F7">
        <w:t>7</w:t>
      </w:r>
      <w:r w:rsidR="00FA4E15">
        <w:t xml:space="preserve"> mai 2013</w:t>
      </w:r>
      <w:r w:rsidR="001A1EE9">
        <w:t xml:space="preserve"> à fin de notification du</w:t>
      </w:r>
      <w:r w:rsidR="00CF1084" w:rsidRPr="00BC105C">
        <w:t xml:space="preserve"> réquisitoire du ministère public </w:t>
      </w:r>
      <w:r w:rsidR="00CF1084">
        <w:t>au</w:t>
      </w:r>
      <w:r w:rsidR="001A1EE9">
        <w:t xml:space="preserve"> c</w:t>
      </w:r>
      <w:r w:rsidR="00CF1084">
        <w:t>omptable</w:t>
      </w:r>
      <w:r w:rsidR="001A1EE9">
        <w:t xml:space="preserve"> </w:t>
      </w:r>
      <w:r w:rsidR="00CF1084">
        <w:t>concerné</w:t>
      </w:r>
      <w:r w:rsidR="00BC4D65">
        <w:t>, au directeur du centre régional de la propriété forestière de Provence-Alpes-Côte-d’Azur</w:t>
      </w:r>
      <w:r w:rsidR="002D5CDC">
        <w:t xml:space="preserve"> et</w:t>
      </w:r>
      <w:r w:rsidR="001A1EE9">
        <w:t xml:space="preserve"> au directeur </w:t>
      </w:r>
      <w:r w:rsidR="002D5CDC">
        <w:t xml:space="preserve">général </w:t>
      </w:r>
      <w:r w:rsidR="001A1EE9">
        <w:t>du Centre national de la propriété forestière</w:t>
      </w:r>
      <w:r w:rsidR="00CF1084" w:rsidRPr="00BC105C">
        <w:t xml:space="preserve">, </w:t>
      </w:r>
      <w:r w:rsidR="00CF1084">
        <w:t>ainsi que leurs accusés de réception</w:t>
      </w:r>
      <w:r w:rsidR="002D5CDC">
        <w:t xml:space="preserve">, respectivement </w:t>
      </w:r>
      <w:r w:rsidR="00CF1084">
        <w:t>en date d</w:t>
      </w:r>
      <w:r w:rsidR="001A1EE9">
        <w:t>es</w:t>
      </w:r>
      <w:r w:rsidR="00CF1084">
        <w:t xml:space="preserve"> </w:t>
      </w:r>
      <w:r w:rsidR="00BC4D65">
        <w:t>16</w:t>
      </w:r>
      <w:r w:rsidR="002D5CDC">
        <w:t xml:space="preserve"> </w:t>
      </w:r>
      <w:r w:rsidR="001A1EE9">
        <w:t>mai</w:t>
      </w:r>
      <w:r w:rsidR="00BC4D65">
        <w:t>, 22 mai</w:t>
      </w:r>
      <w:r w:rsidR="001A1EE9">
        <w:t xml:space="preserve"> </w:t>
      </w:r>
      <w:r w:rsidR="00FA4E15">
        <w:t xml:space="preserve">et </w:t>
      </w:r>
      <w:r w:rsidR="00BC4D65">
        <w:t>21 mai</w:t>
      </w:r>
      <w:r w:rsidR="00FA4E15">
        <w:t xml:space="preserve"> </w:t>
      </w:r>
      <w:r w:rsidR="002D5CDC">
        <w:t>2013</w:t>
      </w:r>
      <w:r w:rsidR="00AC1AEB">
        <w:t> ;</w:t>
      </w:r>
    </w:p>
    <w:p w:rsidR="00CF1084" w:rsidRPr="00BC105C" w:rsidRDefault="00CF1084" w:rsidP="005210B5">
      <w:pPr>
        <w:pStyle w:val="PS"/>
        <w:spacing w:before="120" w:after="360"/>
      </w:pPr>
      <w:r>
        <w:t xml:space="preserve">Vu les autres pièces du dossier et notamment les courriers </w:t>
      </w:r>
      <w:r w:rsidR="00B0549E">
        <w:t xml:space="preserve">en réponse </w:t>
      </w:r>
      <w:r>
        <w:t>d</w:t>
      </w:r>
      <w:r w:rsidR="001A1EE9">
        <w:t>e M.</w:t>
      </w:r>
      <w:r w:rsidR="00B0549E">
        <w:t> </w:t>
      </w:r>
      <w:r w:rsidR="00D7789D">
        <w:t>X</w:t>
      </w:r>
      <w:r w:rsidR="002D5CDC">
        <w:t xml:space="preserve"> en date des </w:t>
      </w:r>
      <w:r w:rsidR="00BC4D65">
        <w:t>2</w:t>
      </w:r>
      <w:r w:rsidR="00CB0527">
        <w:t>7</w:t>
      </w:r>
      <w:r w:rsidR="00BC4D65">
        <w:t xml:space="preserve"> mai, </w:t>
      </w:r>
      <w:r w:rsidR="00CB0527">
        <w:t>17 et 27 septembre 2013</w:t>
      </w:r>
      <w:r w:rsidR="00AC1AEB">
        <w:t> ;</w:t>
      </w:r>
    </w:p>
    <w:p w:rsidR="00CF1084" w:rsidRPr="00BC105C" w:rsidRDefault="00CF1084" w:rsidP="005210B5">
      <w:pPr>
        <w:pStyle w:val="PS"/>
        <w:spacing w:before="120" w:after="360"/>
      </w:pPr>
      <w:r>
        <w:t>Vu</w:t>
      </w:r>
      <w:r w:rsidRPr="00BC105C">
        <w:t xml:space="preserve"> le rapport </w:t>
      </w:r>
      <w:r w:rsidR="00AA72F5">
        <w:t>n° </w:t>
      </w:r>
      <w:r w:rsidR="00460733">
        <w:t>201</w:t>
      </w:r>
      <w:r w:rsidR="00CB0527">
        <w:t>4</w:t>
      </w:r>
      <w:r w:rsidR="00460733">
        <w:t>-</w:t>
      </w:r>
      <w:r w:rsidR="00CB0527">
        <w:t>010</w:t>
      </w:r>
      <w:r w:rsidR="00460733">
        <w:t xml:space="preserve">-0 </w:t>
      </w:r>
      <w:r>
        <w:t xml:space="preserve">du </w:t>
      </w:r>
      <w:r w:rsidR="00CB0527">
        <w:t>31 décembre</w:t>
      </w:r>
      <w:r w:rsidR="00AC1AEB">
        <w:t xml:space="preserve"> </w:t>
      </w:r>
      <w:r w:rsidRPr="00BC105C">
        <w:t>201</w:t>
      </w:r>
      <w:r w:rsidR="00EE3112">
        <w:t>3</w:t>
      </w:r>
      <w:r>
        <w:t xml:space="preserve"> </w:t>
      </w:r>
      <w:r w:rsidRPr="00BC105C">
        <w:t>de M.</w:t>
      </w:r>
      <w:r w:rsidR="00511713">
        <w:t> </w:t>
      </w:r>
      <w:r w:rsidR="00EE3112">
        <w:t>Stéphane Gaillard</w:t>
      </w:r>
      <w:r w:rsidRPr="00BC105C">
        <w:t xml:space="preserve">, </w:t>
      </w:r>
      <w:r w:rsidR="00EE3112">
        <w:t>auditeur</w:t>
      </w:r>
      <w:r w:rsidR="00AC1AEB">
        <w:t> ;</w:t>
      </w:r>
    </w:p>
    <w:p w:rsidR="00CF1084" w:rsidRPr="00BC105C" w:rsidRDefault="00CF1084" w:rsidP="005210B5">
      <w:pPr>
        <w:pStyle w:val="PS"/>
        <w:spacing w:before="120" w:after="360"/>
      </w:pPr>
      <w:r w:rsidRPr="00BC105C">
        <w:t>Vu les conclusions n°</w:t>
      </w:r>
      <w:r w:rsidR="004D65E6">
        <w:t> </w:t>
      </w:r>
      <w:r w:rsidR="00EE3112">
        <w:t>6</w:t>
      </w:r>
      <w:r w:rsidR="007377F7">
        <w:t>4</w:t>
      </w:r>
      <w:r w:rsidRPr="00BC105C">
        <w:t xml:space="preserve"> </w:t>
      </w:r>
      <w:r>
        <w:t xml:space="preserve">du </w:t>
      </w:r>
      <w:r w:rsidR="00CB0527">
        <w:t>23</w:t>
      </w:r>
      <w:r w:rsidR="00AC1AEB">
        <w:t xml:space="preserve"> </w:t>
      </w:r>
      <w:r w:rsidR="00CB0527">
        <w:t>janvier</w:t>
      </w:r>
      <w:r w:rsidR="00AC1AEB">
        <w:t xml:space="preserve"> </w:t>
      </w:r>
      <w:r>
        <w:t>201</w:t>
      </w:r>
      <w:r w:rsidR="00CB0527">
        <w:t>4</w:t>
      </w:r>
      <w:r w:rsidRPr="00BC105C">
        <w:t xml:space="preserve"> du Procureur génér</w:t>
      </w:r>
      <w:r>
        <w:t>al de</w:t>
      </w:r>
      <w:r w:rsidR="00AC1AEB">
        <w:t xml:space="preserve"> </w:t>
      </w:r>
      <w:r>
        <w:t>la</w:t>
      </w:r>
      <w:r w:rsidR="00AC1AEB">
        <w:t xml:space="preserve"> </w:t>
      </w:r>
      <w:r>
        <w:t>République</w:t>
      </w:r>
      <w:r w:rsidR="00AC1AEB">
        <w:t> ;</w:t>
      </w:r>
    </w:p>
    <w:p w:rsidR="00CF1084" w:rsidRPr="008E03A0" w:rsidRDefault="00CF1084" w:rsidP="005210B5">
      <w:pPr>
        <w:pStyle w:val="PS"/>
        <w:spacing w:before="120" w:after="360"/>
      </w:pPr>
      <w:r w:rsidRPr="00BC105C">
        <w:t>Vu les lettres du</w:t>
      </w:r>
      <w:r>
        <w:t xml:space="preserve"> </w:t>
      </w:r>
      <w:r w:rsidR="00071A6F" w:rsidRPr="008E03A0">
        <w:t>2</w:t>
      </w:r>
      <w:r w:rsidR="00C42042" w:rsidRPr="008E03A0">
        <w:t>8 janvier</w:t>
      </w:r>
      <w:r w:rsidR="00071A6F" w:rsidRPr="008E03A0">
        <w:t xml:space="preserve"> </w:t>
      </w:r>
      <w:r w:rsidRPr="008E03A0">
        <w:t>201</w:t>
      </w:r>
      <w:r w:rsidR="00C42042" w:rsidRPr="008E03A0">
        <w:t>4</w:t>
      </w:r>
      <w:r w:rsidRPr="00BC105C">
        <w:t xml:space="preserve"> </w:t>
      </w:r>
      <w:r>
        <w:t>informant l</w:t>
      </w:r>
      <w:r w:rsidR="008E03A0">
        <w:t xml:space="preserve">’agent </w:t>
      </w:r>
      <w:r w:rsidR="00C252B3">
        <w:t>comptable</w:t>
      </w:r>
      <w:r w:rsidR="002D5CDC">
        <w:t xml:space="preserve"> concerné</w:t>
      </w:r>
      <w:r w:rsidR="008E03A0">
        <w:t>,</w:t>
      </w:r>
      <w:r>
        <w:t xml:space="preserve"> l</w:t>
      </w:r>
      <w:r w:rsidR="008E03A0">
        <w:t xml:space="preserve">e directeur du CRPF et le directeur général </w:t>
      </w:r>
      <w:r w:rsidRPr="00BC105C">
        <w:t>d</w:t>
      </w:r>
      <w:r w:rsidR="00C252B3">
        <w:t xml:space="preserve">u </w:t>
      </w:r>
      <w:r w:rsidR="00C252B3" w:rsidRPr="00C252B3">
        <w:t xml:space="preserve">Centre national de la propriété forestière </w:t>
      </w:r>
      <w:r w:rsidR="001372CC">
        <w:t xml:space="preserve">(CNPF) </w:t>
      </w:r>
      <w:r w:rsidR="008E03A0">
        <w:t xml:space="preserve">du dépôt des conclusions et </w:t>
      </w:r>
      <w:r w:rsidRPr="00BC105C">
        <w:t xml:space="preserve">de la date </w:t>
      </w:r>
      <w:r>
        <w:t xml:space="preserve">de l’audience publique, </w:t>
      </w:r>
      <w:r w:rsidR="008E03A0">
        <w:t>ainsi que</w:t>
      </w:r>
      <w:r w:rsidRPr="00BC105C">
        <w:t xml:space="preserve"> leurs accusés </w:t>
      </w:r>
      <w:r>
        <w:t xml:space="preserve">de réception </w:t>
      </w:r>
      <w:r w:rsidR="008E03A0">
        <w:t xml:space="preserve">respectivement </w:t>
      </w:r>
      <w:r>
        <w:t xml:space="preserve">datés </w:t>
      </w:r>
      <w:r w:rsidR="008E03A0">
        <w:t xml:space="preserve">du 31 janvier 2014 pour l’agent comptable et </w:t>
      </w:r>
      <w:r w:rsidRPr="008E03A0">
        <w:t>du</w:t>
      </w:r>
      <w:r w:rsidR="008E03A0" w:rsidRPr="008E03A0">
        <w:t xml:space="preserve"> 29 janvier</w:t>
      </w:r>
      <w:r w:rsidR="00AC1AEB">
        <w:t xml:space="preserve"> </w:t>
      </w:r>
      <w:r w:rsidRPr="008E03A0">
        <w:t>201</w:t>
      </w:r>
      <w:r w:rsidR="00C42042" w:rsidRPr="008E03A0">
        <w:t>4</w:t>
      </w:r>
      <w:r w:rsidR="008E03A0" w:rsidRPr="008E03A0">
        <w:t xml:space="preserve"> pour les deux autres destinataires</w:t>
      </w:r>
      <w:r w:rsidR="00AC1AEB">
        <w:t> ;</w:t>
      </w:r>
    </w:p>
    <w:p w:rsidR="00CF1084" w:rsidRPr="00BC105C" w:rsidRDefault="00CF1084" w:rsidP="003A7D23">
      <w:pPr>
        <w:pStyle w:val="PS"/>
        <w:spacing w:before="120" w:after="360"/>
      </w:pPr>
      <w:r w:rsidRPr="00BC105C">
        <w:t>Entendu, l</w:t>
      </w:r>
      <w:r>
        <w:t>ors de l’audience publique du</w:t>
      </w:r>
      <w:r w:rsidR="00FD0045">
        <w:t xml:space="preserve"> 19 février</w:t>
      </w:r>
      <w:r>
        <w:t xml:space="preserve"> 201</w:t>
      </w:r>
      <w:r w:rsidR="00FD0045">
        <w:t>4</w:t>
      </w:r>
      <w:r>
        <w:t>, M.</w:t>
      </w:r>
      <w:r w:rsidR="00511713">
        <w:t> </w:t>
      </w:r>
      <w:r w:rsidR="00C252B3">
        <w:t>Gaillard</w:t>
      </w:r>
      <w:r w:rsidRPr="00BC105C">
        <w:t xml:space="preserve"> en s</w:t>
      </w:r>
      <w:r w:rsidR="00C252B3">
        <w:t>on</w:t>
      </w:r>
      <w:r w:rsidRPr="00BC105C">
        <w:t xml:space="preserve"> rapport,</w:t>
      </w:r>
      <w:r>
        <w:t xml:space="preserve"> </w:t>
      </w:r>
      <w:r w:rsidRPr="00BC105C">
        <w:t>M.</w:t>
      </w:r>
      <w:r w:rsidR="00511713">
        <w:t> </w:t>
      </w:r>
      <w:r w:rsidRPr="00BC105C">
        <w:t>Yves Perrin, avoc</w:t>
      </w:r>
      <w:r>
        <w:t xml:space="preserve">at général, en ses conclusions, </w:t>
      </w:r>
      <w:r w:rsidR="00AC1AEB">
        <w:t>M. </w:t>
      </w:r>
      <w:r w:rsidR="00D7789D">
        <w:t>Y</w:t>
      </w:r>
      <w:r w:rsidR="001372CC">
        <w:t>, directeur général du CNPF</w:t>
      </w:r>
      <w:r w:rsidR="00AF273B">
        <w:t xml:space="preserve"> </w:t>
      </w:r>
      <w:r w:rsidR="00AF273B" w:rsidRPr="00AF273B">
        <w:t>étant présent</w:t>
      </w:r>
      <w:r w:rsidR="00AF273B">
        <w:t>,</w:t>
      </w:r>
      <w:r w:rsidR="001372CC">
        <w:t xml:space="preserve"> </w:t>
      </w:r>
      <w:r w:rsidR="00071A6F">
        <w:t>M.</w:t>
      </w:r>
      <w:r w:rsidR="00C65C3C">
        <w:t> </w:t>
      </w:r>
      <w:r w:rsidR="00D7789D">
        <w:t>X</w:t>
      </w:r>
      <w:r w:rsidR="00071A6F">
        <w:t xml:space="preserve"> n’étant ni présent, ni représenté</w:t>
      </w:r>
      <w:r w:rsidR="00AC1AEB">
        <w:t> ;</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00AC1AEB">
        <w:t> ;</w:t>
      </w:r>
    </w:p>
    <w:p w:rsidR="00CF1084" w:rsidRDefault="00AA72F5" w:rsidP="00511713">
      <w:pPr>
        <w:pStyle w:val="PS"/>
        <w:spacing w:after="360"/>
        <w:rPr>
          <w:i/>
          <w:u w:val="single"/>
        </w:rPr>
      </w:pPr>
      <w:r>
        <w:rPr>
          <w:i/>
          <w:u w:val="single"/>
        </w:rPr>
        <w:br w:type="page"/>
      </w:r>
      <w:r w:rsidR="002E10F4" w:rsidRPr="002E10F4">
        <w:rPr>
          <w:i/>
          <w:u w:val="single"/>
        </w:rPr>
        <w:t xml:space="preserve">Sur la charge </w:t>
      </w:r>
      <w:r w:rsidR="00FD0045">
        <w:rPr>
          <w:i/>
          <w:u w:val="single"/>
        </w:rPr>
        <w:t>unique</w:t>
      </w:r>
    </w:p>
    <w:p w:rsidR="00B621EF" w:rsidRDefault="00CF1084" w:rsidP="00B621EF">
      <w:pPr>
        <w:pStyle w:val="PS"/>
        <w:spacing w:after="200"/>
      </w:pPr>
      <w:r w:rsidRPr="002E10F4">
        <w:t xml:space="preserve">Considérant que </w:t>
      </w:r>
      <w:r w:rsidR="009475BB" w:rsidRPr="002E10F4">
        <w:t>M.</w:t>
      </w:r>
      <w:r w:rsidR="00B0549E">
        <w:t> </w:t>
      </w:r>
      <w:r w:rsidR="00D7789D">
        <w:t>X</w:t>
      </w:r>
      <w:r w:rsidR="00A42BE4">
        <w:t xml:space="preserve"> </w:t>
      </w:r>
      <w:r w:rsidRPr="002E10F4">
        <w:t xml:space="preserve">a réglé </w:t>
      </w:r>
      <w:r w:rsidR="009475BB" w:rsidRPr="002E10F4">
        <w:t xml:space="preserve">durant ses gestions </w:t>
      </w:r>
      <w:r w:rsidRPr="002E10F4">
        <w:t>200</w:t>
      </w:r>
      <w:r w:rsidR="00FD0045">
        <w:t>7 à</w:t>
      </w:r>
      <w:r w:rsidR="00B621EF">
        <w:t xml:space="preserve"> </w:t>
      </w:r>
      <w:r w:rsidRPr="002E10F4">
        <w:t>20</w:t>
      </w:r>
      <w:r w:rsidR="002E10F4" w:rsidRPr="002E10F4">
        <w:t>09</w:t>
      </w:r>
      <w:r w:rsidR="009475BB" w:rsidRPr="002E10F4">
        <w:t>,</w:t>
      </w:r>
      <w:r w:rsidRPr="002E10F4">
        <w:t xml:space="preserve"> </w:t>
      </w:r>
      <w:r w:rsidR="009475BB" w:rsidRPr="002E10F4">
        <w:t xml:space="preserve">au profit </w:t>
      </w:r>
      <w:r w:rsidR="00EC3418" w:rsidRPr="002E10F4">
        <w:t xml:space="preserve">du président du conseil d’administration </w:t>
      </w:r>
      <w:r w:rsidR="009475BB" w:rsidRPr="002E10F4">
        <w:t>du CRPF</w:t>
      </w:r>
      <w:r w:rsidR="00B621EF">
        <w:t xml:space="preserve"> et de divers administrateurs</w:t>
      </w:r>
      <w:r w:rsidR="009475BB" w:rsidRPr="002E10F4">
        <w:t xml:space="preserve">, </w:t>
      </w:r>
      <w:r w:rsidR="00EC3418" w:rsidRPr="002E10F4">
        <w:t xml:space="preserve">en exécution de </w:t>
      </w:r>
      <w:r w:rsidR="00FD0045">
        <w:t>huit</w:t>
      </w:r>
      <w:r w:rsidR="00EC3418" w:rsidRPr="002E10F4">
        <w:t xml:space="preserve"> </w:t>
      </w:r>
      <w:r w:rsidRPr="002E10F4">
        <w:t xml:space="preserve">mandats </w:t>
      </w:r>
      <w:r w:rsidR="00EC3418" w:rsidRPr="002E10F4">
        <w:t>répertoriés dans le tableau suivant, la somme totale de</w:t>
      </w:r>
      <w:r w:rsidR="00AC1AEB">
        <w:t xml:space="preserve"> </w:t>
      </w:r>
      <w:r w:rsidR="00FD0045">
        <w:t>1</w:t>
      </w:r>
      <w:r w:rsidR="002E10F4" w:rsidRPr="002E10F4">
        <w:t> </w:t>
      </w:r>
      <w:r w:rsidR="00FD0045">
        <w:t>806</w:t>
      </w:r>
      <w:r w:rsidR="002E10F4" w:rsidRPr="002E10F4">
        <w:t>,</w:t>
      </w:r>
      <w:r w:rsidR="00FD0045">
        <w:t>72</w:t>
      </w:r>
      <w:r w:rsidR="00505AA3">
        <w:t> </w:t>
      </w:r>
      <w:r w:rsidR="00EC3418" w:rsidRPr="002E10F4">
        <w:t xml:space="preserve">€ </w:t>
      </w:r>
      <w:r w:rsidRPr="002E10F4">
        <w:t>relati</w:t>
      </w:r>
      <w:r w:rsidR="00EC3418" w:rsidRPr="002E10F4">
        <w:t>ve</w:t>
      </w:r>
      <w:r w:rsidRPr="002E10F4">
        <w:t xml:space="preserve"> à des </w:t>
      </w:r>
      <w:r w:rsidR="009475BB" w:rsidRPr="002E10F4">
        <w:t xml:space="preserve">indemnités </w:t>
      </w:r>
      <w:r w:rsidR="00E31294" w:rsidRPr="002E10F4">
        <w:t xml:space="preserve">de perte de temps de travail </w:t>
      </w:r>
      <w:r w:rsidR="007830E9">
        <w:t>puis</w:t>
      </w:r>
      <w:r w:rsidR="00E31294" w:rsidRPr="002E10F4">
        <w:t xml:space="preserve"> </w:t>
      </w:r>
      <w:r w:rsidR="002E10F4" w:rsidRPr="002E10F4">
        <w:t xml:space="preserve">des </w:t>
      </w:r>
      <w:r w:rsidR="00E31294" w:rsidRPr="002E10F4">
        <w:t xml:space="preserve">indemnités </w:t>
      </w:r>
      <w:r w:rsidR="009475BB" w:rsidRPr="002E10F4">
        <w:t>représentatives de temps passé</w:t>
      </w:r>
      <w:r w:rsidR="00EC3418" w:rsidRPr="002E10F4">
        <w:t> </w:t>
      </w:r>
      <w:r w:rsidR="009475BB" w:rsidRPr="002E10F4">
        <w:t>:</w:t>
      </w:r>
    </w:p>
    <w:p w:rsidR="00AC1AEB" w:rsidRDefault="00AC1AEB"/>
    <w:tbl>
      <w:tblPr>
        <w:tblW w:w="8575" w:type="dxa"/>
        <w:jc w:val="right"/>
        <w:tblInd w:w="462" w:type="dxa"/>
        <w:tblCellMar>
          <w:left w:w="70" w:type="dxa"/>
          <w:right w:w="70" w:type="dxa"/>
        </w:tblCellMar>
        <w:tblLook w:val="04A0" w:firstRow="1" w:lastRow="0" w:firstColumn="1" w:lastColumn="0" w:noHBand="0" w:noVBand="1"/>
      </w:tblPr>
      <w:tblGrid>
        <w:gridCol w:w="873"/>
        <w:gridCol w:w="944"/>
        <w:gridCol w:w="1052"/>
        <w:gridCol w:w="949"/>
        <w:gridCol w:w="2127"/>
        <w:gridCol w:w="1702"/>
        <w:gridCol w:w="950"/>
      </w:tblGrid>
      <w:tr w:rsidR="00FD0045" w:rsidRPr="006E3175" w:rsidTr="009A2E87">
        <w:trPr>
          <w:trHeight w:val="605"/>
          <w:tblHeader/>
          <w:jc w:val="right"/>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0045" w:rsidRPr="006E3175" w:rsidRDefault="00FD0045" w:rsidP="002D682B">
            <w:pPr>
              <w:jc w:val="center"/>
              <w:rPr>
                <w:b/>
                <w:bCs/>
              </w:rPr>
            </w:pPr>
            <w:r w:rsidRPr="006E3175">
              <w:rPr>
                <w:b/>
                <w:bCs/>
              </w:rPr>
              <w:t>Exercice</w:t>
            </w:r>
          </w:p>
        </w:tc>
        <w:tc>
          <w:tcPr>
            <w:tcW w:w="944" w:type="dxa"/>
            <w:tcBorders>
              <w:top w:val="single" w:sz="4" w:space="0" w:color="auto"/>
              <w:left w:val="nil"/>
              <w:bottom w:val="single" w:sz="4" w:space="0" w:color="auto"/>
              <w:right w:val="single" w:sz="4" w:space="0" w:color="auto"/>
            </w:tcBorders>
            <w:shd w:val="clear" w:color="auto" w:fill="auto"/>
            <w:vAlign w:val="center"/>
            <w:hideMark/>
          </w:tcPr>
          <w:p w:rsidR="00FD0045" w:rsidRPr="006E3175" w:rsidRDefault="00FD0045" w:rsidP="002D682B">
            <w:pPr>
              <w:jc w:val="center"/>
              <w:rPr>
                <w:b/>
                <w:bCs/>
              </w:rPr>
            </w:pPr>
            <w:r w:rsidRPr="006E3175">
              <w:rPr>
                <w:b/>
                <w:bCs/>
              </w:rPr>
              <w:t>N° de</w:t>
            </w:r>
            <w:r w:rsidRPr="006E3175">
              <w:rPr>
                <w:b/>
                <w:bCs/>
              </w:rPr>
              <w:br/>
              <w:t xml:space="preserve"> mandat</w:t>
            </w:r>
          </w:p>
        </w:tc>
        <w:tc>
          <w:tcPr>
            <w:tcW w:w="1052" w:type="dxa"/>
            <w:tcBorders>
              <w:top w:val="single" w:sz="4" w:space="0" w:color="auto"/>
              <w:left w:val="nil"/>
              <w:bottom w:val="single" w:sz="4" w:space="0" w:color="auto"/>
              <w:right w:val="single" w:sz="4" w:space="0" w:color="auto"/>
            </w:tcBorders>
            <w:shd w:val="clear" w:color="auto" w:fill="auto"/>
            <w:vAlign w:val="center"/>
            <w:hideMark/>
          </w:tcPr>
          <w:p w:rsidR="00FD0045" w:rsidRPr="006E3175" w:rsidRDefault="00FD0045" w:rsidP="002D682B">
            <w:pPr>
              <w:jc w:val="center"/>
              <w:rPr>
                <w:b/>
                <w:bCs/>
              </w:rPr>
            </w:pPr>
            <w:r w:rsidRPr="006E3175">
              <w:rPr>
                <w:b/>
                <w:bCs/>
              </w:rPr>
              <w:t xml:space="preserve">Date de </w:t>
            </w:r>
            <w:r w:rsidRPr="006E3175">
              <w:rPr>
                <w:b/>
                <w:bCs/>
              </w:rPr>
              <w:br/>
              <w:t>mandat</w:t>
            </w:r>
          </w:p>
        </w:tc>
        <w:tc>
          <w:tcPr>
            <w:tcW w:w="949" w:type="dxa"/>
            <w:tcBorders>
              <w:top w:val="single" w:sz="4" w:space="0" w:color="auto"/>
              <w:left w:val="nil"/>
              <w:bottom w:val="single" w:sz="4" w:space="0" w:color="auto"/>
              <w:right w:val="nil"/>
            </w:tcBorders>
            <w:shd w:val="clear" w:color="auto" w:fill="auto"/>
            <w:vAlign w:val="center"/>
            <w:hideMark/>
          </w:tcPr>
          <w:p w:rsidR="00FD0045" w:rsidRPr="006E3175" w:rsidRDefault="00FD0045" w:rsidP="002D682B">
            <w:pPr>
              <w:jc w:val="center"/>
              <w:rPr>
                <w:b/>
                <w:bCs/>
              </w:rPr>
            </w:pPr>
            <w:r w:rsidRPr="006E3175">
              <w:rPr>
                <w:b/>
                <w:bCs/>
              </w:rPr>
              <w:t>Adminis</w:t>
            </w:r>
            <w:r w:rsidR="00AC1AEB">
              <w:rPr>
                <w:b/>
                <w:bCs/>
              </w:rPr>
              <w:softHyphen/>
            </w:r>
            <w:r w:rsidRPr="006E3175">
              <w:rPr>
                <w:b/>
                <w:bCs/>
              </w:rPr>
              <w:t>trateur</w:t>
            </w:r>
          </w:p>
        </w:tc>
        <w:tc>
          <w:tcPr>
            <w:tcW w:w="212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D0045" w:rsidRPr="006E3175" w:rsidRDefault="00FD0045" w:rsidP="002D682B">
            <w:pPr>
              <w:jc w:val="center"/>
              <w:rPr>
                <w:b/>
                <w:bCs/>
              </w:rPr>
            </w:pPr>
            <w:r w:rsidRPr="006E3175">
              <w:rPr>
                <w:b/>
                <w:bCs/>
              </w:rPr>
              <w:t>Réunion</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rsidR="00FD0045" w:rsidRPr="006E3175" w:rsidRDefault="00FD0045" w:rsidP="002D682B">
            <w:pPr>
              <w:jc w:val="center"/>
              <w:rPr>
                <w:b/>
                <w:bCs/>
              </w:rPr>
            </w:pPr>
            <w:r w:rsidRPr="006E3175">
              <w:rPr>
                <w:b/>
                <w:bCs/>
              </w:rPr>
              <w:t>Observations</w:t>
            </w:r>
          </w:p>
        </w:tc>
        <w:tc>
          <w:tcPr>
            <w:tcW w:w="950" w:type="dxa"/>
            <w:tcBorders>
              <w:top w:val="single" w:sz="4" w:space="0" w:color="auto"/>
              <w:left w:val="nil"/>
              <w:bottom w:val="single" w:sz="4" w:space="0" w:color="auto"/>
              <w:right w:val="single" w:sz="4" w:space="0" w:color="auto"/>
            </w:tcBorders>
            <w:shd w:val="clear" w:color="auto" w:fill="auto"/>
            <w:vAlign w:val="center"/>
            <w:hideMark/>
          </w:tcPr>
          <w:p w:rsidR="00FD0045" w:rsidRPr="006E3175" w:rsidRDefault="00FD0045" w:rsidP="00AC1AEB">
            <w:pPr>
              <w:jc w:val="center"/>
              <w:rPr>
                <w:b/>
                <w:bCs/>
              </w:rPr>
            </w:pPr>
            <w:r w:rsidRPr="006E3175">
              <w:rPr>
                <w:b/>
                <w:bCs/>
              </w:rPr>
              <w:t>Montant</w:t>
            </w:r>
            <w:r w:rsidRPr="006E3175">
              <w:rPr>
                <w:b/>
                <w:bCs/>
              </w:rPr>
              <w:br/>
              <w:t>(en €)</w:t>
            </w:r>
          </w:p>
        </w:tc>
      </w:tr>
      <w:tr w:rsidR="00FD0045" w:rsidRPr="006E3175" w:rsidTr="009A2E87">
        <w:trPr>
          <w:trHeight w:val="811"/>
          <w:jc w:val="right"/>
        </w:trPr>
        <w:tc>
          <w:tcPr>
            <w:tcW w:w="8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2007</w:t>
            </w:r>
          </w:p>
        </w:tc>
        <w:tc>
          <w:tcPr>
            <w:tcW w:w="944"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6E3175">
              <w:t>823</w:t>
            </w:r>
          </w:p>
        </w:tc>
        <w:tc>
          <w:tcPr>
            <w:tcW w:w="1052"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6E3175">
              <w:t>17/09/2007</w:t>
            </w:r>
          </w:p>
        </w:tc>
        <w:tc>
          <w:tcPr>
            <w:tcW w:w="949" w:type="dxa"/>
            <w:tcBorders>
              <w:top w:val="nil"/>
              <w:left w:val="nil"/>
              <w:bottom w:val="single" w:sz="4" w:space="0" w:color="auto"/>
              <w:right w:val="single" w:sz="4" w:space="0" w:color="auto"/>
            </w:tcBorders>
            <w:shd w:val="clear" w:color="auto" w:fill="auto"/>
            <w:vAlign w:val="center"/>
            <w:hideMark/>
          </w:tcPr>
          <w:p w:rsidR="00FD0045" w:rsidRPr="006E3175" w:rsidRDefault="00D7789D" w:rsidP="002D682B">
            <w:pPr>
              <w:jc w:val="center"/>
            </w:pPr>
            <w:r>
              <w:t>A</w:t>
            </w:r>
          </w:p>
        </w:tc>
        <w:tc>
          <w:tcPr>
            <w:tcW w:w="2127" w:type="dxa"/>
            <w:tcBorders>
              <w:top w:val="single" w:sz="4" w:space="0" w:color="auto"/>
              <w:left w:val="nil"/>
              <w:bottom w:val="single" w:sz="4" w:space="0" w:color="auto"/>
              <w:right w:val="single" w:sz="4" w:space="0" w:color="000000"/>
            </w:tcBorders>
            <w:shd w:val="clear" w:color="auto" w:fill="auto"/>
            <w:noWrap/>
            <w:vAlign w:val="center"/>
            <w:hideMark/>
          </w:tcPr>
          <w:p w:rsidR="00FD0045" w:rsidRPr="006E3175" w:rsidRDefault="00FD0045" w:rsidP="002D682B">
            <w:pPr>
              <w:jc w:val="center"/>
            </w:pPr>
            <w:r w:rsidRPr="00DA1EE9">
              <w:t>C</w:t>
            </w:r>
            <w:r w:rsidRPr="006E3175">
              <w:t>ommission</w:t>
            </w:r>
            <w:r w:rsidRPr="00DA1EE9">
              <w:br/>
            </w:r>
            <w:r w:rsidRPr="006E3175">
              <w:t xml:space="preserve"> de recrutement</w:t>
            </w:r>
          </w:p>
        </w:tc>
        <w:tc>
          <w:tcPr>
            <w:tcW w:w="1702"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DA1EE9">
              <w:t>A</w:t>
            </w:r>
            <w:r w:rsidRPr="006E3175">
              <w:t>dministrateur</w:t>
            </w:r>
            <w:r w:rsidRPr="00DA1EE9">
              <w:t xml:space="preserve"> non cité sur la </w:t>
            </w:r>
            <w:r>
              <w:t>décision</w:t>
            </w:r>
          </w:p>
        </w:tc>
        <w:tc>
          <w:tcPr>
            <w:tcW w:w="950"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right"/>
            </w:pPr>
            <w:r w:rsidRPr="006E3175">
              <w:t>105,64 €</w:t>
            </w:r>
          </w:p>
        </w:tc>
      </w:tr>
      <w:tr w:rsidR="00FD0045" w:rsidRPr="006E3175" w:rsidTr="009A2E87">
        <w:trPr>
          <w:trHeight w:val="695"/>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6E3175">
              <w:t>1295</w:t>
            </w:r>
          </w:p>
        </w:tc>
        <w:tc>
          <w:tcPr>
            <w:tcW w:w="1052"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6E3175">
              <w:t>28/12/2007</w:t>
            </w:r>
          </w:p>
        </w:tc>
        <w:tc>
          <w:tcPr>
            <w:tcW w:w="949" w:type="dxa"/>
            <w:tcBorders>
              <w:top w:val="nil"/>
              <w:left w:val="nil"/>
              <w:bottom w:val="single" w:sz="4" w:space="0" w:color="auto"/>
              <w:right w:val="single" w:sz="4" w:space="0" w:color="auto"/>
            </w:tcBorders>
            <w:shd w:val="clear" w:color="auto" w:fill="auto"/>
            <w:vAlign w:val="center"/>
            <w:hideMark/>
          </w:tcPr>
          <w:p w:rsidR="00FD0045" w:rsidRPr="006E3175" w:rsidRDefault="00D7789D" w:rsidP="002D682B">
            <w:pPr>
              <w:jc w:val="center"/>
            </w:pPr>
            <w:r>
              <w:t>A</w:t>
            </w:r>
          </w:p>
        </w:tc>
        <w:tc>
          <w:tcPr>
            <w:tcW w:w="2127" w:type="dxa"/>
            <w:tcBorders>
              <w:top w:val="single" w:sz="4" w:space="0" w:color="auto"/>
              <w:left w:val="nil"/>
              <w:bottom w:val="single" w:sz="4" w:space="0" w:color="auto"/>
              <w:right w:val="single" w:sz="4" w:space="0" w:color="000000"/>
            </w:tcBorders>
            <w:shd w:val="clear" w:color="auto" w:fill="auto"/>
            <w:noWrap/>
            <w:vAlign w:val="center"/>
            <w:hideMark/>
          </w:tcPr>
          <w:p w:rsidR="00FD0045" w:rsidRPr="006E3175" w:rsidRDefault="00FD0045" w:rsidP="002D682B">
            <w:pPr>
              <w:jc w:val="center"/>
            </w:pPr>
            <w:r w:rsidRPr="00DA1EE9">
              <w:t>C</w:t>
            </w:r>
            <w:r w:rsidRPr="006E3175">
              <w:t>ommission</w:t>
            </w:r>
            <w:r w:rsidRPr="00DA1EE9">
              <w:br/>
            </w:r>
            <w:r w:rsidRPr="006E3175">
              <w:t xml:space="preserve"> de recrutement</w:t>
            </w:r>
          </w:p>
        </w:tc>
        <w:tc>
          <w:tcPr>
            <w:tcW w:w="1702"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DA1EE9">
              <w:t>A</w:t>
            </w:r>
            <w:r w:rsidRPr="006E3175">
              <w:t>dministrateur</w:t>
            </w:r>
            <w:r w:rsidRPr="00DA1EE9">
              <w:t xml:space="preserve"> non cité sur la </w:t>
            </w:r>
            <w:r>
              <w:t>décision</w:t>
            </w:r>
          </w:p>
        </w:tc>
        <w:tc>
          <w:tcPr>
            <w:tcW w:w="950"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right"/>
            </w:pPr>
            <w:r w:rsidRPr="006E3175">
              <w:t>105,64 €</w:t>
            </w:r>
          </w:p>
        </w:tc>
      </w:tr>
      <w:tr w:rsidR="00FD0045" w:rsidRPr="006E3175" w:rsidTr="009A2E87">
        <w:trPr>
          <w:trHeight w:val="430"/>
          <w:jc w:val="right"/>
        </w:trPr>
        <w:tc>
          <w:tcPr>
            <w:tcW w:w="7625" w:type="dxa"/>
            <w:gridSpan w:val="6"/>
            <w:tcBorders>
              <w:top w:val="nil"/>
              <w:left w:val="single" w:sz="4" w:space="0" w:color="auto"/>
              <w:bottom w:val="single" w:sz="4" w:space="0" w:color="000000"/>
              <w:right w:val="single" w:sz="4" w:space="0" w:color="auto"/>
            </w:tcBorders>
            <w:vAlign w:val="center"/>
          </w:tcPr>
          <w:p w:rsidR="00FD0045" w:rsidRPr="006439CE" w:rsidRDefault="00FD0045" w:rsidP="002D682B">
            <w:pPr>
              <w:jc w:val="right"/>
              <w:rPr>
                <w:b/>
              </w:rPr>
            </w:pPr>
            <w:r w:rsidRPr="006439CE">
              <w:rPr>
                <w:b/>
              </w:rPr>
              <w:t>Sous-total 2007</w:t>
            </w:r>
          </w:p>
        </w:tc>
        <w:tc>
          <w:tcPr>
            <w:tcW w:w="950" w:type="dxa"/>
            <w:tcBorders>
              <w:top w:val="nil"/>
              <w:left w:val="nil"/>
              <w:bottom w:val="single" w:sz="4" w:space="0" w:color="auto"/>
              <w:right w:val="single" w:sz="4" w:space="0" w:color="auto"/>
            </w:tcBorders>
            <w:shd w:val="clear" w:color="auto" w:fill="auto"/>
            <w:vAlign w:val="center"/>
          </w:tcPr>
          <w:p w:rsidR="00FD0045" w:rsidRPr="00931545" w:rsidRDefault="00FD0045" w:rsidP="002D682B">
            <w:pPr>
              <w:jc w:val="right"/>
              <w:rPr>
                <w:b/>
              </w:rPr>
            </w:pPr>
            <w:r w:rsidRPr="00931545">
              <w:rPr>
                <w:b/>
              </w:rPr>
              <w:t>211,28</w:t>
            </w:r>
          </w:p>
        </w:tc>
      </w:tr>
      <w:tr w:rsidR="00FD0045" w:rsidRPr="006E3175" w:rsidTr="009A2E87">
        <w:trPr>
          <w:trHeight w:val="510"/>
          <w:jc w:val="right"/>
        </w:trPr>
        <w:tc>
          <w:tcPr>
            <w:tcW w:w="8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2008</w:t>
            </w:r>
          </w:p>
        </w:tc>
        <w:tc>
          <w:tcPr>
            <w:tcW w:w="944" w:type="dxa"/>
            <w:vMerge w:val="restart"/>
            <w:tcBorders>
              <w:top w:val="nil"/>
              <w:left w:val="single" w:sz="4" w:space="0" w:color="auto"/>
              <w:bottom w:val="single" w:sz="4" w:space="0" w:color="000000"/>
              <w:right w:val="single" w:sz="4" w:space="0" w:color="auto"/>
            </w:tcBorders>
            <w:shd w:val="clear" w:color="auto" w:fill="auto"/>
            <w:vAlign w:val="center"/>
            <w:hideMark/>
          </w:tcPr>
          <w:p w:rsidR="00FD0045" w:rsidRPr="006E3175" w:rsidRDefault="00FD0045" w:rsidP="002D682B">
            <w:pPr>
              <w:jc w:val="center"/>
            </w:pPr>
            <w:r w:rsidRPr="006E3175">
              <w:t>782</w:t>
            </w:r>
          </w:p>
        </w:tc>
        <w:tc>
          <w:tcPr>
            <w:tcW w:w="1052" w:type="dxa"/>
            <w:vMerge w:val="restart"/>
            <w:tcBorders>
              <w:top w:val="nil"/>
              <w:left w:val="single" w:sz="4" w:space="0" w:color="auto"/>
              <w:bottom w:val="single" w:sz="4" w:space="0" w:color="000000"/>
              <w:right w:val="single" w:sz="4" w:space="0" w:color="auto"/>
            </w:tcBorders>
            <w:shd w:val="clear" w:color="auto" w:fill="auto"/>
            <w:vAlign w:val="center"/>
            <w:hideMark/>
          </w:tcPr>
          <w:p w:rsidR="00FD0045" w:rsidRPr="006E3175" w:rsidRDefault="00FD0045" w:rsidP="002D682B">
            <w:pPr>
              <w:jc w:val="center"/>
            </w:pPr>
            <w:r w:rsidRPr="006E3175">
              <w:t>21/07/2008</w:t>
            </w:r>
          </w:p>
        </w:tc>
        <w:tc>
          <w:tcPr>
            <w:tcW w:w="949" w:type="dxa"/>
            <w:vMerge w:val="restart"/>
            <w:tcBorders>
              <w:top w:val="nil"/>
              <w:left w:val="single" w:sz="4" w:space="0" w:color="auto"/>
              <w:bottom w:val="single" w:sz="4" w:space="0" w:color="000000"/>
              <w:right w:val="single" w:sz="4" w:space="0" w:color="auto"/>
            </w:tcBorders>
            <w:shd w:val="clear" w:color="auto" w:fill="auto"/>
            <w:vAlign w:val="center"/>
            <w:hideMark/>
          </w:tcPr>
          <w:p w:rsidR="00FD0045" w:rsidRPr="006E3175" w:rsidRDefault="00D7789D" w:rsidP="002D682B">
            <w:pPr>
              <w:jc w:val="center"/>
            </w:pPr>
            <w:r>
              <w:t>A</w:t>
            </w:r>
          </w:p>
        </w:tc>
        <w:tc>
          <w:tcPr>
            <w:tcW w:w="2127" w:type="dxa"/>
            <w:tcBorders>
              <w:top w:val="single" w:sz="4" w:space="0" w:color="auto"/>
              <w:left w:val="nil"/>
              <w:bottom w:val="single" w:sz="4" w:space="0" w:color="auto"/>
              <w:right w:val="single" w:sz="4" w:space="0" w:color="000000"/>
            </w:tcBorders>
            <w:shd w:val="clear" w:color="auto" w:fill="auto"/>
            <w:noWrap/>
            <w:vAlign w:val="center"/>
            <w:hideMark/>
          </w:tcPr>
          <w:p w:rsidR="00FD0045" w:rsidRPr="006E3175" w:rsidRDefault="00FD0045" w:rsidP="002D682B">
            <w:pPr>
              <w:jc w:val="center"/>
            </w:pPr>
            <w:r w:rsidRPr="00DA1EE9">
              <w:t xml:space="preserve">Réunion </w:t>
            </w:r>
            <w:r w:rsidRPr="006E3175">
              <w:t>PEFC</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right"/>
            </w:pPr>
            <w:r w:rsidRPr="006E3175">
              <w:t>53,08 €</w:t>
            </w:r>
          </w:p>
        </w:tc>
      </w:tr>
      <w:tr w:rsidR="00FD0045" w:rsidRPr="006E3175" w:rsidTr="009A2E87">
        <w:trPr>
          <w:trHeight w:val="585"/>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DA1EE9">
              <w:t>C</w:t>
            </w:r>
            <w:r w:rsidRPr="006E3175">
              <w:t>omité de pilotage</w:t>
            </w:r>
            <w:r w:rsidRPr="006E3175">
              <w:br/>
              <w:t xml:space="preserve"> charte forestière</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right"/>
            </w:pPr>
            <w:r w:rsidRPr="006E3175">
              <w:t>106,16 €</w:t>
            </w:r>
          </w:p>
        </w:tc>
      </w:tr>
      <w:tr w:rsidR="00FD0045" w:rsidRPr="006E3175" w:rsidTr="009A2E87">
        <w:trPr>
          <w:trHeight w:val="510"/>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noWrap/>
            <w:vAlign w:val="center"/>
            <w:hideMark/>
          </w:tcPr>
          <w:p w:rsidR="00FD0045" w:rsidRPr="006E3175" w:rsidRDefault="00FD0045" w:rsidP="002D682B">
            <w:pPr>
              <w:jc w:val="center"/>
            </w:pPr>
            <w:r w:rsidRPr="00DA1EE9">
              <w:t xml:space="preserve">Réunion </w:t>
            </w:r>
            <w:r w:rsidRPr="006E3175">
              <w:t>OFME</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right"/>
            </w:pPr>
            <w:r w:rsidRPr="006E3175">
              <w:t>53,08 €</w:t>
            </w:r>
          </w:p>
        </w:tc>
      </w:tr>
      <w:tr w:rsidR="00FD0045" w:rsidRPr="006E3175" w:rsidTr="009A2E87">
        <w:trPr>
          <w:trHeight w:val="496"/>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noWrap/>
            <w:vAlign w:val="center"/>
            <w:hideMark/>
          </w:tcPr>
          <w:p w:rsidR="00FD0045" w:rsidRPr="006E3175" w:rsidRDefault="00FD0045" w:rsidP="002D682B">
            <w:pPr>
              <w:jc w:val="center"/>
            </w:pPr>
            <w:r w:rsidRPr="00DA1EE9">
              <w:t xml:space="preserve">Réunion </w:t>
            </w:r>
            <w:r w:rsidRPr="006E3175">
              <w:t>PEFC</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right"/>
            </w:pPr>
            <w:r w:rsidRPr="006E3175">
              <w:t>53,08 €</w:t>
            </w:r>
          </w:p>
        </w:tc>
      </w:tr>
      <w:tr w:rsidR="00FD0045" w:rsidRPr="006E3175" w:rsidTr="009A2E87">
        <w:trPr>
          <w:trHeight w:val="602"/>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6E3175">
              <w:t>1340</w:t>
            </w:r>
          </w:p>
        </w:tc>
        <w:tc>
          <w:tcPr>
            <w:tcW w:w="1052"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6E3175">
              <w:t>29/12/2008</w:t>
            </w:r>
          </w:p>
        </w:tc>
        <w:tc>
          <w:tcPr>
            <w:tcW w:w="949" w:type="dxa"/>
            <w:tcBorders>
              <w:top w:val="nil"/>
              <w:left w:val="nil"/>
              <w:bottom w:val="single" w:sz="4" w:space="0" w:color="auto"/>
              <w:right w:val="single" w:sz="4" w:space="0" w:color="auto"/>
            </w:tcBorders>
            <w:shd w:val="clear" w:color="auto" w:fill="auto"/>
            <w:vAlign w:val="center"/>
            <w:hideMark/>
          </w:tcPr>
          <w:p w:rsidR="00FD0045" w:rsidRPr="006E3175" w:rsidRDefault="00D7789D" w:rsidP="002D682B">
            <w:pPr>
              <w:jc w:val="center"/>
            </w:pPr>
            <w:r>
              <w:t>A</w:t>
            </w:r>
          </w:p>
        </w:tc>
        <w:tc>
          <w:tcPr>
            <w:tcW w:w="2127" w:type="dxa"/>
            <w:tcBorders>
              <w:top w:val="single" w:sz="4" w:space="0" w:color="auto"/>
              <w:left w:val="nil"/>
              <w:bottom w:val="single" w:sz="4" w:space="0" w:color="auto"/>
              <w:right w:val="single" w:sz="4" w:space="0" w:color="000000"/>
            </w:tcBorders>
            <w:shd w:val="clear" w:color="auto" w:fill="auto"/>
            <w:noWrap/>
            <w:vAlign w:val="center"/>
            <w:hideMark/>
          </w:tcPr>
          <w:p w:rsidR="00FD0045" w:rsidRPr="006E3175" w:rsidRDefault="00FD0045" w:rsidP="002D682B">
            <w:pPr>
              <w:jc w:val="center"/>
            </w:pPr>
            <w:r w:rsidRPr="006E3175">
              <w:t>4 réunions PEFC</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right"/>
            </w:pPr>
            <w:r w:rsidRPr="006E3175">
              <w:t>318,48 €</w:t>
            </w:r>
          </w:p>
        </w:tc>
      </w:tr>
      <w:tr w:rsidR="00FD0045" w:rsidRPr="006E3175" w:rsidTr="009A2E87">
        <w:trPr>
          <w:trHeight w:val="510"/>
          <w:jc w:val="right"/>
        </w:trPr>
        <w:tc>
          <w:tcPr>
            <w:tcW w:w="7625" w:type="dxa"/>
            <w:gridSpan w:val="6"/>
            <w:tcBorders>
              <w:top w:val="nil"/>
              <w:left w:val="single" w:sz="4" w:space="0" w:color="auto"/>
              <w:bottom w:val="single" w:sz="4" w:space="0" w:color="000000"/>
              <w:right w:val="single" w:sz="4" w:space="0" w:color="auto"/>
            </w:tcBorders>
            <w:vAlign w:val="center"/>
          </w:tcPr>
          <w:p w:rsidR="00FD0045" w:rsidRPr="006439CE" w:rsidRDefault="00FD0045" w:rsidP="002D682B">
            <w:pPr>
              <w:jc w:val="right"/>
              <w:rPr>
                <w:b/>
              </w:rPr>
            </w:pPr>
            <w:r w:rsidRPr="006439CE">
              <w:rPr>
                <w:b/>
              </w:rPr>
              <w:t>Sous-total 2008</w:t>
            </w:r>
          </w:p>
        </w:tc>
        <w:tc>
          <w:tcPr>
            <w:tcW w:w="950" w:type="dxa"/>
            <w:tcBorders>
              <w:top w:val="nil"/>
              <w:left w:val="nil"/>
              <w:bottom w:val="single" w:sz="4" w:space="0" w:color="auto"/>
              <w:right w:val="single" w:sz="4" w:space="0" w:color="auto"/>
            </w:tcBorders>
            <w:shd w:val="clear" w:color="auto" w:fill="auto"/>
            <w:vAlign w:val="center"/>
          </w:tcPr>
          <w:p w:rsidR="00FD0045" w:rsidRPr="00931545" w:rsidRDefault="00FD0045" w:rsidP="002D682B">
            <w:pPr>
              <w:jc w:val="right"/>
              <w:rPr>
                <w:b/>
              </w:rPr>
            </w:pPr>
            <w:r w:rsidRPr="00931545">
              <w:rPr>
                <w:b/>
              </w:rPr>
              <w:t>583,88</w:t>
            </w:r>
          </w:p>
        </w:tc>
      </w:tr>
      <w:tr w:rsidR="00FD0045" w:rsidRPr="006E3175" w:rsidTr="009A2E87">
        <w:trPr>
          <w:trHeight w:val="510"/>
          <w:jc w:val="right"/>
        </w:trPr>
        <w:tc>
          <w:tcPr>
            <w:tcW w:w="85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2009</w:t>
            </w:r>
          </w:p>
        </w:tc>
        <w:tc>
          <w:tcPr>
            <w:tcW w:w="94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1259</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28/12/2009</w:t>
            </w:r>
          </w:p>
        </w:tc>
        <w:tc>
          <w:tcPr>
            <w:tcW w:w="94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D7789D" w:rsidP="002D682B">
            <w:pPr>
              <w:jc w:val="center"/>
            </w:pPr>
            <w:r>
              <w:t>B</w:t>
            </w:r>
          </w:p>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t>Charte forestière de</w:t>
            </w:r>
            <w:r w:rsidRPr="006E3175">
              <w:t xml:space="preserve"> territoire (2 réunions)</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la</w:t>
            </w:r>
            <w:r>
              <w:t xml:space="preserve"> décision</w:t>
            </w:r>
            <w:r w:rsidRPr="00DA1EE9">
              <w:t xml:space="preserve"> </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159,72 €</w:t>
            </w:r>
          </w:p>
        </w:tc>
      </w:tr>
      <w:tr w:rsidR="00FD0045" w:rsidRPr="006E3175" w:rsidTr="009A2E87">
        <w:trPr>
          <w:trHeight w:val="765"/>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DA1EE9">
              <w:t>Conseil de la forê</w:t>
            </w:r>
            <w:r w:rsidRPr="006E3175">
              <w:t>t et des</w:t>
            </w:r>
            <w:r w:rsidRPr="00DA1EE9">
              <w:t xml:space="preserve"> </w:t>
            </w:r>
            <w:r w:rsidRPr="006E3175">
              <w:t>produits forestiers</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106,48 €</w:t>
            </w:r>
          </w:p>
        </w:tc>
      </w:tr>
      <w:tr w:rsidR="00FD0045" w:rsidRPr="006E3175" w:rsidTr="009A2E87">
        <w:trPr>
          <w:trHeight w:val="660"/>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1202</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24/12/2009</w:t>
            </w:r>
          </w:p>
        </w:tc>
        <w:tc>
          <w:tcPr>
            <w:tcW w:w="94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D7789D" w:rsidP="002D682B">
            <w:pPr>
              <w:jc w:val="center"/>
            </w:pPr>
            <w:r>
              <w:t>A</w:t>
            </w:r>
          </w:p>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DA1EE9">
              <w:t>R</w:t>
            </w:r>
            <w:r>
              <w:t>éunion I</w:t>
            </w:r>
            <w:r w:rsidRPr="006E3175">
              <w:t>nterprofession</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53,24 €</w:t>
            </w:r>
          </w:p>
        </w:tc>
      </w:tr>
      <w:tr w:rsidR="00FD0045" w:rsidRPr="006E3175" w:rsidTr="009A2E87">
        <w:trPr>
          <w:trHeight w:val="711"/>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AC1AEB">
            <w:pPr>
              <w:jc w:val="center"/>
            </w:pPr>
            <w:r w:rsidRPr="00DA1EE9">
              <w:t>Conseil de la forê</w:t>
            </w:r>
            <w:r w:rsidRPr="006E3175">
              <w:t>t et des</w:t>
            </w:r>
            <w:r w:rsidRPr="00DA1EE9">
              <w:t xml:space="preserve"> </w:t>
            </w:r>
            <w:r w:rsidRPr="006E3175">
              <w:t>produits forestiers</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53,24 €</w:t>
            </w:r>
          </w:p>
        </w:tc>
      </w:tr>
      <w:tr w:rsidR="00FD0045" w:rsidRPr="006E3175" w:rsidTr="009A2E87">
        <w:trPr>
          <w:trHeight w:val="551"/>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DA1EE9">
              <w:t>R</w:t>
            </w:r>
            <w:r w:rsidRPr="006E3175">
              <w:t>éunion PEFC</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53,24 €</w:t>
            </w:r>
          </w:p>
        </w:tc>
      </w:tr>
      <w:tr w:rsidR="00FD0045" w:rsidRPr="006E3175" w:rsidTr="009A2E87">
        <w:trPr>
          <w:trHeight w:val="545"/>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6E3175">
              <w:t>Groupe de pilotage charte forestière</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sur</w:t>
            </w:r>
            <w:r w:rsidRPr="00DA1EE9">
              <w:t xml:space="preserve"> 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106,48 €</w:t>
            </w:r>
          </w:p>
        </w:tc>
      </w:tr>
      <w:tr w:rsidR="00FD0045" w:rsidRPr="006E3175" w:rsidTr="009A2E87">
        <w:trPr>
          <w:trHeight w:val="765"/>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DA1EE9">
              <w:t>C</w:t>
            </w:r>
            <w:r w:rsidRPr="006E3175">
              <w:t xml:space="preserve">onseil départemental d'orientation </w:t>
            </w:r>
            <w:r>
              <w:t xml:space="preserve">de la </w:t>
            </w:r>
            <w:r w:rsidRPr="006E3175">
              <w:t>forêt méditerranéenne</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106,48 €</w:t>
            </w:r>
          </w:p>
        </w:tc>
      </w:tr>
      <w:tr w:rsidR="00FD0045" w:rsidRPr="006E3175" w:rsidTr="009A2E87">
        <w:trPr>
          <w:trHeight w:val="776"/>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center"/>
            </w:pPr>
            <w:r w:rsidRPr="006E3175">
              <w:t>1200</w:t>
            </w:r>
          </w:p>
        </w:tc>
        <w:tc>
          <w:tcPr>
            <w:tcW w:w="1052"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24/12/2009</w:t>
            </w:r>
          </w:p>
        </w:tc>
        <w:tc>
          <w:tcPr>
            <w:tcW w:w="949" w:type="dxa"/>
            <w:tcBorders>
              <w:top w:val="nil"/>
              <w:left w:val="nil"/>
              <w:bottom w:val="single" w:sz="4" w:space="0" w:color="auto"/>
              <w:right w:val="single" w:sz="4" w:space="0" w:color="auto"/>
            </w:tcBorders>
            <w:shd w:val="clear" w:color="auto" w:fill="auto"/>
            <w:noWrap/>
            <w:vAlign w:val="center"/>
            <w:hideMark/>
          </w:tcPr>
          <w:p w:rsidR="00FD0045" w:rsidRPr="006E3175" w:rsidRDefault="00D7789D" w:rsidP="002D682B">
            <w:pPr>
              <w:jc w:val="center"/>
            </w:pPr>
            <w:r>
              <w:t>A</w:t>
            </w:r>
          </w:p>
        </w:tc>
        <w:tc>
          <w:tcPr>
            <w:tcW w:w="2127" w:type="dxa"/>
            <w:tcBorders>
              <w:top w:val="single" w:sz="4" w:space="0" w:color="auto"/>
              <w:left w:val="nil"/>
              <w:bottom w:val="single" w:sz="4" w:space="0" w:color="auto"/>
              <w:right w:val="single" w:sz="4" w:space="0" w:color="000000"/>
            </w:tcBorders>
            <w:shd w:val="clear" w:color="auto" w:fill="auto"/>
            <w:noWrap/>
            <w:vAlign w:val="center"/>
            <w:hideMark/>
          </w:tcPr>
          <w:p w:rsidR="00FD0045" w:rsidRPr="006E3175" w:rsidRDefault="00FD0045" w:rsidP="002D682B">
            <w:pPr>
              <w:jc w:val="center"/>
            </w:pPr>
            <w:r w:rsidRPr="00DA1EE9">
              <w:t>C</w:t>
            </w:r>
            <w:r w:rsidRPr="006E3175">
              <w:t>ommission</w:t>
            </w:r>
            <w:r w:rsidRPr="00DA1EE9">
              <w:br/>
            </w:r>
            <w:r w:rsidRPr="006E3175">
              <w:t xml:space="preserve"> de recrutement</w:t>
            </w:r>
          </w:p>
        </w:tc>
        <w:tc>
          <w:tcPr>
            <w:tcW w:w="1702" w:type="dxa"/>
            <w:tcBorders>
              <w:top w:val="nil"/>
              <w:left w:val="nil"/>
              <w:bottom w:val="single" w:sz="4" w:space="0" w:color="auto"/>
              <w:right w:val="single" w:sz="4" w:space="0" w:color="auto"/>
            </w:tcBorders>
            <w:shd w:val="clear" w:color="auto" w:fill="auto"/>
            <w:vAlign w:val="center"/>
            <w:hideMark/>
          </w:tcPr>
          <w:p w:rsidR="00FD0045" w:rsidRPr="006E3175" w:rsidRDefault="00FD0045" w:rsidP="002D682B">
            <w:pPr>
              <w:jc w:val="center"/>
            </w:pPr>
            <w:r w:rsidRPr="00DA1EE9">
              <w:t>A</w:t>
            </w:r>
            <w:r w:rsidRPr="006E3175">
              <w:t>dministrateur</w:t>
            </w:r>
            <w:r w:rsidRPr="00DA1EE9">
              <w:t xml:space="preserve"> non cité sur 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106,48 €</w:t>
            </w:r>
          </w:p>
        </w:tc>
      </w:tr>
      <w:tr w:rsidR="00FD0045" w:rsidRPr="006E3175" w:rsidTr="009A2E87">
        <w:trPr>
          <w:trHeight w:val="563"/>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566</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FD0045" w:rsidP="002D682B">
            <w:pPr>
              <w:jc w:val="center"/>
            </w:pPr>
            <w:r w:rsidRPr="006E3175">
              <w:t>08/07/2009</w:t>
            </w:r>
          </w:p>
        </w:tc>
        <w:tc>
          <w:tcPr>
            <w:tcW w:w="94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0045" w:rsidRPr="006E3175" w:rsidRDefault="00D7789D" w:rsidP="002D682B">
            <w:pPr>
              <w:jc w:val="center"/>
            </w:pPr>
            <w:r>
              <w:t>A</w:t>
            </w:r>
          </w:p>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6E3175">
              <w:t>3 réunions PEFC</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 xml:space="preserve">décision </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159,72 €</w:t>
            </w:r>
          </w:p>
        </w:tc>
      </w:tr>
      <w:tr w:rsidR="00FD0045" w:rsidRPr="006E3175" w:rsidTr="009A2E87">
        <w:trPr>
          <w:trHeight w:val="765"/>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6E3175">
              <w:t>Comité de pilotage grand site Sainte Victoire</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 xml:space="preserve">décision </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53,24 €</w:t>
            </w:r>
          </w:p>
        </w:tc>
      </w:tr>
      <w:tr w:rsidR="00FD0045" w:rsidRPr="006E3175" w:rsidTr="009A2E87">
        <w:trPr>
          <w:trHeight w:val="765"/>
          <w:jc w:val="right"/>
        </w:trPr>
        <w:tc>
          <w:tcPr>
            <w:tcW w:w="851"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4"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1052"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949" w:type="dxa"/>
            <w:vMerge/>
            <w:tcBorders>
              <w:top w:val="nil"/>
              <w:left w:val="single" w:sz="4" w:space="0" w:color="auto"/>
              <w:bottom w:val="single" w:sz="4" w:space="0" w:color="000000"/>
              <w:right w:val="single" w:sz="4" w:space="0" w:color="auto"/>
            </w:tcBorders>
            <w:vAlign w:val="center"/>
            <w:hideMark/>
          </w:tcPr>
          <w:p w:rsidR="00FD0045" w:rsidRPr="006E3175" w:rsidRDefault="00FD0045" w:rsidP="002D682B"/>
        </w:tc>
        <w:tc>
          <w:tcPr>
            <w:tcW w:w="2127" w:type="dxa"/>
            <w:tcBorders>
              <w:top w:val="single" w:sz="4" w:space="0" w:color="auto"/>
              <w:left w:val="nil"/>
              <w:bottom w:val="single" w:sz="4" w:space="0" w:color="auto"/>
              <w:right w:val="single" w:sz="4" w:space="0" w:color="000000"/>
            </w:tcBorders>
            <w:shd w:val="clear" w:color="auto" w:fill="auto"/>
            <w:vAlign w:val="center"/>
            <w:hideMark/>
          </w:tcPr>
          <w:p w:rsidR="00FD0045" w:rsidRPr="006E3175" w:rsidRDefault="00FD0045" w:rsidP="002D682B">
            <w:pPr>
              <w:jc w:val="center"/>
            </w:pPr>
            <w:r w:rsidRPr="00DA1EE9">
              <w:t xml:space="preserve">Réunion </w:t>
            </w:r>
            <w:r>
              <w:t>I</w:t>
            </w:r>
            <w:r w:rsidRPr="006E3175">
              <w:t>nterprofession</w:t>
            </w:r>
          </w:p>
        </w:tc>
        <w:tc>
          <w:tcPr>
            <w:tcW w:w="1702" w:type="dxa"/>
            <w:tcBorders>
              <w:top w:val="nil"/>
              <w:left w:val="nil"/>
              <w:bottom w:val="single" w:sz="4" w:space="0" w:color="auto"/>
              <w:right w:val="single" w:sz="4" w:space="0" w:color="auto"/>
            </w:tcBorders>
            <w:shd w:val="clear" w:color="auto" w:fill="auto"/>
            <w:vAlign w:val="center"/>
          </w:tcPr>
          <w:p w:rsidR="00FD0045" w:rsidRPr="006E3175" w:rsidRDefault="00FD0045" w:rsidP="002D682B">
            <w:pPr>
              <w:jc w:val="center"/>
            </w:pPr>
            <w:r w:rsidRPr="00DA1EE9">
              <w:t xml:space="preserve">Non prévu </w:t>
            </w:r>
            <w:r>
              <w:t xml:space="preserve">sur </w:t>
            </w:r>
            <w:r w:rsidRPr="00DA1EE9">
              <w:t xml:space="preserve">la </w:t>
            </w:r>
            <w:r>
              <w:t>décision</w:t>
            </w:r>
          </w:p>
        </w:tc>
        <w:tc>
          <w:tcPr>
            <w:tcW w:w="950" w:type="dxa"/>
            <w:tcBorders>
              <w:top w:val="nil"/>
              <w:left w:val="nil"/>
              <w:bottom w:val="single" w:sz="4" w:space="0" w:color="auto"/>
              <w:right w:val="single" w:sz="4" w:space="0" w:color="auto"/>
            </w:tcBorders>
            <w:shd w:val="clear" w:color="auto" w:fill="auto"/>
            <w:noWrap/>
            <w:vAlign w:val="center"/>
            <w:hideMark/>
          </w:tcPr>
          <w:p w:rsidR="00FD0045" w:rsidRPr="006E3175" w:rsidRDefault="00FD0045" w:rsidP="002D682B">
            <w:pPr>
              <w:jc w:val="right"/>
            </w:pPr>
            <w:r w:rsidRPr="006E3175">
              <w:t>53,24 €</w:t>
            </w:r>
          </w:p>
        </w:tc>
      </w:tr>
      <w:tr w:rsidR="00FD0045" w:rsidRPr="006E3175" w:rsidTr="009A2E87">
        <w:trPr>
          <w:trHeight w:val="376"/>
          <w:jc w:val="right"/>
        </w:trPr>
        <w:tc>
          <w:tcPr>
            <w:tcW w:w="7625" w:type="dxa"/>
            <w:gridSpan w:val="6"/>
            <w:tcBorders>
              <w:top w:val="nil"/>
              <w:left w:val="single" w:sz="4" w:space="0" w:color="auto"/>
              <w:bottom w:val="single" w:sz="4" w:space="0" w:color="auto"/>
              <w:right w:val="single" w:sz="4" w:space="0" w:color="auto"/>
            </w:tcBorders>
            <w:vAlign w:val="center"/>
          </w:tcPr>
          <w:p w:rsidR="00FD0045" w:rsidRPr="00DA1EE9" w:rsidRDefault="00FD0045" w:rsidP="002D682B">
            <w:pPr>
              <w:jc w:val="right"/>
            </w:pPr>
            <w:r w:rsidRPr="006439CE">
              <w:rPr>
                <w:b/>
              </w:rPr>
              <w:t>Sous-total 200</w:t>
            </w:r>
            <w:r>
              <w:rPr>
                <w:b/>
              </w:rPr>
              <w:t>9</w:t>
            </w:r>
          </w:p>
        </w:tc>
        <w:tc>
          <w:tcPr>
            <w:tcW w:w="950" w:type="dxa"/>
            <w:tcBorders>
              <w:top w:val="nil"/>
              <w:left w:val="nil"/>
              <w:bottom w:val="single" w:sz="4" w:space="0" w:color="auto"/>
              <w:right w:val="single" w:sz="4" w:space="0" w:color="auto"/>
            </w:tcBorders>
            <w:shd w:val="clear" w:color="auto" w:fill="auto"/>
            <w:noWrap/>
            <w:vAlign w:val="center"/>
          </w:tcPr>
          <w:p w:rsidR="00FD0045" w:rsidRPr="00D47A07" w:rsidRDefault="00FD0045" w:rsidP="002D682B">
            <w:pPr>
              <w:jc w:val="right"/>
              <w:rPr>
                <w:b/>
              </w:rPr>
            </w:pPr>
            <w:r w:rsidRPr="00D47A07">
              <w:rPr>
                <w:b/>
              </w:rPr>
              <w:t>1</w:t>
            </w:r>
            <w:r>
              <w:rPr>
                <w:b/>
              </w:rPr>
              <w:t xml:space="preserve"> </w:t>
            </w:r>
            <w:r w:rsidRPr="00D47A07">
              <w:rPr>
                <w:b/>
              </w:rPr>
              <w:t>011,56</w:t>
            </w:r>
          </w:p>
        </w:tc>
      </w:tr>
      <w:tr w:rsidR="00FD0045" w:rsidRPr="006E3175" w:rsidTr="009A2E87">
        <w:trPr>
          <w:trHeight w:val="376"/>
          <w:jc w:val="right"/>
        </w:trPr>
        <w:tc>
          <w:tcPr>
            <w:tcW w:w="7625" w:type="dxa"/>
            <w:gridSpan w:val="6"/>
            <w:tcBorders>
              <w:top w:val="single" w:sz="4" w:space="0" w:color="auto"/>
              <w:left w:val="single" w:sz="4" w:space="0" w:color="auto"/>
              <w:bottom w:val="single" w:sz="4" w:space="0" w:color="auto"/>
              <w:right w:val="single" w:sz="4" w:space="0" w:color="auto"/>
            </w:tcBorders>
            <w:vAlign w:val="center"/>
          </w:tcPr>
          <w:p w:rsidR="00FD0045" w:rsidRPr="006439CE" w:rsidRDefault="00FD0045" w:rsidP="002D682B">
            <w:pPr>
              <w:jc w:val="right"/>
              <w:rPr>
                <w:b/>
              </w:rPr>
            </w:pPr>
            <w:r>
              <w:rPr>
                <w:b/>
              </w:rPr>
              <w:t>TOTAL</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0045" w:rsidRPr="00D47A07" w:rsidRDefault="00FD0045" w:rsidP="002D682B">
            <w:pPr>
              <w:jc w:val="right"/>
              <w:rPr>
                <w:b/>
              </w:rPr>
            </w:pPr>
            <w:r w:rsidRPr="00D47A07">
              <w:rPr>
                <w:b/>
              </w:rPr>
              <w:t>1 806,72</w:t>
            </w:r>
          </w:p>
        </w:tc>
      </w:tr>
    </w:tbl>
    <w:p w:rsidR="00FD0045" w:rsidRDefault="00FD0045" w:rsidP="00FD0045">
      <w:pPr>
        <w:pStyle w:val="Corpsdetexte"/>
        <w:spacing w:before="0"/>
        <w:ind w:firstLine="0"/>
      </w:pPr>
    </w:p>
    <w:p w:rsidR="00BC0365" w:rsidRDefault="00BC0365" w:rsidP="00BC0365">
      <w:pPr>
        <w:pStyle w:val="PS"/>
        <w:spacing w:after="360"/>
      </w:pPr>
      <w:r>
        <w:t>Considérant que M.</w:t>
      </w:r>
      <w:r w:rsidR="00B0549E">
        <w:t> </w:t>
      </w:r>
      <w:r w:rsidR="00D7789D">
        <w:t>X</w:t>
      </w:r>
      <w:r>
        <w:t xml:space="preserve"> ne conteste ni la réalité, ni le montant des paiements qui lui sont imputés ;</w:t>
      </w:r>
    </w:p>
    <w:p w:rsidR="00EE02F3" w:rsidRPr="002E10F4" w:rsidRDefault="00EE02F3" w:rsidP="00EE02F3">
      <w:pPr>
        <w:pStyle w:val="PS"/>
        <w:spacing w:after="360"/>
      </w:pPr>
      <w:r w:rsidRPr="002E10F4">
        <w:t>Considérant que l’article R.</w:t>
      </w:r>
      <w:r w:rsidR="00B0549E">
        <w:t> </w:t>
      </w:r>
      <w:r w:rsidRPr="002E10F4">
        <w:t>221-46 du code forestier, dans sa version résultant du décret n° 2002-861 du 3 mai 2002, relatif au Centre national professionnel de la propriété forestière et modifiant le code forestier, prévoyait</w:t>
      </w:r>
      <w:r w:rsidR="009A2E87">
        <w:t> </w:t>
      </w:r>
      <w:r w:rsidRPr="002E10F4">
        <w:t>: «</w:t>
      </w:r>
      <w:r w:rsidR="009A2E87">
        <w:t> </w:t>
      </w:r>
      <w:r w:rsidRPr="002E10F4">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rsidRPr="002E10F4">
        <w:t> »</w:t>
      </w:r>
      <w:r w:rsidR="009A2E87">
        <w:t> ;</w:t>
      </w:r>
    </w:p>
    <w:p w:rsidR="00EE02F3" w:rsidRPr="005039FE" w:rsidRDefault="00EE02F3" w:rsidP="00EE02F3">
      <w:pPr>
        <w:pStyle w:val="PS"/>
        <w:spacing w:after="360"/>
      </w:pPr>
      <w:r w:rsidRPr="005039FE">
        <w:t xml:space="preserve">Considérant que le même article, dans sa version résultant du décret </w:t>
      </w:r>
      <w:r w:rsidR="003A7D23">
        <w:br/>
      </w:r>
      <w:r w:rsidRPr="005039FE">
        <w:t xml:space="preserve">n° 2006-871 du 12 juillet 2006 modifiant certaines dispositions réglementaires du code forestier, prévoyait : </w:t>
      </w:r>
      <w:r w:rsidRPr="005039FE">
        <w:rPr>
          <w:i/>
        </w:rPr>
        <w:t>«</w:t>
      </w:r>
      <w:r w:rsidR="009A2E87">
        <w:rPr>
          <w:i/>
        </w:rPr>
        <w:t> </w:t>
      </w:r>
      <w:r w:rsidRPr="005039FE">
        <w:rPr>
          <w:i/>
        </w:rPr>
        <w:t xml:space="preserve">[...]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w:t>
      </w:r>
      <w:r w:rsidR="00886555">
        <w:rPr>
          <w:i/>
        </w:rPr>
        <w:t>chargé des forêts</w:t>
      </w:r>
      <w:r w:rsidR="009A2E87">
        <w:rPr>
          <w:i/>
        </w:rPr>
        <w:t> »</w:t>
      </w:r>
      <w:r w:rsidR="009A2E87" w:rsidRPr="009A2E87">
        <w:t> ;</w:t>
      </w:r>
    </w:p>
    <w:p w:rsidR="00EE02F3" w:rsidRDefault="00EE02F3" w:rsidP="00EE02F3">
      <w:pPr>
        <w:pStyle w:val="PS"/>
        <w:spacing w:after="360"/>
      </w:pPr>
      <w:r w:rsidRPr="005039FE">
        <w:t>Considérant que l’arrêté du 20 novembre 1988, relatif à l’indemnisation pour perte de temps de travail des présidents et des administrateurs de centres régionaux de la propriété forestière, puis l’arrêté du 12 juillet 2007, relatif à l’indemnité représentative du temps passé à l’exercice de leur mandat des présidents et administrateurs des centres régionaux de la propriété forestière, précisaient</w:t>
      </w:r>
      <w:r w:rsidR="009A2E87">
        <w:t> </w:t>
      </w:r>
      <w:r w:rsidRPr="005039FE">
        <w:t>: «</w:t>
      </w:r>
      <w:r w:rsidR="009A2E87">
        <w:t> </w:t>
      </w:r>
      <w:r w:rsidRPr="005039FE">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009A2E87">
        <w:t> </w:t>
      </w:r>
      <w:r w:rsidRPr="005039FE">
        <w:t>»</w:t>
      </w:r>
      <w:r w:rsidR="009A2E87">
        <w:t> ;</w:t>
      </w:r>
    </w:p>
    <w:p w:rsidR="002976F6" w:rsidRPr="005039FE" w:rsidRDefault="00DF553A" w:rsidP="00DF553A">
      <w:pPr>
        <w:pStyle w:val="PS"/>
        <w:spacing w:after="360"/>
      </w:pPr>
      <w:r>
        <w:br w:type="page"/>
      </w:r>
      <w:r w:rsidR="002976F6">
        <w:t>Considérant que le président et les administrateurs titulaires n’avaient pas, par conséquent, à être nominativement désignés pour avoir droit à ces indemnités, dès lors qu’elles correspondaient à des réunions figurant sur la liste déterminée par le conseil d’administration ;</w:t>
      </w:r>
    </w:p>
    <w:p w:rsidR="00F66E50" w:rsidRDefault="005039FE" w:rsidP="00DF553A">
      <w:pPr>
        <w:pStyle w:val="PS"/>
        <w:spacing w:after="360"/>
      </w:pPr>
      <w:r w:rsidRPr="00BA3279">
        <w:t xml:space="preserve">Considérant que le conseil d’administration du CRPF </w:t>
      </w:r>
      <w:r w:rsidR="00A52884" w:rsidRPr="00BA3279">
        <w:t>a délibéré</w:t>
      </w:r>
      <w:r w:rsidR="009D7D7B">
        <w:t>,</w:t>
      </w:r>
      <w:r w:rsidR="00A52884" w:rsidRPr="00BA3279">
        <w:t xml:space="preserve"> </w:t>
      </w:r>
      <w:r w:rsidR="009D7D7B">
        <w:t xml:space="preserve">notamment </w:t>
      </w:r>
      <w:r w:rsidR="00A52884" w:rsidRPr="00BA3279">
        <w:t>le</w:t>
      </w:r>
      <w:r w:rsidR="00947BD9" w:rsidRPr="00BA3279">
        <w:t xml:space="preserve">s 13 </w:t>
      </w:r>
      <w:r w:rsidR="009D7D7B">
        <w:t xml:space="preserve">mars 2001, 9 décembre 2002 </w:t>
      </w:r>
      <w:r w:rsidR="00947BD9" w:rsidRPr="00BA3279">
        <w:t>et 1</w:t>
      </w:r>
      <w:r w:rsidR="009D7D7B">
        <w:t>6</w:t>
      </w:r>
      <w:r w:rsidR="00947BD9" w:rsidRPr="00BA3279">
        <w:t xml:space="preserve"> </w:t>
      </w:r>
      <w:r w:rsidR="009D7D7B">
        <w:t>mars 2004,</w:t>
      </w:r>
      <w:r w:rsidR="00A42BE4" w:rsidRPr="00BA3279">
        <w:t xml:space="preserve"> </w:t>
      </w:r>
      <w:r w:rsidR="00A52884" w:rsidRPr="00BA3279">
        <w:t xml:space="preserve">sur la liste des réunions pouvant ouvrir droit au versement de l’indemnité </w:t>
      </w:r>
      <w:r w:rsidR="009D7D7B" w:rsidRPr="009D7D7B">
        <w:t>pour perte de temps de travail</w:t>
      </w:r>
      <w:r w:rsidR="009A2E87">
        <w:t> ;</w:t>
      </w:r>
      <w:r w:rsidR="00250215">
        <w:t xml:space="preserve"> que les procès-verbaux de ces réunions ont bien été produits par l’agent comptable</w:t>
      </w:r>
      <w:r w:rsidR="00F66E50">
        <w:t xml:space="preserve"> en réponse au réquisitoire et indiquent clairement la décision prise par le conseil d’administration ;</w:t>
      </w:r>
    </w:p>
    <w:p w:rsidR="00A52884" w:rsidRDefault="00F66E50" w:rsidP="00DF553A">
      <w:pPr>
        <w:pStyle w:val="PS"/>
        <w:spacing w:after="360"/>
      </w:pPr>
      <w:r>
        <w:t>Considérant que les réunions concernant les chartes « forestière » et « du</w:t>
      </w:r>
      <w:r w:rsidR="009A2E87">
        <w:t xml:space="preserve"> </w:t>
      </w:r>
      <w:r>
        <w:t>territoire</w:t>
      </w:r>
      <w:r w:rsidR="00DF553A">
        <w:t> »</w:t>
      </w:r>
      <w:r>
        <w:t>, les réunions du conseil de la forêt et des produits forestiers, les réunions PEF</w:t>
      </w:r>
      <w:r w:rsidR="00C47D08">
        <w:t>C</w:t>
      </w:r>
      <w:r>
        <w:t xml:space="preserve"> et OFME, </w:t>
      </w:r>
      <w:r w:rsidR="007830E9">
        <w:t xml:space="preserve">les réunions des </w:t>
      </w:r>
      <w:r w:rsidR="009A2E87">
        <w:t>g</w:t>
      </w:r>
      <w:r w:rsidR="007830E9">
        <w:t xml:space="preserve">rands </w:t>
      </w:r>
      <w:r w:rsidR="009A2E87">
        <w:t>s</w:t>
      </w:r>
      <w:r w:rsidR="007830E9">
        <w:t xml:space="preserve">ites, </w:t>
      </w:r>
      <w:r w:rsidR="001372CC">
        <w:t xml:space="preserve">ainsi que </w:t>
      </w:r>
      <w:r>
        <w:t>les réunion</w:t>
      </w:r>
      <w:r w:rsidR="001372CC">
        <w:t>s</w:t>
      </w:r>
      <w:r>
        <w:t xml:space="preserve"> des commissions de recrutement</w:t>
      </w:r>
      <w:r w:rsidR="00250215">
        <w:t xml:space="preserve"> </w:t>
      </w:r>
      <w:r>
        <w:t>étaient valablement ment</w:t>
      </w:r>
      <w:r w:rsidR="00C47D08">
        <w:t>ionnées dans ces procès-verbaux ;</w:t>
      </w:r>
    </w:p>
    <w:p w:rsidR="00C47D08" w:rsidRPr="00826858" w:rsidRDefault="00C47D08" w:rsidP="00DF553A">
      <w:pPr>
        <w:pStyle w:val="PS"/>
        <w:spacing w:after="360"/>
      </w:pPr>
      <w:r w:rsidRPr="00826858">
        <w:t>Considérant que les réunions de l’interprofession</w:t>
      </w:r>
      <w:r w:rsidR="00826858" w:rsidRPr="00826858">
        <w:t xml:space="preserve"> ont été ajoutées à la liste des réunions pouvant donner lieu à indemnisation lors du conseil d’administration du 13</w:t>
      </w:r>
      <w:r w:rsidR="009A2E87">
        <w:t xml:space="preserve"> </w:t>
      </w:r>
      <w:r w:rsidR="00826858" w:rsidRPr="00826858">
        <w:t>mars</w:t>
      </w:r>
      <w:r w:rsidR="009A2E87">
        <w:t xml:space="preserve"> </w:t>
      </w:r>
      <w:r w:rsidR="00826858" w:rsidRPr="00826858">
        <w:t>2001, comme l’indique l’agent comptable ; que ce type de réunion</w:t>
      </w:r>
      <w:r w:rsidR="001372CC">
        <w:t>s</w:t>
      </w:r>
      <w:r w:rsidR="00826858" w:rsidRPr="00826858">
        <w:t xml:space="preserve"> n’a pas été retiré de cette liste ultérieurement ; que les conseils d’administration des 9</w:t>
      </w:r>
      <w:r w:rsidR="009A2E87">
        <w:t xml:space="preserve"> </w:t>
      </w:r>
      <w:r w:rsidR="00826858" w:rsidRPr="00826858">
        <w:t>décembre</w:t>
      </w:r>
      <w:r w:rsidR="009A2E87">
        <w:t xml:space="preserve"> </w:t>
      </w:r>
      <w:r w:rsidR="00826858" w:rsidRPr="00826858">
        <w:t>2002 et 16 mars 2004 ont seulement permis d’ajouter de nouvelles réunions à la liste d’origine ; que la liste</w:t>
      </w:r>
      <w:r w:rsidR="001372CC">
        <w:t>,</w:t>
      </w:r>
      <w:r w:rsidR="00826858" w:rsidRPr="00826858">
        <w:t xml:space="preserve"> non datée</w:t>
      </w:r>
      <w:r w:rsidR="001372CC">
        <w:t>,</w:t>
      </w:r>
      <w:r w:rsidR="00826858" w:rsidRPr="00826858">
        <w:t xml:space="preserve"> des réunions où les représentants de la forêt sont susceptibles de siéger, produite par l’agent comptable, comporte bien </w:t>
      </w:r>
      <w:r w:rsidR="001372CC">
        <w:t xml:space="preserve">au surplus </w:t>
      </w:r>
      <w:r w:rsidR="00826858" w:rsidRPr="00826858">
        <w:t>la référence aux réunions de l’interprofession, avec la mention «</w:t>
      </w:r>
      <w:r w:rsidR="009A2E87">
        <w:t> </w:t>
      </w:r>
      <w:r w:rsidR="00826858" w:rsidRPr="00826858">
        <w:t>indemnité de perte de temps de travail</w:t>
      </w:r>
      <w:r w:rsidR="009A2E87">
        <w:t> </w:t>
      </w:r>
      <w:r w:rsidR="00826858" w:rsidRPr="00826858">
        <w:t>» ;</w:t>
      </w:r>
      <w:r w:rsidR="00826858">
        <w:t xml:space="preserve"> qu’il convient donc d’admettre que ce type de réunions pou</w:t>
      </w:r>
      <w:r w:rsidR="002976F6">
        <w:t>vait donner lieu au versement, tant de l’indemnité de perte de temps de travail, que de l’indemnité</w:t>
      </w:r>
      <w:r w:rsidR="002976F6" w:rsidRPr="002976F6">
        <w:t xml:space="preserve"> représentative du temps passé à l’exercice d</w:t>
      </w:r>
      <w:r w:rsidR="002976F6">
        <w:t>u</w:t>
      </w:r>
      <w:r w:rsidR="002976F6" w:rsidRPr="002976F6">
        <w:t xml:space="preserve"> mandat</w:t>
      </w:r>
      <w:r w:rsidR="002976F6">
        <w:t xml:space="preserve"> qui lui a succédé</w:t>
      </w:r>
      <w:r w:rsidR="00826858">
        <w:t> ;</w:t>
      </w:r>
    </w:p>
    <w:p w:rsidR="00826858" w:rsidRDefault="00F66E50" w:rsidP="00DF553A">
      <w:pPr>
        <w:pStyle w:val="PS"/>
        <w:spacing w:after="360"/>
      </w:pPr>
      <w:r w:rsidRPr="00826858">
        <w:t xml:space="preserve">Considérant </w:t>
      </w:r>
      <w:r w:rsidR="00826858" w:rsidRPr="00826858">
        <w:t>en revanche</w:t>
      </w:r>
      <w:r w:rsidR="00826858">
        <w:rPr>
          <w:color w:val="FF0000"/>
        </w:rPr>
        <w:t xml:space="preserve"> </w:t>
      </w:r>
      <w:r w:rsidR="00826858">
        <w:t>que les réunions du conseil d’orientation de la forêt méditerranéenne avaient été retirées de la liste en 2001, comme l’indique explicitement le procès-verbal du conseil d’administration du 13 mars 2001, et non réintroduites par les délibérations ultérieures, notamment celle de 2004</w:t>
      </w:r>
      <w:r w:rsidR="002976F6">
        <w:t>,</w:t>
      </w:r>
      <w:r w:rsidR="00826858">
        <w:t xml:space="preserve"> toujours applicable en 2009 ; </w:t>
      </w:r>
      <w:r w:rsidR="00826858" w:rsidRPr="00826858">
        <w:t>que</w:t>
      </w:r>
      <w:r w:rsidR="009A2E87">
        <w:t xml:space="preserve"> </w:t>
      </w:r>
      <w:r w:rsidR="00826858" w:rsidRPr="00826858">
        <w:t>la liste</w:t>
      </w:r>
      <w:r w:rsidR="001372CC">
        <w:t>,</w:t>
      </w:r>
      <w:r w:rsidR="00826858" w:rsidRPr="00826858">
        <w:t xml:space="preserve"> non datée</w:t>
      </w:r>
      <w:r w:rsidR="001372CC">
        <w:t>,</w:t>
      </w:r>
      <w:r w:rsidR="00826858" w:rsidRPr="00826858">
        <w:t xml:space="preserve"> des réunions où les représentants de la forêt sont susceptibles de siéger, produite par l’agent comptable, </w:t>
      </w:r>
      <w:r w:rsidR="00826858">
        <w:t xml:space="preserve">ne </w:t>
      </w:r>
      <w:r w:rsidR="00826858" w:rsidRPr="00826858">
        <w:t xml:space="preserve">comporte </w:t>
      </w:r>
      <w:r w:rsidR="001372CC">
        <w:t>d’ailleurs pas</w:t>
      </w:r>
      <w:r w:rsidR="001372CC" w:rsidRPr="00826858">
        <w:t xml:space="preserve"> </w:t>
      </w:r>
      <w:r w:rsidR="00826858" w:rsidRPr="00826858">
        <w:t>la référence aux réunions de</w:t>
      </w:r>
      <w:r w:rsidR="00826858">
        <w:t xml:space="preserve"> cette instance ; </w:t>
      </w:r>
      <w:r w:rsidR="00826858" w:rsidRPr="00846E9D">
        <w:t>que M. </w:t>
      </w:r>
      <w:r w:rsidR="00D7789D">
        <w:t>X</w:t>
      </w:r>
      <w:r w:rsidR="00826858" w:rsidRPr="00846E9D">
        <w:t xml:space="preserve"> n</w:t>
      </w:r>
      <w:r w:rsidR="00846E9D" w:rsidRPr="00846E9D">
        <w:t>e peut donc s’appuyer, comme il le fait dans sa réponse en date du 17 septembre 2013,</w:t>
      </w:r>
      <w:r w:rsidR="00846E9D" w:rsidRPr="00017EBE">
        <w:t xml:space="preserve"> </w:t>
      </w:r>
      <w:r w:rsidR="00846E9D">
        <w:t>sur la mention de cette réunion dans les procès-verbaux anciens du conseil d’administration pour prétendre qu’il était autorisé à payer c</w:t>
      </w:r>
      <w:r w:rsidR="00017EBE">
        <w:t>ette dépense en 2009</w:t>
      </w:r>
      <w:r w:rsidR="009A2E87">
        <w:t> </w:t>
      </w:r>
      <w:r w:rsidR="00846E9D" w:rsidRPr="00846E9D">
        <w:t>;</w:t>
      </w:r>
    </w:p>
    <w:p w:rsidR="00F66E50" w:rsidRDefault="00846E9D" w:rsidP="00DF553A">
      <w:pPr>
        <w:pStyle w:val="PS"/>
        <w:spacing w:after="360"/>
      </w:pPr>
      <w:r>
        <w:t>Considérant que M.</w:t>
      </w:r>
      <w:r w:rsidR="00DF553A">
        <w:t> </w:t>
      </w:r>
      <w:r w:rsidR="00D7789D">
        <w:t>X</w:t>
      </w:r>
      <w:r>
        <w:t xml:space="preserve"> n’aurait donc pas dû payer, au profit </w:t>
      </w:r>
      <w:r w:rsidRPr="000C6800">
        <w:t>de M.</w:t>
      </w:r>
      <w:r w:rsidR="00DF553A">
        <w:t> </w:t>
      </w:r>
      <w:r w:rsidR="00D7789D">
        <w:t>A</w:t>
      </w:r>
      <w:r w:rsidRPr="000C6800">
        <w:t>, président du CRPF</w:t>
      </w:r>
      <w:r>
        <w:t>, la somme de 106,48</w:t>
      </w:r>
      <w:r w:rsidR="00DF553A">
        <w:t> </w:t>
      </w:r>
      <w:r>
        <w:t>€  figurant sur le mandat n°</w:t>
      </w:r>
      <w:r w:rsidR="00DF553A">
        <w:t> </w:t>
      </w:r>
      <w:r>
        <w:t>1202 du 24 décembre 2009 pour une réunion du conseil départemental d’orientation de la forêt méditerranéenne tenue en novembre 2009 ;</w:t>
      </w:r>
    </w:p>
    <w:p w:rsidR="005039FE" w:rsidRPr="005E7C17" w:rsidRDefault="005039FE" w:rsidP="00DF553A">
      <w:pPr>
        <w:pStyle w:val="PS"/>
        <w:spacing w:after="360"/>
      </w:pPr>
      <w:r w:rsidRPr="005E7C17">
        <w:t xml:space="preserve">Considérant que </w:t>
      </w:r>
      <w:r w:rsidR="00053C9B" w:rsidRPr="005E7C17">
        <w:t xml:space="preserve">si </w:t>
      </w:r>
      <w:r w:rsidRPr="005E7C17">
        <w:t>le comptable n’a pas le pouvoir de se faire juge de la légalité des décisions administratives qui servent de fondement au mandat de paiement</w:t>
      </w:r>
      <w:r w:rsidR="00053C9B" w:rsidRPr="005E7C17">
        <w:t xml:space="preserve">, </w:t>
      </w:r>
      <w:r w:rsidRPr="005E7C17">
        <w:t xml:space="preserve">il </w:t>
      </w:r>
      <w:r w:rsidR="00017EBE">
        <w:t>était</w:t>
      </w:r>
      <w:r w:rsidRPr="005E7C17">
        <w:t xml:space="preserve"> tenu, en revanche, en vertu de l'article 12 du décret du 29 décembre 1962 portant règlement général sur la comptabilité publique, susvisé : «</w:t>
      </w:r>
      <w:r w:rsidR="009A2E87">
        <w:t> </w:t>
      </w:r>
      <w:r w:rsidRPr="005E7C17">
        <w:rPr>
          <w:i/>
        </w:rPr>
        <w:t>d’exercer</w:t>
      </w:r>
      <w:r w:rsidRPr="005E7C17">
        <w:t xml:space="preserve"> [...]: </w:t>
      </w:r>
      <w:r w:rsidRPr="005E7C17">
        <w:rPr>
          <w:i/>
        </w:rPr>
        <w:t xml:space="preserve">... B. - En matière de dépenses, le contrôle : </w:t>
      </w:r>
      <w:r w:rsidRPr="005E7C17">
        <w:t xml:space="preserve">[...] </w:t>
      </w:r>
      <w:r w:rsidRPr="005E7C17">
        <w:rPr>
          <w:i/>
        </w:rPr>
        <w:t>De la validité de la créance dans les conditions prévues à l'article 13</w:t>
      </w:r>
      <w:r w:rsidRPr="005E7C17">
        <w:t xml:space="preserve"> [...]</w:t>
      </w:r>
      <w:r w:rsidR="009A2E87">
        <w:t> </w:t>
      </w:r>
      <w:r w:rsidRPr="005E7C17">
        <w:t>; que selon l’article 13 du même décret en «</w:t>
      </w:r>
      <w:r w:rsidR="009A2E87">
        <w:t> </w:t>
      </w:r>
      <w:r w:rsidRPr="005E7C17">
        <w:rPr>
          <w:i/>
        </w:rPr>
        <w:t>ce qui concerne la validité de la créance, le contrôle porte sur :</w:t>
      </w:r>
      <w:r w:rsidRPr="005E7C17">
        <w:t xml:space="preserve"> [...] </w:t>
      </w:r>
      <w:r w:rsidRPr="005E7C17">
        <w:rPr>
          <w:i/>
        </w:rPr>
        <w:t>la production des justifications</w:t>
      </w:r>
      <w:r w:rsidR="009A2E87">
        <w:t> </w:t>
      </w:r>
      <w:r w:rsidRPr="005E7C17">
        <w:t>»</w:t>
      </w:r>
      <w:r w:rsidR="009A2E87">
        <w:t> </w:t>
      </w:r>
      <w:r w:rsidRPr="005E7C17">
        <w:t xml:space="preserve">; </w:t>
      </w:r>
    </w:p>
    <w:p w:rsidR="005039FE" w:rsidRPr="005E7C17" w:rsidRDefault="005039FE" w:rsidP="005039FE">
      <w:pPr>
        <w:pStyle w:val="PS"/>
        <w:spacing w:after="360"/>
      </w:pPr>
      <w:r w:rsidRPr="005E7C17">
        <w:t>Considérant que la responsabilité des comptables publics s’apprécie au moment du paiement</w:t>
      </w:r>
      <w:r w:rsidR="009A2E87">
        <w:t> </w:t>
      </w:r>
      <w:r w:rsidRPr="005E7C17">
        <w:t>; qu’en l’espèce, l</w:t>
      </w:r>
      <w:r w:rsidR="004E2072" w:rsidRPr="005E7C17">
        <w:t>’agent</w:t>
      </w:r>
      <w:r w:rsidRPr="005E7C17">
        <w:t xml:space="preserve"> comptable n’a pas exercé les contrôles qu’il </w:t>
      </w:r>
      <w:r w:rsidR="004F5BC3">
        <w:t>était</w:t>
      </w:r>
      <w:r w:rsidRPr="005E7C17">
        <w:t xml:space="preserve"> tenu d’opérer en application des articles 12 et 13 du décret du 29 décembre 1962 précité</w:t>
      </w:r>
      <w:r w:rsidR="00053C9B" w:rsidRPr="005E7C17">
        <w:t xml:space="preserve">, qui lui auraient permis de constater </w:t>
      </w:r>
      <w:r w:rsidR="00AD2F4C" w:rsidRPr="005E7C17">
        <w:t>qu</w:t>
      </w:r>
      <w:r w:rsidR="00846E9D">
        <w:t>e l’une</w:t>
      </w:r>
      <w:r w:rsidR="00AD2F4C" w:rsidRPr="005E7C17">
        <w:t xml:space="preserve"> des réunions ayant fait l’objet d</w:t>
      </w:r>
      <w:r w:rsidR="00846E9D">
        <w:t>u</w:t>
      </w:r>
      <w:r w:rsidR="00AD2F4C" w:rsidRPr="005E7C17">
        <w:t xml:space="preserve"> mandat précité n</w:t>
      </w:r>
      <w:r w:rsidR="004E2072" w:rsidRPr="005E7C17">
        <w:t>’o</w:t>
      </w:r>
      <w:r w:rsidR="00053C9B" w:rsidRPr="005E7C17">
        <w:t>uvra</w:t>
      </w:r>
      <w:r w:rsidR="004E2072" w:rsidRPr="005E7C17">
        <w:t>i</w:t>
      </w:r>
      <w:r w:rsidR="00053C9B" w:rsidRPr="005E7C17">
        <w:t xml:space="preserve">t </w:t>
      </w:r>
      <w:r w:rsidR="004E2072" w:rsidRPr="005E7C17">
        <w:t xml:space="preserve">pas </w:t>
      </w:r>
      <w:r w:rsidR="00053C9B" w:rsidRPr="005E7C17">
        <w:t>droit à indemnisation</w:t>
      </w:r>
      <w:r w:rsidRPr="005E7C17">
        <w:t xml:space="preserve"> ; qu’il aurait donc dû suspendre le paiement</w:t>
      </w:r>
      <w:r w:rsidR="00846E9D">
        <w:t xml:space="preserve"> susmentionné</w:t>
      </w:r>
      <w:r w:rsidRPr="005E7C17">
        <w:t xml:space="preserve"> en application de l’article 37 du règlement général sur la comptabilité publique précité et en informer l’ordonnateur</w:t>
      </w:r>
      <w:r w:rsidR="009A2E87">
        <w:t> </w:t>
      </w:r>
      <w:r w:rsidRPr="005E7C17">
        <w:t>;</w:t>
      </w:r>
    </w:p>
    <w:p w:rsidR="005039FE" w:rsidRDefault="005039FE" w:rsidP="005039FE">
      <w:pPr>
        <w:pStyle w:val="PS"/>
        <w:spacing w:after="360"/>
      </w:pPr>
      <w:r w:rsidRPr="005E7C17">
        <w:t>Considérant qu’en application de l’article 60 de la loi du 23 février 1963 susvisée, la responsabilité personnelle et pécuniaire du comptable se trouve engagée dès lors qu'une dépense a été irrégulièrement payée</w:t>
      </w:r>
      <w:r w:rsidR="009A2E87">
        <w:t> </w:t>
      </w:r>
      <w:r w:rsidRPr="005E7C17">
        <w:t>;</w:t>
      </w:r>
    </w:p>
    <w:p w:rsidR="00017EBE" w:rsidRPr="005E7C17" w:rsidRDefault="00017EBE" w:rsidP="005039FE">
      <w:pPr>
        <w:pStyle w:val="PS"/>
        <w:spacing w:after="360"/>
      </w:pPr>
      <w:r>
        <w:t xml:space="preserve">Considérant que </w:t>
      </w:r>
      <w:r w:rsidR="009A2E87">
        <w:t>M. </w:t>
      </w:r>
      <w:r w:rsidR="00D7789D">
        <w:t>Y</w:t>
      </w:r>
      <w:r>
        <w:t>, directeur général du CNPF, a exposé à l’audience que l’établissement public n’avait subi aucun préjudice financier, l’indemnisation d’un président ou d’un administrateur étant moins coûteuse que la mobilisation d’un ingénieur pour sa participation à une réunion technique ;</w:t>
      </w:r>
    </w:p>
    <w:p w:rsidR="00017EBE" w:rsidRDefault="00017EBE" w:rsidP="00460733">
      <w:pPr>
        <w:pStyle w:val="PS"/>
        <w:spacing w:after="240"/>
      </w:pPr>
      <w:r>
        <w:t xml:space="preserve">Considérant que la dépense </w:t>
      </w:r>
      <w:r w:rsidR="00B91670">
        <w:t xml:space="preserve">a bien </w:t>
      </w:r>
      <w:r w:rsidR="00B91670" w:rsidRPr="005E7C17">
        <w:t>entraîné un préjudice financier pour l’établissement public dès lors que le conseil d’administration avait expressément limité l’indemnisation à des catégories de réunions autres que celle ayant donné lieu à paiement</w:t>
      </w:r>
      <w:r w:rsidR="009A2E87">
        <w:t> </w:t>
      </w:r>
      <w:r w:rsidR="00B91670" w:rsidRPr="005E7C17">
        <w:t>;</w:t>
      </w:r>
    </w:p>
    <w:p w:rsidR="00FC2265" w:rsidRPr="005E7C17" w:rsidRDefault="00CF1084" w:rsidP="00460733">
      <w:pPr>
        <w:pStyle w:val="PS"/>
        <w:spacing w:after="240"/>
      </w:pPr>
      <w:r w:rsidRPr="005E7C17">
        <w:t>Considérant qu</w:t>
      </w:r>
      <w:r w:rsidR="00DF575C" w:rsidRPr="005E7C17">
        <w:t xml:space="preserve">e </w:t>
      </w:r>
      <w:r w:rsidR="00BE5ECB" w:rsidRPr="005E7C17">
        <w:t>l</w:t>
      </w:r>
      <w:r w:rsidR="00DF575C" w:rsidRPr="005E7C17">
        <w:t>es manquements</w:t>
      </w:r>
      <w:r w:rsidR="00BE5ECB" w:rsidRPr="005E7C17">
        <w:t xml:space="preserve"> de l’agent comptable</w:t>
      </w:r>
      <w:r w:rsidR="00742A15" w:rsidRPr="005E7C17">
        <w:t xml:space="preserve">, qui consistent à ne pas avoir exercé le contrôle de la validité </w:t>
      </w:r>
      <w:r w:rsidR="00E060AA" w:rsidRPr="005E7C17">
        <w:t>de</w:t>
      </w:r>
      <w:r w:rsidR="00846E9D">
        <w:t xml:space="preserve"> la</w:t>
      </w:r>
      <w:r w:rsidR="00E060AA" w:rsidRPr="005E7C17">
        <w:t xml:space="preserve"> créance,</w:t>
      </w:r>
      <w:r w:rsidR="00DF575C" w:rsidRPr="005E7C17">
        <w:t xml:space="preserve"> </w:t>
      </w:r>
      <w:r w:rsidR="007A19BA" w:rsidRPr="005E7C17">
        <w:t>ne résultent pas de ci</w:t>
      </w:r>
      <w:r w:rsidR="00B91670">
        <w:t>rconstances de force majeure ;</w:t>
      </w:r>
    </w:p>
    <w:p w:rsidR="00E060AA" w:rsidRPr="005E7C17" w:rsidRDefault="00E060AA" w:rsidP="00460733">
      <w:pPr>
        <w:pStyle w:val="PS"/>
        <w:spacing w:after="240"/>
      </w:pPr>
      <w:r w:rsidRPr="00B0549E">
        <w:rPr>
          <w:shd w:val="clear" w:color="auto" w:fill="FFFFFF"/>
        </w:rPr>
        <w:t>Considérant</w:t>
      </w:r>
      <w:r w:rsidRPr="00B0549E">
        <w:t xml:space="preserve"> </w:t>
      </w:r>
      <w:r w:rsidRPr="00B0549E">
        <w:rPr>
          <w:shd w:val="clear" w:color="auto" w:fill="FFFFFF"/>
        </w:rPr>
        <w:t xml:space="preserve">qu’en application du paragraphe VI, alinéa 3, de l’article 60 </w:t>
      </w:r>
      <w:r w:rsidR="007A19BA" w:rsidRPr="00B0549E">
        <w:rPr>
          <w:shd w:val="clear" w:color="auto" w:fill="FFFFFF"/>
        </w:rPr>
        <w:t>de la loi du 23 février 1963</w:t>
      </w:r>
      <w:r w:rsidR="007A19BA" w:rsidRPr="00B0549E">
        <w:t>,</w:t>
      </w:r>
      <w:r w:rsidR="007A19BA" w:rsidRPr="005E7C17">
        <w:t xml:space="preserve"> « </w:t>
      </w:r>
      <w:r w:rsidR="007A19BA" w:rsidRPr="005E7C17">
        <w:rPr>
          <w:i/>
        </w:rPr>
        <w:t>Lorsque le manquement du comptable (…) a causé un préjudice financier à l’organisme public concerné (…), le comptable a l’obligation de verser immédiatement de ses deniers personnels la somme correspondante </w:t>
      </w:r>
      <w:r w:rsidR="007A19BA" w:rsidRPr="005E7C17">
        <w:t>» ;</w:t>
      </w:r>
      <w:r w:rsidR="009A2E87">
        <w:rPr>
          <w:shd w:val="clear" w:color="auto" w:fill="FFFFFF"/>
        </w:rPr>
        <w:t xml:space="preserve"> </w:t>
      </w:r>
      <w:r w:rsidR="007A19BA" w:rsidRPr="005E7C17">
        <w:t>qu’il y a donc lieu de constituer en débet M.</w:t>
      </w:r>
      <w:r w:rsidR="00B0549E">
        <w:t> </w:t>
      </w:r>
      <w:r w:rsidR="00D7789D">
        <w:t>X</w:t>
      </w:r>
      <w:r w:rsidRPr="005E7C17">
        <w:t>, au titre de</w:t>
      </w:r>
      <w:r w:rsidR="005E7C17">
        <w:t xml:space="preserve"> l’e</w:t>
      </w:r>
      <w:r w:rsidR="007A19BA" w:rsidRPr="005E7C17">
        <w:t>xercice 20</w:t>
      </w:r>
      <w:r w:rsidR="00FC2265" w:rsidRPr="005E7C17">
        <w:t>09</w:t>
      </w:r>
      <w:r w:rsidR="007A19BA" w:rsidRPr="005E7C17">
        <w:t>, de</w:t>
      </w:r>
      <w:r w:rsidRPr="005E7C17">
        <w:rPr>
          <w:shd w:val="clear" w:color="auto" w:fill="FFFFFF"/>
        </w:rPr>
        <w:t xml:space="preserve"> la somme de</w:t>
      </w:r>
      <w:r w:rsidR="009A2E87">
        <w:rPr>
          <w:shd w:val="clear" w:color="auto" w:fill="FFFFFF"/>
        </w:rPr>
        <w:t xml:space="preserve"> </w:t>
      </w:r>
      <w:r w:rsidR="00846E9D">
        <w:rPr>
          <w:shd w:val="clear" w:color="auto" w:fill="FFFFFF"/>
        </w:rPr>
        <w:t>106</w:t>
      </w:r>
      <w:r w:rsidR="005E7C17" w:rsidRPr="005E7C17">
        <w:rPr>
          <w:shd w:val="clear" w:color="auto" w:fill="FFFFFF"/>
        </w:rPr>
        <w:t>,</w:t>
      </w:r>
      <w:r w:rsidR="00846E9D">
        <w:rPr>
          <w:shd w:val="clear" w:color="auto" w:fill="FFFFFF"/>
        </w:rPr>
        <w:t>48</w:t>
      </w:r>
      <w:r w:rsidR="00B0549E">
        <w:rPr>
          <w:shd w:val="clear" w:color="auto" w:fill="FFFFFF"/>
        </w:rPr>
        <w:t> </w:t>
      </w:r>
      <w:r w:rsidR="005E7C17" w:rsidRPr="005E7C17">
        <w:rPr>
          <w:shd w:val="clear" w:color="auto" w:fill="FFFFFF"/>
        </w:rPr>
        <w:t>€</w:t>
      </w:r>
      <w:r w:rsidR="000E0662" w:rsidRPr="005E7C17">
        <w:rPr>
          <w:shd w:val="clear" w:color="auto" w:fill="FFFFFF"/>
        </w:rPr>
        <w:t> ;</w:t>
      </w:r>
    </w:p>
    <w:p w:rsidR="00E060AA" w:rsidRPr="00981705" w:rsidRDefault="00CF1084" w:rsidP="00BC76EA">
      <w:pPr>
        <w:pStyle w:val="PS"/>
        <w:spacing w:after="360"/>
        <w:rPr>
          <w:b/>
          <w:bCs/>
        </w:rPr>
      </w:pPr>
      <w:r w:rsidRPr="00981705">
        <w:t xml:space="preserve">Considérant qu’en application du </w:t>
      </w:r>
      <w:r w:rsidR="00AA5E25" w:rsidRPr="00981705">
        <w:t xml:space="preserve">paragraphe </w:t>
      </w:r>
      <w:r w:rsidRPr="00981705">
        <w:rPr>
          <w:shd w:val="clear" w:color="auto" w:fill="FFFFFF"/>
        </w:rPr>
        <w:t>VI</w:t>
      </w:r>
      <w:r w:rsidR="00E060AA" w:rsidRPr="00981705">
        <w:rPr>
          <w:shd w:val="clear" w:color="auto" w:fill="FFFFFF"/>
        </w:rPr>
        <w:t>II</w:t>
      </w:r>
      <w:r w:rsidRPr="00981705">
        <w:rPr>
          <w:shd w:val="clear" w:color="auto" w:fill="FFFFFF"/>
        </w:rPr>
        <w:t xml:space="preserve"> de l’article 60 </w:t>
      </w:r>
      <w:r w:rsidRPr="00981705">
        <w:t xml:space="preserve">précité, </w:t>
      </w:r>
      <w:r w:rsidR="00E060AA" w:rsidRPr="00981705">
        <w:t>les débets portent intérêt au taux légal à compter du premier acte de la mise en jeu de la responsabilité personnel</w:t>
      </w:r>
      <w:r w:rsidR="006C1E09" w:rsidRPr="00981705">
        <w:t>le</w:t>
      </w:r>
      <w:r w:rsidR="00E060AA" w:rsidRPr="00981705">
        <w:t xml:space="preserve"> et pécuniaire des comptables publics ; </w:t>
      </w:r>
      <w:r w:rsidR="000E0662" w:rsidRPr="00981705">
        <w:t>que</w:t>
      </w:r>
      <w:r w:rsidR="007A19BA" w:rsidRPr="00981705">
        <w:t xml:space="preserve">, dès lors, la somme de </w:t>
      </w:r>
      <w:r w:rsidR="00846E9D">
        <w:t>106</w:t>
      </w:r>
      <w:r w:rsidR="005E7C17" w:rsidRPr="00981705">
        <w:t>,</w:t>
      </w:r>
      <w:r w:rsidR="00846E9D">
        <w:t>48</w:t>
      </w:r>
      <w:r w:rsidR="00981705">
        <w:t> </w:t>
      </w:r>
      <w:r w:rsidR="005E7C17" w:rsidRPr="00981705">
        <w:t>€</w:t>
      </w:r>
      <w:r w:rsidR="007A19BA" w:rsidRPr="00981705">
        <w:t xml:space="preserve"> est augmentée des intérêts de droit à compter du </w:t>
      </w:r>
      <w:r w:rsidR="000C6800">
        <w:t xml:space="preserve">16 </w:t>
      </w:r>
      <w:r w:rsidR="007A19BA" w:rsidRPr="00981705">
        <w:t xml:space="preserve">mai 2013, date à laquelle </w:t>
      </w:r>
      <w:r w:rsidR="000E0662" w:rsidRPr="00981705">
        <w:t>le réquisitoire ouvrant la procédure a été notifié à l’agent comptable</w:t>
      </w:r>
      <w:r w:rsidR="00BE5ECB" w:rsidRPr="00981705">
        <w:t> ;</w:t>
      </w:r>
    </w:p>
    <w:p w:rsidR="00CF1084" w:rsidRPr="005E7C17" w:rsidRDefault="00DF553A" w:rsidP="00511713">
      <w:pPr>
        <w:pStyle w:val="PS"/>
        <w:spacing w:after="360"/>
      </w:pPr>
      <w:r>
        <w:br w:type="page"/>
      </w:r>
      <w:r w:rsidR="00CF1084" w:rsidRPr="005E7C17">
        <w:t>Par ces motifs,</w:t>
      </w:r>
    </w:p>
    <w:p w:rsidR="00CF1084" w:rsidRPr="005E7C17" w:rsidRDefault="00CF1084" w:rsidP="00344506">
      <w:pPr>
        <w:pStyle w:val="P0"/>
        <w:spacing w:after="480"/>
        <w:jc w:val="center"/>
        <w:rPr>
          <w:b/>
        </w:rPr>
      </w:pPr>
      <w:r w:rsidRPr="005E7C17">
        <w:rPr>
          <w:b/>
        </w:rPr>
        <w:t>ORDONNE :</w:t>
      </w:r>
    </w:p>
    <w:p w:rsidR="00CF1084" w:rsidRDefault="00C42042" w:rsidP="00BC76EA">
      <w:pPr>
        <w:pStyle w:val="PS"/>
        <w:spacing w:after="400"/>
      </w:pPr>
      <w:r w:rsidRPr="005E7C17">
        <w:rPr>
          <w:u w:val="single"/>
        </w:rPr>
        <w:t xml:space="preserve">Article </w:t>
      </w:r>
      <w:r>
        <w:rPr>
          <w:u w:val="single"/>
        </w:rPr>
        <w:t>1</w:t>
      </w:r>
      <w:r w:rsidRPr="00045871">
        <w:rPr>
          <w:u w:val="single"/>
          <w:vertAlign w:val="superscript"/>
        </w:rPr>
        <w:t>er</w:t>
      </w:r>
      <w:r w:rsidR="00CF1084" w:rsidRPr="005E7C17">
        <w:t> : M.</w:t>
      </w:r>
      <w:r w:rsidR="00AB5DA7" w:rsidRPr="005E7C17">
        <w:t> </w:t>
      </w:r>
      <w:r w:rsidR="00D7789D">
        <w:t>X</w:t>
      </w:r>
      <w:r w:rsidR="00AC2FA3" w:rsidRPr="005E7C17">
        <w:t xml:space="preserve"> </w:t>
      </w:r>
      <w:r w:rsidR="00CF1084" w:rsidRPr="005E7C17">
        <w:t>est constitué débiteur du C</w:t>
      </w:r>
      <w:r w:rsidR="000E0662" w:rsidRPr="005E7C17">
        <w:t xml:space="preserve">entre </w:t>
      </w:r>
      <w:r w:rsidR="006C1E09">
        <w:t>régional</w:t>
      </w:r>
      <w:r w:rsidR="000E0662" w:rsidRPr="005E7C17">
        <w:t xml:space="preserve"> de la propriété forestière </w:t>
      </w:r>
      <w:r w:rsidR="006C1E09">
        <w:t>d</w:t>
      </w:r>
      <w:r w:rsidR="0026552F">
        <w:t>e Provence-Alpes-Côte-d’Azur</w:t>
      </w:r>
      <w:r w:rsidR="006C1E09">
        <w:t xml:space="preserve"> </w:t>
      </w:r>
      <w:r w:rsidR="00AB5DA7" w:rsidRPr="005E7C17">
        <w:t xml:space="preserve">pour la somme </w:t>
      </w:r>
      <w:r w:rsidR="00CF1084" w:rsidRPr="005E7C17">
        <w:t>de</w:t>
      </w:r>
      <w:r w:rsidR="009A2E87">
        <w:t xml:space="preserve"> </w:t>
      </w:r>
      <w:r w:rsidR="00846E9D">
        <w:t>106</w:t>
      </w:r>
      <w:r w:rsidR="005E7C17">
        <w:t>,</w:t>
      </w:r>
      <w:r w:rsidR="00846E9D">
        <w:t>48</w:t>
      </w:r>
      <w:r w:rsidR="00981705">
        <w:t> </w:t>
      </w:r>
      <w:r w:rsidR="00AC2FA3" w:rsidRPr="005E7C17">
        <w:t>€</w:t>
      </w:r>
      <w:r w:rsidR="009A2E87">
        <w:t xml:space="preserve"> </w:t>
      </w:r>
      <w:r w:rsidR="00CF1084" w:rsidRPr="005E7C17">
        <w:t>au titre de</w:t>
      </w:r>
      <w:r w:rsidR="005E7C17">
        <w:t xml:space="preserve"> l’</w:t>
      </w:r>
      <w:r w:rsidR="00CF1084" w:rsidRPr="005E7C17">
        <w:t>exercice</w:t>
      </w:r>
      <w:r w:rsidR="005E7C17">
        <w:t xml:space="preserve"> </w:t>
      </w:r>
      <w:r w:rsidR="000E0662" w:rsidRPr="005E7C17">
        <w:t>20</w:t>
      </w:r>
      <w:r w:rsidR="0056359F" w:rsidRPr="005E7C17">
        <w:t>09</w:t>
      </w:r>
      <w:r w:rsidR="00CF1084" w:rsidRPr="005E7C17">
        <w:t xml:space="preserve">, </w:t>
      </w:r>
      <w:r w:rsidR="00AB5DA7" w:rsidRPr="005E7C17">
        <w:t>augmentée des intérêts de droit</w:t>
      </w:r>
      <w:r w:rsidR="00CF1084" w:rsidRPr="005E7C17">
        <w:t xml:space="preserve"> à compter du</w:t>
      </w:r>
      <w:r w:rsidR="009A2E87">
        <w:t xml:space="preserve"> </w:t>
      </w:r>
      <w:r w:rsidR="0026552F">
        <w:t>16</w:t>
      </w:r>
      <w:r w:rsidR="001F41D2">
        <w:t> </w:t>
      </w:r>
      <w:r w:rsidR="000E0662" w:rsidRPr="005E7C17">
        <w:t>mai</w:t>
      </w:r>
      <w:r w:rsidR="001F41D2">
        <w:t xml:space="preserve"> </w:t>
      </w:r>
      <w:r w:rsidR="00CF1084" w:rsidRPr="005E7C17">
        <w:t>201</w:t>
      </w:r>
      <w:r w:rsidR="000E0662" w:rsidRPr="005E7C17">
        <w:t>3</w:t>
      </w:r>
      <w:r w:rsidR="00CF1084" w:rsidRPr="005E7C17">
        <w:t>.</w:t>
      </w:r>
    </w:p>
    <w:p w:rsidR="00C42042" w:rsidRPr="005E7C17" w:rsidRDefault="00C42042" w:rsidP="00A23745">
      <w:pPr>
        <w:pStyle w:val="PS"/>
        <w:spacing w:after="120"/>
      </w:pPr>
      <w:r w:rsidRPr="005E7C17">
        <w:rPr>
          <w:u w:val="single"/>
        </w:rPr>
        <w:t xml:space="preserve">Article </w:t>
      </w:r>
      <w:r>
        <w:rPr>
          <w:u w:val="single"/>
        </w:rPr>
        <w:t>2</w:t>
      </w:r>
      <w:r w:rsidRPr="00045871">
        <w:t xml:space="preserve"> </w:t>
      </w:r>
      <w:r w:rsidRPr="005E7C17">
        <w:t>: M. </w:t>
      </w:r>
      <w:r w:rsidR="00D7789D">
        <w:t>X</w:t>
      </w:r>
      <w:r>
        <w:t xml:space="preserve"> est déchargé de sa gestion au titre des exercices 2007 et 2008.</w:t>
      </w:r>
    </w:p>
    <w:p w:rsidR="007C5B86" w:rsidRPr="005E7C17" w:rsidRDefault="00344506" w:rsidP="00344506">
      <w:pPr>
        <w:pStyle w:val="PS"/>
        <w:ind w:firstLine="0"/>
        <w:jc w:val="center"/>
      </w:pPr>
      <w:r w:rsidRPr="005E7C17">
        <w:t>----------</w:t>
      </w:r>
    </w:p>
    <w:p w:rsidR="00C46861" w:rsidRDefault="00C46861" w:rsidP="00C46861">
      <w:pPr>
        <w:pStyle w:val="PS"/>
      </w:pPr>
      <w:r>
        <w:t>Fait et jugé à la Cour des comptes, septième chambre, troisième section, le</w:t>
      </w:r>
      <w:r w:rsidR="009A2E87">
        <w:t xml:space="preserve"> </w:t>
      </w:r>
      <w:r w:rsidR="0026552F">
        <w:t>dix-neuf février</w:t>
      </w:r>
      <w:r>
        <w:t xml:space="preserve"> deux</w:t>
      </w:r>
      <w:r w:rsidR="00DF553A">
        <w:t xml:space="preserve"> </w:t>
      </w:r>
      <w:r>
        <w:t>mil</w:t>
      </w:r>
      <w:r w:rsidR="00DF553A">
        <w:t xml:space="preserve"> </w:t>
      </w:r>
      <w:r w:rsidR="0026552F">
        <w:t>quatorze</w:t>
      </w:r>
      <w:r>
        <w:t>. Présents : M.</w:t>
      </w:r>
      <w:r w:rsidR="00976F69">
        <w:t> </w:t>
      </w:r>
      <w:r>
        <w:t>Guédon, président de section, président de séance, MM.</w:t>
      </w:r>
      <w:r w:rsidR="001F41D2">
        <w:t> </w:t>
      </w:r>
      <w:r w:rsidR="0096474E">
        <w:t xml:space="preserve">Gautier, Ravier, Castex, Le Mer, Aulin, </w:t>
      </w:r>
      <w:r>
        <w:t>Basset</w:t>
      </w:r>
      <w:r w:rsidR="0096474E">
        <w:t xml:space="preserve"> et M</w:t>
      </w:r>
      <w:r w:rsidR="0096474E" w:rsidRPr="009A2E87">
        <w:rPr>
          <w:vertAlign w:val="superscript"/>
        </w:rPr>
        <w:t>me</w:t>
      </w:r>
      <w:r w:rsidR="00DF553A">
        <w:t> </w:t>
      </w:r>
      <w:r w:rsidR="0096474E">
        <w:t>Coudurier</w:t>
      </w:r>
      <w:r>
        <w:t>, conseillers maîtres.</w:t>
      </w:r>
    </w:p>
    <w:p w:rsidR="00226942" w:rsidRDefault="00226942" w:rsidP="00226942">
      <w:pPr>
        <w:pStyle w:val="PS"/>
      </w:pPr>
      <w:r>
        <w:t xml:space="preserve">Signé : </w:t>
      </w:r>
      <w:r w:rsidR="00704FA4">
        <w:t>Guédon</w:t>
      </w:r>
      <w:r>
        <w:t>,</w:t>
      </w:r>
      <w:r w:rsidR="0042357A">
        <w:t xml:space="preserve"> </w:t>
      </w:r>
      <w:r>
        <w:t>président</w:t>
      </w:r>
      <w:r w:rsidR="001F41D2">
        <w:t xml:space="preserve"> de section</w:t>
      </w:r>
      <w:r>
        <w:t xml:space="preserve">, et </w:t>
      </w:r>
      <w:r w:rsidR="00C81B67">
        <w:t>Le Baron</w:t>
      </w:r>
      <w:r>
        <w:t>,</w:t>
      </w:r>
      <w:r w:rsidR="00B0549E">
        <w:t xml:space="preserve"> </w:t>
      </w:r>
      <w:r>
        <w:t>greffier.</w:t>
      </w:r>
    </w:p>
    <w:p w:rsidR="00226942" w:rsidRPr="006D6569" w:rsidRDefault="00226942" w:rsidP="00226942">
      <w:pPr>
        <w:pStyle w:val="PS"/>
        <w:spacing w:after="360"/>
      </w:pPr>
      <w:r w:rsidRPr="006D6569">
        <w:t>Collationné, certifié conforme à la minute étant au greffe de la Cour des comptes.</w:t>
      </w:r>
    </w:p>
    <w:p w:rsidR="00226942" w:rsidRDefault="00226942" w:rsidP="00226942">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226942" w:rsidRPr="0007430D" w:rsidRDefault="00226942" w:rsidP="00226942">
      <w:pPr>
        <w:pStyle w:val="PS"/>
      </w:pPr>
      <w:r w:rsidRPr="0007430D">
        <w:t>Délivré par moi, secrétaire général.</w:t>
      </w:r>
    </w:p>
    <w:p w:rsidR="00226942" w:rsidRDefault="00226942" w:rsidP="00E83716">
      <w:pPr>
        <w:pStyle w:val="P0"/>
        <w:spacing w:before="120"/>
        <w:ind w:left="0" w:firstLine="5103"/>
        <w:jc w:val="center"/>
        <w:rPr>
          <w:b/>
        </w:rPr>
      </w:pPr>
      <w:r>
        <w:rPr>
          <w:b/>
        </w:rPr>
        <w:t xml:space="preserve">Pour le </w:t>
      </w:r>
      <w:r w:rsidR="00E83716">
        <w:rPr>
          <w:b/>
        </w:rPr>
        <w:t>s</w:t>
      </w:r>
      <w:r>
        <w:rPr>
          <w:b/>
        </w:rPr>
        <w:t>ecrétaire général</w:t>
      </w:r>
      <w:r w:rsidR="00E83716">
        <w:rPr>
          <w:b/>
        </w:rPr>
        <w:t>,</w:t>
      </w:r>
    </w:p>
    <w:p w:rsidR="00226942" w:rsidRDefault="00226942" w:rsidP="00E83716">
      <w:pPr>
        <w:pStyle w:val="P0"/>
        <w:ind w:left="0" w:firstLine="5103"/>
        <w:jc w:val="center"/>
        <w:rPr>
          <w:b/>
        </w:rPr>
      </w:pPr>
      <w:r>
        <w:rPr>
          <w:b/>
        </w:rPr>
        <w:t>et par délégation,</w:t>
      </w:r>
      <w:r w:rsidR="00E83716">
        <w:rPr>
          <w:b/>
        </w:rPr>
        <w:t xml:space="preserve"> la greffière princiaple</w:t>
      </w:r>
    </w:p>
    <w:p w:rsidR="00226942" w:rsidRDefault="00E83716" w:rsidP="00E83716">
      <w:pPr>
        <w:pStyle w:val="P0"/>
        <w:ind w:left="0" w:firstLine="5103"/>
        <w:jc w:val="center"/>
        <w:rPr>
          <w:b/>
        </w:rPr>
      </w:pPr>
      <w:r>
        <w:rPr>
          <w:b/>
        </w:rPr>
        <w:t>Chef du greffe du greffe de la cour des comptes</w:t>
      </w:r>
    </w:p>
    <w:p w:rsidR="00226942" w:rsidRDefault="00226942" w:rsidP="00E83716">
      <w:pPr>
        <w:pStyle w:val="P0"/>
        <w:ind w:left="0" w:firstLine="5103"/>
        <w:jc w:val="center"/>
        <w:rPr>
          <w:b/>
        </w:rPr>
      </w:pPr>
    </w:p>
    <w:p w:rsidR="00FE383E" w:rsidRDefault="00FE383E" w:rsidP="00E83716">
      <w:pPr>
        <w:pStyle w:val="P0"/>
        <w:ind w:left="0" w:firstLine="5103"/>
        <w:jc w:val="center"/>
        <w:rPr>
          <w:b/>
        </w:rPr>
      </w:pPr>
    </w:p>
    <w:p w:rsidR="00E83716" w:rsidRDefault="00E83716" w:rsidP="00E83716">
      <w:pPr>
        <w:pStyle w:val="P0"/>
        <w:ind w:left="0" w:firstLine="5103"/>
        <w:jc w:val="center"/>
        <w:rPr>
          <w:b/>
        </w:rPr>
      </w:pPr>
    </w:p>
    <w:p w:rsidR="00E83716" w:rsidRDefault="00E83716" w:rsidP="00E83716">
      <w:pPr>
        <w:pStyle w:val="P0"/>
        <w:ind w:left="0" w:firstLine="5103"/>
        <w:jc w:val="center"/>
        <w:rPr>
          <w:b/>
        </w:rPr>
      </w:pPr>
    </w:p>
    <w:p w:rsidR="00226942" w:rsidRDefault="00226942" w:rsidP="00E83716">
      <w:pPr>
        <w:pStyle w:val="P0"/>
        <w:ind w:left="0" w:firstLine="5103"/>
        <w:jc w:val="center"/>
        <w:rPr>
          <w:b/>
        </w:rPr>
      </w:pPr>
    </w:p>
    <w:p w:rsidR="00226942" w:rsidRDefault="00E83716" w:rsidP="00E83716">
      <w:pPr>
        <w:pStyle w:val="P0"/>
        <w:ind w:left="0" w:firstLine="5103"/>
        <w:jc w:val="center"/>
        <w:rPr>
          <w:b/>
        </w:rPr>
      </w:pPr>
      <w:r>
        <w:rPr>
          <w:b/>
        </w:rPr>
        <w:t>Florence BIOT</w:t>
      </w:r>
      <w:bookmarkEnd w:id="0"/>
    </w:p>
    <w:sectPr w:rsidR="00226942" w:rsidSect="00984269">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A9" w:rsidRDefault="009B5DA9">
      <w:r>
        <w:separator/>
      </w:r>
    </w:p>
  </w:endnote>
  <w:endnote w:type="continuationSeparator" w:id="0">
    <w:p w:rsidR="009B5DA9" w:rsidRDefault="009B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A9" w:rsidRDefault="009B5DA9">
      <w:r>
        <w:separator/>
      </w:r>
    </w:p>
  </w:footnote>
  <w:footnote w:type="continuationSeparator" w:id="0">
    <w:p w:rsidR="009B5DA9" w:rsidRDefault="009B5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44125">
      <w:rPr>
        <w:rFonts w:ascii="CG Times (WN)" w:hAnsi="CG Times (WN)"/>
        <w:noProof/>
        <w:sz w:val="24"/>
      </w:rPr>
      <w:t>7</w:t>
    </w:r>
    <w:r>
      <w:rPr>
        <w:rFonts w:ascii="CG Times (WN)" w:hAnsi="CG Times (WN)"/>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69" w:rsidRDefault="009842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5">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6">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7">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59AF6422"/>
    <w:multiLevelType w:val="hybridMultilevel"/>
    <w:tmpl w:val="D3121A2C"/>
    <w:lvl w:ilvl="0" w:tplc="097413CC">
      <w:start w:val="1"/>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9">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BDD2537"/>
    <w:multiLevelType w:val="hybridMultilevel"/>
    <w:tmpl w:val="8D2A008A"/>
    <w:lvl w:ilvl="0" w:tplc="303245F8">
      <w:start w:val="1"/>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9"/>
  </w:num>
  <w:num w:numId="6">
    <w:abstractNumId w:val="3"/>
  </w:num>
  <w:num w:numId="7">
    <w:abstractNumId w:val="6"/>
  </w:num>
  <w:num w:numId="8">
    <w:abstractNumId w:val="4"/>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04B6C"/>
    <w:rsid w:val="00004F45"/>
    <w:rsid w:val="00013816"/>
    <w:rsid w:val="00017EBE"/>
    <w:rsid w:val="0004047D"/>
    <w:rsid w:val="00053775"/>
    <w:rsid w:val="00053C9B"/>
    <w:rsid w:val="00064C3F"/>
    <w:rsid w:val="00071A6F"/>
    <w:rsid w:val="000A2D71"/>
    <w:rsid w:val="000C1EB8"/>
    <w:rsid w:val="000C6800"/>
    <w:rsid w:val="000D0433"/>
    <w:rsid w:val="000D0A1A"/>
    <w:rsid w:val="000D77DE"/>
    <w:rsid w:val="000E0662"/>
    <w:rsid w:val="000F0FF7"/>
    <w:rsid w:val="00123C7E"/>
    <w:rsid w:val="001372CC"/>
    <w:rsid w:val="00142BC9"/>
    <w:rsid w:val="00195CA9"/>
    <w:rsid w:val="00196592"/>
    <w:rsid w:val="001A1EE9"/>
    <w:rsid w:val="001A200A"/>
    <w:rsid w:val="001A7BC7"/>
    <w:rsid w:val="001D1A68"/>
    <w:rsid w:val="001D79AB"/>
    <w:rsid w:val="001F41D2"/>
    <w:rsid w:val="00215F05"/>
    <w:rsid w:val="0022185E"/>
    <w:rsid w:val="00223239"/>
    <w:rsid w:val="00226942"/>
    <w:rsid w:val="00232156"/>
    <w:rsid w:val="00242878"/>
    <w:rsid w:val="00250215"/>
    <w:rsid w:val="0026552F"/>
    <w:rsid w:val="002679B2"/>
    <w:rsid w:val="00291F45"/>
    <w:rsid w:val="00294466"/>
    <w:rsid w:val="00296B86"/>
    <w:rsid w:val="002976F6"/>
    <w:rsid w:val="002C07D8"/>
    <w:rsid w:val="002C7329"/>
    <w:rsid w:val="002D5CDC"/>
    <w:rsid w:val="002D682B"/>
    <w:rsid w:val="002E10F4"/>
    <w:rsid w:val="002E61EA"/>
    <w:rsid w:val="002F79A6"/>
    <w:rsid w:val="003026E8"/>
    <w:rsid w:val="00315905"/>
    <w:rsid w:val="003273B9"/>
    <w:rsid w:val="00344506"/>
    <w:rsid w:val="003446B6"/>
    <w:rsid w:val="00373F10"/>
    <w:rsid w:val="0038403E"/>
    <w:rsid w:val="003932E3"/>
    <w:rsid w:val="003A76C7"/>
    <w:rsid w:val="003A7D23"/>
    <w:rsid w:val="003C3D9C"/>
    <w:rsid w:val="003D0637"/>
    <w:rsid w:val="003D169C"/>
    <w:rsid w:val="003F0AB8"/>
    <w:rsid w:val="00405406"/>
    <w:rsid w:val="004134EA"/>
    <w:rsid w:val="0042357A"/>
    <w:rsid w:val="00433DA1"/>
    <w:rsid w:val="00460733"/>
    <w:rsid w:val="004714EE"/>
    <w:rsid w:val="00493CAB"/>
    <w:rsid w:val="004A20FE"/>
    <w:rsid w:val="004A6520"/>
    <w:rsid w:val="004B3031"/>
    <w:rsid w:val="004B68DF"/>
    <w:rsid w:val="004C2432"/>
    <w:rsid w:val="004D65E6"/>
    <w:rsid w:val="004E2072"/>
    <w:rsid w:val="004F5BC3"/>
    <w:rsid w:val="005039FE"/>
    <w:rsid w:val="00505AA3"/>
    <w:rsid w:val="005076D8"/>
    <w:rsid w:val="00511713"/>
    <w:rsid w:val="005210B5"/>
    <w:rsid w:val="00550387"/>
    <w:rsid w:val="00551273"/>
    <w:rsid w:val="0056359F"/>
    <w:rsid w:val="005A43C4"/>
    <w:rsid w:val="005A4F5A"/>
    <w:rsid w:val="005A7186"/>
    <w:rsid w:val="005B55AC"/>
    <w:rsid w:val="005C6717"/>
    <w:rsid w:val="005D5F28"/>
    <w:rsid w:val="005E7C17"/>
    <w:rsid w:val="005F4BC8"/>
    <w:rsid w:val="00610D12"/>
    <w:rsid w:val="00610E8F"/>
    <w:rsid w:val="006239CE"/>
    <w:rsid w:val="0064007E"/>
    <w:rsid w:val="006512C8"/>
    <w:rsid w:val="006C1E09"/>
    <w:rsid w:val="006D02B3"/>
    <w:rsid w:val="006E06E5"/>
    <w:rsid w:val="006F2C76"/>
    <w:rsid w:val="006F5676"/>
    <w:rsid w:val="006F7016"/>
    <w:rsid w:val="00700C72"/>
    <w:rsid w:val="00704FA4"/>
    <w:rsid w:val="007377F7"/>
    <w:rsid w:val="00742A15"/>
    <w:rsid w:val="00753C98"/>
    <w:rsid w:val="007830E9"/>
    <w:rsid w:val="00787FEC"/>
    <w:rsid w:val="007966B3"/>
    <w:rsid w:val="007A19BA"/>
    <w:rsid w:val="007A43BC"/>
    <w:rsid w:val="007B01DF"/>
    <w:rsid w:val="007C5A15"/>
    <w:rsid w:val="007C5B86"/>
    <w:rsid w:val="007E23E6"/>
    <w:rsid w:val="007F4F52"/>
    <w:rsid w:val="00817CCE"/>
    <w:rsid w:val="00826858"/>
    <w:rsid w:val="00846E9D"/>
    <w:rsid w:val="00846F70"/>
    <w:rsid w:val="00880B3D"/>
    <w:rsid w:val="00886555"/>
    <w:rsid w:val="00886CD7"/>
    <w:rsid w:val="008947D0"/>
    <w:rsid w:val="008B4262"/>
    <w:rsid w:val="008C0ACB"/>
    <w:rsid w:val="008D3C04"/>
    <w:rsid w:val="008E03A0"/>
    <w:rsid w:val="00921B9E"/>
    <w:rsid w:val="009475BB"/>
    <w:rsid w:val="00947BD9"/>
    <w:rsid w:val="009630FA"/>
    <w:rsid w:val="0096474E"/>
    <w:rsid w:val="00976F69"/>
    <w:rsid w:val="00981705"/>
    <w:rsid w:val="00984269"/>
    <w:rsid w:val="009A2E87"/>
    <w:rsid w:val="009B5DA9"/>
    <w:rsid w:val="009C5F72"/>
    <w:rsid w:val="009C7348"/>
    <w:rsid w:val="009D0F64"/>
    <w:rsid w:val="009D7D7B"/>
    <w:rsid w:val="00A05FBC"/>
    <w:rsid w:val="00A23745"/>
    <w:rsid w:val="00A26EDA"/>
    <w:rsid w:val="00A34F4A"/>
    <w:rsid w:val="00A42BE4"/>
    <w:rsid w:val="00A51998"/>
    <w:rsid w:val="00A52884"/>
    <w:rsid w:val="00A529C4"/>
    <w:rsid w:val="00A66450"/>
    <w:rsid w:val="00A97C37"/>
    <w:rsid w:val="00AA5E25"/>
    <w:rsid w:val="00AA72F5"/>
    <w:rsid w:val="00AB5DA7"/>
    <w:rsid w:val="00AC1AEB"/>
    <w:rsid w:val="00AC2FA3"/>
    <w:rsid w:val="00AD2F4C"/>
    <w:rsid w:val="00AD605A"/>
    <w:rsid w:val="00AD7084"/>
    <w:rsid w:val="00AF273B"/>
    <w:rsid w:val="00AF4129"/>
    <w:rsid w:val="00B007A2"/>
    <w:rsid w:val="00B035A4"/>
    <w:rsid w:val="00B0549E"/>
    <w:rsid w:val="00B52420"/>
    <w:rsid w:val="00B5733C"/>
    <w:rsid w:val="00B60511"/>
    <w:rsid w:val="00B614AA"/>
    <w:rsid w:val="00B621EF"/>
    <w:rsid w:val="00B83386"/>
    <w:rsid w:val="00B85AAE"/>
    <w:rsid w:val="00B86D3B"/>
    <w:rsid w:val="00B91670"/>
    <w:rsid w:val="00B96E50"/>
    <w:rsid w:val="00BA3279"/>
    <w:rsid w:val="00BC0365"/>
    <w:rsid w:val="00BC4D65"/>
    <w:rsid w:val="00BC76EA"/>
    <w:rsid w:val="00BD399C"/>
    <w:rsid w:val="00BE01DD"/>
    <w:rsid w:val="00BE5ECB"/>
    <w:rsid w:val="00C252B3"/>
    <w:rsid w:val="00C25BCA"/>
    <w:rsid w:val="00C25FE9"/>
    <w:rsid w:val="00C4154E"/>
    <w:rsid w:val="00C42042"/>
    <w:rsid w:val="00C44BBE"/>
    <w:rsid w:val="00C46861"/>
    <w:rsid w:val="00C47D08"/>
    <w:rsid w:val="00C65C3C"/>
    <w:rsid w:val="00C81B67"/>
    <w:rsid w:val="00C8546E"/>
    <w:rsid w:val="00C875CB"/>
    <w:rsid w:val="00C934AB"/>
    <w:rsid w:val="00CB0527"/>
    <w:rsid w:val="00CB290A"/>
    <w:rsid w:val="00CD27D3"/>
    <w:rsid w:val="00CE0423"/>
    <w:rsid w:val="00CE7CC2"/>
    <w:rsid w:val="00CF1084"/>
    <w:rsid w:val="00D04371"/>
    <w:rsid w:val="00D20AB2"/>
    <w:rsid w:val="00D34D63"/>
    <w:rsid w:val="00D7789D"/>
    <w:rsid w:val="00DD3B87"/>
    <w:rsid w:val="00DE51FF"/>
    <w:rsid w:val="00DF553A"/>
    <w:rsid w:val="00DF575C"/>
    <w:rsid w:val="00E060AA"/>
    <w:rsid w:val="00E124AF"/>
    <w:rsid w:val="00E132B6"/>
    <w:rsid w:val="00E23395"/>
    <w:rsid w:val="00E31294"/>
    <w:rsid w:val="00E47C09"/>
    <w:rsid w:val="00E56C19"/>
    <w:rsid w:val="00E72E38"/>
    <w:rsid w:val="00E76F2B"/>
    <w:rsid w:val="00E823A2"/>
    <w:rsid w:val="00E83716"/>
    <w:rsid w:val="00E93A07"/>
    <w:rsid w:val="00EA3CC6"/>
    <w:rsid w:val="00EB77A7"/>
    <w:rsid w:val="00EC3418"/>
    <w:rsid w:val="00EC5BAC"/>
    <w:rsid w:val="00EC5D3E"/>
    <w:rsid w:val="00ED696F"/>
    <w:rsid w:val="00EE02F3"/>
    <w:rsid w:val="00EE3112"/>
    <w:rsid w:val="00F06591"/>
    <w:rsid w:val="00F12BC0"/>
    <w:rsid w:val="00F31076"/>
    <w:rsid w:val="00F33E17"/>
    <w:rsid w:val="00F359DB"/>
    <w:rsid w:val="00F44125"/>
    <w:rsid w:val="00F60949"/>
    <w:rsid w:val="00F64A07"/>
    <w:rsid w:val="00F66E50"/>
    <w:rsid w:val="00F94E8E"/>
    <w:rsid w:val="00FA073F"/>
    <w:rsid w:val="00FA4E15"/>
    <w:rsid w:val="00FA57C6"/>
    <w:rsid w:val="00FA76F2"/>
    <w:rsid w:val="00FC2265"/>
    <w:rsid w:val="00FC7CDC"/>
    <w:rsid w:val="00FD0045"/>
    <w:rsid w:val="00FD09D2"/>
    <w:rsid w:val="00FD4610"/>
    <w:rsid w:val="00FE383E"/>
    <w:rsid w:val="00FE7647"/>
    <w:rsid w:val="00FE7DD0"/>
    <w:rsid w:val="00FF66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unhideWhenUsed/>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semiHidden/>
    <w:unhideWhenUsed/>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123C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10606">
      <w:bodyDiv w:val="1"/>
      <w:marLeft w:val="0"/>
      <w:marRight w:val="0"/>
      <w:marTop w:val="0"/>
      <w:marBottom w:val="0"/>
      <w:divBdr>
        <w:top w:val="none" w:sz="0" w:space="0" w:color="auto"/>
        <w:left w:val="none" w:sz="0" w:space="0" w:color="auto"/>
        <w:bottom w:val="none" w:sz="0" w:space="0" w:color="auto"/>
        <w:right w:val="none" w:sz="0" w:space="0" w:color="auto"/>
      </w:divBdr>
    </w:div>
    <w:div w:id="15907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6C-9D7F-427A-BEAF-AC24ADFD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25</TotalTime>
  <Pages>7</Pages>
  <Words>2288</Words>
  <Characters>12587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5</cp:revision>
  <cp:lastPrinted>2014-03-25T13:24:00Z</cp:lastPrinted>
  <dcterms:created xsi:type="dcterms:W3CDTF">2014-11-17T14:02:00Z</dcterms:created>
  <dcterms:modified xsi:type="dcterms:W3CDTF">2014-12-02T15:53:00Z</dcterms:modified>
</cp:coreProperties>
</file>