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497" w:type="dxa"/>
        <w:tblLayout w:type="fixed"/>
        <w:tblCellMar>
          <w:left w:w="70" w:type="dxa"/>
          <w:right w:w="70" w:type="dxa"/>
        </w:tblCellMar>
        <w:tblLook w:val="0000" w:firstRow="0" w:lastRow="0" w:firstColumn="0" w:lastColumn="0" w:noHBand="0" w:noVBand="0"/>
      </w:tblPr>
      <w:tblGrid>
        <w:gridCol w:w="3402"/>
        <w:gridCol w:w="2410"/>
        <w:gridCol w:w="4394"/>
      </w:tblGrid>
      <w:tr w:rsidR="006B4B77" w:rsidTr="006626E5">
        <w:tc>
          <w:tcPr>
            <w:tcW w:w="3402" w:type="dxa"/>
            <w:vAlign w:val="center"/>
          </w:tcPr>
          <w:p w:rsidR="006B4B77" w:rsidRDefault="006B4B77" w:rsidP="005A7CA3">
            <w:pPr>
              <w:pStyle w:val="1pageCour"/>
            </w:pPr>
            <w:r>
              <w:t>Cour des comptes</w:t>
            </w:r>
          </w:p>
        </w:tc>
        <w:tc>
          <w:tcPr>
            <w:tcW w:w="2410" w:type="dxa"/>
            <w:vAlign w:val="center"/>
          </w:tcPr>
          <w:p w:rsidR="006B4B77" w:rsidRDefault="006B4B77" w:rsidP="005A7CA3">
            <w:pPr>
              <w:pStyle w:val="1pageCour"/>
            </w:pPr>
          </w:p>
        </w:tc>
        <w:tc>
          <w:tcPr>
            <w:tcW w:w="4394" w:type="dxa"/>
            <w:vAlign w:val="center"/>
          </w:tcPr>
          <w:p w:rsidR="006B4B77" w:rsidRDefault="006B4B77" w:rsidP="005A7CA3">
            <w:pPr>
              <w:pStyle w:val="1pageCour"/>
            </w:pPr>
          </w:p>
        </w:tc>
      </w:tr>
      <w:tr w:rsidR="006B4B77" w:rsidRPr="00C176ED" w:rsidTr="006626E5">
        <w:tc>
          <w:tcPr>
            <w:tcW w:w="3402" w:type="dxa"/>
            <w:vAlign w:val="center"/>
          </w:tcPr>
          <w:p w:rsidR="006B4B77" w:rsidRPr="00C176ED" w:rsidRDefault="006B4B77" w:rsidP="005A7CA3">
            <w:pPr>
              <w:pStyle w:val="1pageCour"/>
              <w:rPr>
                <w:sz w:val="16"/>
                <w:szCs w:val="16"/>
              </w:rPr>
            </w:pPr>
            <w:r w:rsidRPr="00C176ED">
              <w:rPr>
                <w:sz w:val="16"/>
                <w:szCs w:val="16"/>
              </w:rPr>
              <w:t>----------</w:t>
            </w:r>
          </w:p>
        </w:tc>
        <w:tc>
          <w:tcPr>
            <w:tcW w:w="2410" w:type="dxa"/>
            <w:vAlign w:val="center"/>
          </w:tcPr>
          <w:p w:rsidR="006B4B77" w:rsidRPr="00C176ED" w:rsidRDefault="006B4B77" w:rsidP="005A7CA3">
            <w:pPr>
              <w:pStyle w:val="1pageCour"/>
              <w:rPr>
                <w:sz w:val="16"/>
                <w:szCs w:val="16"/>
              </w:rPr>
            </w:pPr>
          </w:p>
        </w:tc>
        <w:tc>
          <w:tcPr>
            <w:tcW w:w="4394" w:type="dxa"/>
            <w:vAlign w:val="center"/>
          </w:tcPr>
          <w:p w:rsidR="006B4B77" w:rsidRPr="00C176ED" w:rsidRDefault="006B4B77" w:rsidP="005A7CA3">
            <w:pPr>
              <w:pStyle w:val="1pageCour"/>
              <w:rPr>
                <w:sz w:val="16"/>
                <w:szCs w:val="16"/>
              </w:rPr>
            </w:pPr>
          </w:p>
        </w:tc>
      </w:tr>
      <w:tr w:rsidR="006B4B77" w:rsidTr="006626E5">
        <w:trPr>
          <w:trHeight w:val="356"/>
        </w:trPr>
        <w:tc>
          <w:tcPr>
            <w:tcW w:w="3402" w:type="dxa"/>
            <w:vAlign w:val="center"/>
          </w:tcPr>
          <w:p w:rsidR="006B4B77" w:rsidRDefault="008151AC" w:rsidP="005A7CA3">
            <w:pPr>
              <w:pStyle w:val="1pageChambre"/>
            </w:pPr>
            <w:r>
              <w:t xml:space="preserve">Troisième </w:t>
            </w:r>
            <w:r w:rsidR="00EF23B5">
              <w:t>chambre</w:t>
            </w:r>
          </w:p>
        </w:tc>
        <w:tc>
          <w:tcPr>
            <w:tcW w:w="2410" w:type="dxa"/>
            <w:vAlign w:val="center"/>
          </w:tcPr>
          <w:p w:rsidR="006B4B77" w:rsidRDefault="006B4B77" w:rsidP="005A7CA3">
            <w:pPr>
              <w:pStyle w:val="1pageChambre"/>
            </w:pPr>
          </w:p>
        </w:tc>
        <w:tc>
          <w:tcPr>
            <w:tcW w:w="4394" w:type="dxa"/>
            <w:vAlign w:val="center"/>
          </w:tcPr>
          <w:p w:rsidR="006B4B77" w:rsidRDefault="006B4B77" w:rsidP="005A7CA3">
            <w:pPr>
              <w:pStyle w:val="1pageChambre"/>
            </w:pPr>
          </w:p>
        </w:tc>
      </w:tr>
      <w:tr w:rsidR="00C176ED" w:rsidRPr="00C176ED" w:rsidTr="006626E5">
        <w:tc>
          <w:tcPr>
            <w:tcW w:w="3402" w:type="dxa"/>
            <w:vAlign w:val="center"/>
          </w:tcPr>
          <w:p w:rsidR="00C176ED" w:rsidRPr="00C176ED" w:rsidRDefault="00C176ED" w:rsidP="005A7CA3">
            <w:pPr>
              <w:pStyle w:val="1pageCour"/>
              <w:rPr>
                <w:sz w:val="16"/>
                <w:szCs w:val="16"/>
              </w:rPr>
            </w:pPr>
            <w:r w:rsidRPr="00C176ED">
              <w:rPr>
                <w:sz w:val="16"/>
                <w:szCs w:val="16"/>
              </w:rPr>
              <w:t>----------</w:t>
            </w:r>
          </w:p>
        </w:tc>
        <w:tc>
          <w:tcPr>
            <w:tcW w:w="2410" w:type="dxa"/>
            <w:vAlign w:val="center"/>
          </w:tcPr>
          <w:p w:rsidR="00C176ED" w:rsidRPr="00C176ED" w:rsidRDefault="00C176ED" w:rsidP="005A7CA3">
            <w:pPr>
              <w:pStyle w:val="1pageCour"/>
              <w:rPr>
                <w:sz w:val="16"/>
                <w:szCs w:val="16"/>
              </w:rPr>
            </w:pPr>
          </w:p>
        </w:tc>
        <w:tc>
          <w:tcPr>
            <w:tcW w:w="4394" w:type="dxa"/>
            <w:vAlign w:val="center"/>
          </w:tcPr>
          <w:p w:rsidR="00C176ED" w:rsidRPr="00C176ED" w:rsidRDefault="00C176ED" w:rsidP="005A7CA3">
            <w:pPr>
              <w:pStyle w:val="1pageCour"/>
              <w:rPr>
                <w:sz w:val="16"/>
                <w:szCs w:val="16"/>
              </w:rPr>
            </w:pPr>
          </w:p>
        </w:tc>
      </w:tr>
      <w:tr w:rsidR="00EF23B5" w:rsidRPr="00BE69A2" w:rsidTr="006626E5">
        <w:tc>
          <w:tcPr>
            <w:tcW w:w="3402" w:type="dxa"/>
            <w:vAlign w:val="center"/>
          </w:tcPr>
          <w:p w:rsidR="00EF23B5" w:rsidRPr="00F30C3C" w:rsidRDefault="008B1693" w:rsidP="00302A1F">
            <w:pPr>
              <w:pStyle w:val="1pageChambre"/>
            </w:pPr>
            <w:r>
              <w:t>Quatrième section</w:t>
            </w:r>
          </w:p>
        </w:tc>
        <w:tc>
          <w:tcPr>
            <w:tcW w:w="2410" w:type="dxa"/>
            <w:vAlign w:val="center"/>
          </w:tcPr>
          <w:p w:rsidR="00EF23B5" w:rsidRPr="00BE69A2" w:rsidRDefault="00EF23B5" w:rsidP="00302A1F">
            <w:pPr>
              <w:pStyle w:val="1pageChambre"/>
              <w:rPr>
                <w:sz w:val="16"/>
                <w:szCs w:val="16"/>
              </w:rPr>
            </w:pPr>
          </w:p>
        </w:tc>
        <w:tc>
          <w:tcPr>
            <w:tcW w:w="4394" w:type="dxa"/>
            <w:vAlign w:val="center"/>
          </w:tcPr>
          <w:p w:rsidR="00EF23B5" w:rsidRPr="00BE69A2" w:rsidRDefault="00EF23B5" w:rsidP="00302A1F">
            <w:pPr>
              <w:pStyle w:val="1pageChambre"/>
              <w:rPr>
                <w:sz w:val="16"/>
                <w:szCs w:val="16"/>
              </w:rPr>
            </w:pPr>
          </w:p>
        </w:tc>
      </w:tr>
      <w:tr w:rsidR="00C176ED" w:rsidRPr="00C176ED" w:rsidTr="006626E5">
        <w:tc>
          <w:tcPr>
            <w:tcW w:w="3402" w:type="dxa"/>
            <w:vAlign w:val="center"/>
          </w:tcPr>
          <w:p w:rsidR="00C176ED" w:rsidRPr="00C176ED" w:rsidRDefault="00C176ED" w:rsidP="005A7CA3">
            <w:pPr>
              <w:pStyle w:val="1pageCour"/>
              <w:rPr>
                <w:sz w:val="16"/>
                <w:szCs w:val="16"/>
              </w:rPr>
            </w:pPr>
            <w:r w:rsidRPr="00C176ED">
              <w:rPr>
                <w:sz w:val="16"/>
                <w:szCs w:val="16"/>
              </w:rPr>
              <w:t>----------</w:t>
            </w:r>
          </w:p>
        </w:tc>
        <w:tc>
          <w:tcPr>
            <w:tcW w:w="2410" w:type="dxa"/>
            <w:vAlign w:val="center"/>
          </w:tcPr>
          <w:p w:rsidR="00C176ED" w:rsidRPr="00C176ED" w:rsidRDefault="00C176ED" w:rsidP="005A7CA3">
            <w:pPr>
              <w:pStyle w:val="1pageCour"/>
              <w:rPr>
                <w:sz w:val="16"/>
                <w:szCs w:val="16"/>
              </w:rPr>
            </w:pPr>
          </w:p>
        </w:tc>
        <w:tc>
          <w:tcPr>
            <w:tcW w:w="4394" w:type="dxa"/>
            <w:vAlign w:val="center"/>
          </w:tcPr>
          <w:p w:rsidR="00C176ED" w:rsidRPr="00C176ED" w:rsidRDefault="00C176ED" w:rsidP="005A7CA3">
            <w:pPr>
              <w:pStyle w:val="1pageCour"/>
              <w:rPr>
                <w:sz w:val="16"/>
                <w:szCs w:val="16"/>
              </w:rPr>
            </w:pPr>
          </w:p>
        </w:tc>
      </w:tr>
      <w:tr w:rsidR="006B4B77" w:rsidRPr="00673057" w:rsidTr="006626E5">
        <w:tc>
          <w:tcPr>
            <w:tcW w:w="3402" w:type="dxa"/>
            <w:vAlign w:val="center"/>
          </w:tcPr>
          <w:p w:rsidR="006B4B77" w:rsidRPr="006626E5" w:rsidRDefault="008B1693" w:rsidP="008B1693">
            <w:pPr>
              <w:pStyle w:val="Corpstextegauche"/>
              <w:spacing w:before="0" w:after="0"/>
              <w:jc w:val="center"/>
              <w:rPr>
                <w:i/>
                <w:sz w:val="22"/>
                <w:szCs w:val="22"/>
              </w:rPr>
            </w:pPr>
            <w:r w:rsidRPr="006626E5">
              <w:rPr>
                <w:i/>
                <w:sz w:val="22"/>
                <w:szCs w:val="22"/>
              </w:rPr>
              <w:t>Arrêt</w:t>
            </w:r>
            <w:r w:rsidR="00AB488B" w:rsidRPr="006626E5">
              <w:rPr>
                <w:i/>
                <w:sz w:val="22"/>
                <w:szCs w:val="22"/>
              </w:rPr>
              <w:t xml:space="preserve"> n°</w:t>
            </w:r>
            <w:r w:rsidR="00463F1A">
              <w:rPr>
                <w:i/>
                <w:sz w:val="22"/>
                <w:szCs w:val="22"/>
              </w:rPr>
              <w:t>69948</w:t>
            </w:r>
          </w:p>
        </w:tc>
        <w:tc>
          <w:tcPr>
            <w:tcW w:w="2410" w:type="dxa"/>
            <w:vAlign w:val="center"/>
          </w:tcPr>
          <w:p w:rsidR="006B4B77" w:rsidRPr="00673057" w:rsidRDefault="006B4B77" w:rsidP="004E2EEC">
            <w:pPr>
              <w:pStyle w:val="Corpsdetexte"/>
              <w:spacing w:before="0" w:after="0"/>
              <w:ind w:left="0" w:firstLine="0"/>
              <w:rPr>
                <w:sz w:val="22"/>
                <w:szCs w:val="22"/>
              </w:rPr>
            </w:pPr>
          </w:p>
        </w:tc>
        <w:tc>
          <w:tcPr>
            <w:tcW w:w="4394" w:type="dxa"/>
            <w:vAlign w:val="center"/>
          </w:tcPr>
          <w:p w:rsidR="006B4B77" w:rsidRPr="00673057" w:rsidRDefault="006B4B77" w:rsidP="004E2EEC">
            <w:pPr>
              <w:pStyle w:val="Corpsdetexte"/>
              <w:spacing w:before="0" w:after="0"/>
              <w:ind w:left="0" w:firstLine="0"/>
              <w:rPr>
                <w:sz w:val="22"/>
                <w:szCs w:val="22"/>
              </w:rPr>
            </w:pPr>
          </w:p>
        </w:tc>
      </w:tr>
      <w:tr w:rsidR="006B4B77" w:rsidTr="006626E5">
        <w:tc>
          <w:tcPr>
            <w:tcW w:w="3402" w:type="dxa"/>
            <w:vAlign w:val="center"/>
          </w:tcPr>
          <w:p w:rsidR="006B4B77" w:rsidRDefault="006B4B77" w:rsidP="00C176ED">
            <w:pPr>
              <w:pStyle w:val="Corpsdetexte"/>
              <w:spacing w:before="60" w:after="60"/>
              <w:ind w:left="0" w:firstLine="0"/>
              <w:jc w:val="center"/>
            </w:pPr>
          </w:p>
        </w:tc>
        <w:tc>
          <w:tcPr>
            <w:tcW w:w="2410" w:type="dxa"/>
            <w:vAlign w:val="center"/>
          </w:tcPr>
          <w:p w:rsidR="006B4B77" w:rsidRDefault="006B4B77" w:rsidP="00BE69A2">
            <w:pPr>
              <w:pStyle w:val="Corpsdetexte"/>
              <w:spacing w:before="60" w:after="60"/>
              <w:ind w:left="0" w:firstLine="0"/>
              <w:jc w:val="left"/>
            </w:pPr>
          </w:p>
        </w:tc>
        <w:tc>
          <w:tcPr>
            <w:tcW w:w="4394" w:type="dxa"/>
            <w:vAlign w:val="center"/>
          </w:tcPr>
          <w:p w:rsidR="00E71565" w:rsidRPr="00D34E4A" w:rsidRDefault="00F31567" w:rsidP="00F31567">
            <w:pPr>
              <w:pStyle w:val="Corpstextegauche"/>
              <w:jc w:val="left"/>
              <w:rPr>
                <w:caps/>
              </w:rPr>
            </w:pPr>
            <w:r w:rsidRPr="00F665FF">
              <w:rPr>
                <w:caps/>
              </w:rPr>
              <w:t>ÉTABLISSEMENT</w:t>
            </w:r>
            <w:r w:rsidR="00F665FF" w:rsidRPr="00F665FF">
              <w:rPr>
                <w:caps/>
              </w:rPr>
              <w:t xml:space="preserve"> PUBLIC DU CAMPUS DE JUSSIEU (EPCJ) DEVENU </w:t>
            </w:r>
            <w:r>
              <w:rPr>
                <w:caps/>
              </w:rPr>
              <w:t>l’</w:t>
            </w:r>
            <w:r w:rsidRPr="00F31567">
              <w:rPr>
                <w:caps/>
              </w:rPr>
              <w:t>ÉTABLISSEMENT PUBLIC D’AMÉNAGEMENT UNIVERSITAIRE DE LA RÉGION ILE</w:t>
            </w:r>
            <w:r>
              <w:rPr>
                <w:caps/>
              </w:rPr>
              <w:noBreakHyphen/>
            </w:r>
            <w:r w:rsidRPr="00F31567">
              <w:rPr>
                <w:caps/>
              </w:rPr>
              <w:t>DE-FRANCE (EPAURIF)</w:t>
            </w:r>
          </w:p>
        </w:tc>
      </w:tr>
      <w:tr w:rsidR="006B4B77" w:rsidTr="006626E5">
        <w:tc>
          <w:tcPr>
            <w:tcW w:w="3402" w:type="dxa"/>
            <w:vAlign w:val="center"/>
          </w:tcPr>
          <w:p w:rsidR="006B4B77" w:rsidRDefault="006B4B77" w:rsidP="00C176ED">
            <w:pPr>
              <w:pStyle w:val="Corpsdetexte"/>
              <w:spacing w:before="60" w:after="60"/>
              <w:ind w:left="0" w:firstLine="0"/>
              <w:jc w:val="center"/>
            </w:pPr>
          </w:p>
        </w:tc>
        <w:tc>
          <w:tcPr>
            <w:tcW w:w="2410" w:type="dxa"/>
            <w:vAlign w:val="center"/>
          </w:tcPr>
          <w:p w:rsidR="006B4B77" w:rsidRDefault="006B4B77" w:rsidP="00BE69A2">
            <w:pPr>
              <w:pStyle w:val="Corpsdetexte"/>
              <w:spacing w:before="60" w:after="60"/>
              <w:ind w:left="0" w:firstLine="0"/>
              <w:jc w:val="left"/>
            </w:pPr>
          </w:p>
        </w:tc>
        <w:tc>
          <w:tcPr>
            <w:tcW w:w="4394" w:type="dxa"/>
            <w:vAlign w:val="center"/>
          </w:tcPr>
          <w:p w:rsidR="006B4B77" w:rsidRPr="0042795F" w:rsidRDefault="002A3835" w:rsidP="0042795F">
            <w:pPr>
              <w:pStyle w:val="Corpstextegauche"/>
            </w:pPr>
            <w:r w:rsidRPr="0042795F">
              <w:t>Exercices</w:t>
            </w:r>
            <w:r w:rsidR="00F665FF" w:rsidRPr="0042795F">
              <w:t xml:space="preserve"> </w:t>
            </w:r>
            <w:r w:rsidR="0042795F" w:rsidRPr="0042795F">
              <w:t xml:space="preserve">2006 </w:t>
            </w:r>
            <w:r w:rsidR="00F665FF" w:rsidRPr="0042795F">
              <w:t>à 2009</w:t>
            </w:r>
          </w:p>
        </w:tc>
      </w:tr>
      <w:tr w:rsidR="005E5571" w:rsidTr="006626E5">
        <w:tc>
          <w:tcPr>
            <w:tcW w:w="3402" w:type="dxa"/>
            <w:vAlign w:val="center"/>
          </w:tcPr>
          <w:p w:rsidR="005E5571" w:rsidRDefault="005E5571" w:rsidP="00C176ED">
            <w:pPr>
              <w:pStyle w:val="Corpsdetexte"/>
              <w:spacing w:before="60" w:after="60"/>
              <w:ind w:left="0" w:firstLine="0"/>
              <w:jc w:val="center"/>
            </w:pPr>
          </w:p>
        </w:tc>
        <w:tc>
          <w:tcPr>
            <w:tcW w:w="2410" w:type="dxa"/>
            <w:vAlign w:val="center"/>
          </w:tcPr>
          <w:p w:rsidR="005E5571" w:rsidRDefault="005E5571" w:rsidP="00BE69A2">
            <w:pPr>
              <w:pStyle w:val="Corpsdetexte"/>
              <w:spacing w:before="60" w:after="60"/>
              <w:ind w:left="0" w:firstLine="0"/>
              <w:jc w:val="left"/>
            </w:pPr>
          </w:p>
        </w:tc>
        <w:tc>
          <w:tcPr>
            <w:tcW w:w="4394" w:type="dxa"/>
            <w:vAlign w:val="center"/>
          </w:tcPr>
          <w:p w:rsidR="005E5571" w:rsidRDefault="002A3835" w:rsidP="00C176ED">
            <w:pPr>
              <w:pStyle w:val="Corpstextegauche"/>
            </w:pPr>
            <w:r>
              <w:t>Rapport n°</w:t>
            </w:r>
            <w:r w:rsidR="00F665FF">
              <w:t> 2013-692-0</w:t>
            </w:r>
          </w:p>
        </w:tc>
      </w:tr>
      <w:tr w:rsidR="006B4B77" w:rsidTr="006626E5">
        <w:tc>
          <w:tcPr>
            <w:tcW w:w="3402" w:type="dxa"/>
            <w:vAlign w:val="center"/>
          </w:tcPr>
          <w:p w:rsidR="006B4B77" w:rsidRDefault="006B4B77" w:rsidP="00C176ED">
            <w:pPr>
              <w:pStyle w:val="Corpsdetexte"/>
              <w:spacing w:before="60" w:after="60"/>
              <w:ind w:left="0" w:firstLine="0"/>
              <w:jc w:val="center"/>
            </w:pPr>
          </w:p>
        </w:tc>
        <w:tc>
          <w:tcPr>
            <w:tcW w:w="2410" w:type="dxa"/>
            <w:vAlign w:val="center"/>
          </w:tcPr>
          <w:p w:rsidR="006B4B77" w:rsidRDefault="006B4B77" w:rsidP="00BE69A2">
            <w:pPr>
              <w:pStyle w:val="Corpsdetexte"/>
              <w:spacing w:before="60" w:after="60"/>
              <w:ind w:left="0" w:firstLine="0"/>
              <w:jc w:val="left"/>
            </w:pPr>
          </w:p>
        </w:tc>
        <w:tc>
          <w:tcPr>
            <w:tcW w:w="4394" w:type="dxa"/>
            <w:vAlign w:val="center"/>
          </w:tcPr>
          <w:p w:rsidR="006B4B77" w:rsidRDefault="00B472EF" w:rsidP="00C176ED">
            <w:pPr>
              <w:pStyle w:val="Corpstextegauche"/>
            </w:pPr>
            <w:r>
              <w:t>Audi</w:t>
            </w:r>
            <w:r w:rsidR="002A3835">
              <w:t>ence publique du</w:t>
            </w:r>
            <w:r w:rsidR="006626E5">
              <w:t xml:space="preserve"> 29 novembre 2013</w:t>
            </w:r>
          </w:p>
        </w:tc>
      </w:tr>
      <w:tr w:rsidR="006B4B77" w:rsidTr="006626E5">
        <w:tc>
          <w:tcPr>
            <w:tcW w:w="3402" w:type="dxa"/>
            <w:vAlign w:val="center"/>
          </w:tcPr>
          <w:p w:rsidR="006B4B77" w:rsidRDefault="006B4B77" w:rsidP="00C176ED">
            <w:pPr>
              <w:pStyle w:val="Corpsdetexte"/>
              <w:spacing w:before="60" w:after="60"/>
              <w:ind w:left="0" w:firstLine="0"/>
              <w:jc w:val="center"/>
            </w:pPr>
          </w:p>
        </w:tc>
        <w:tc>
          <w:tcPr>
            <w:tcW w:w="2410" w:type="dxa"/>
            <w:vAlign w:val="center"/>
          </w:tcPr>
          <w:p w:rsidR="006B4B77" w:rsidRDefault="006B4B77" w:rsidP="00BE69A2">
            <w:pPr>
              <w:pStyle w:val="Corpsdetexte"/>
              <w:spacing w:before="60" w:after="60"/>
              <w:ind w:left="0" w:firstLine="0"/>
              <w:jc w:val="left"/>
            </w:pPr>
          </w:p>
        </w:tc>
        <w:tc>
          <w:tcPr>
            <w:tcW w:w="4394" w:type="dxa"/>
            <w:vAlign w:val="center"/>
          </w:tcPr>
          <w:p w:rsidR="006B4B77" w:rsidRDefault="00E75F0B" w:rsidP="00C176ED">
            <w:pPr>
              <w:pStyle w:val="Corpstextegauche"/>
            </w:pPr>
            <w:r>
              <w:t>Lecture 22 juillet 2014</w:t>
            </w:r>
          </w:p>
        </w:tc>
      </w:tr>
    </w:tbl>
    <w:p w:rsidR="00BC0C06" w:rsidRDefault="00BC0C06" w:rsidP="00BC0C06">
      <w:pPr>
        <w:pStyle w:val="P0"/>
        <w:ind w:left="540" w:right="-284" w:firstLine="594"/>
        <w:jc w:val="center"/>
      </w:pPr>
      <w:r>
        <w:t>REPUBLIQUE FRANÇAISE</w:t>
      </w:r>
    </w:p>
    <w:p w:rsidR="00BC0C06" w:rsidRDefault="00BC0C06" w:rsidP="00BC0C06">
      <w:pPr>
        <w:pStyle w:val="P0"/>
        <w:spacing w:after="120"/>
        <w:ind w:left="539" w:right="-284" w:firstLine="594"/>
        <w:jc w:val="center"/>
      </w:pPr>
      <w:r>
        <w:t>AU NOM DU PEUPLE FRANÇAIS</w:t>
      </w:r>
    </w:p>
    <w:p w:rsidR="00BC0C06" w:rsidRDefault="00BC0C06" w:rsidP="00BC0C06">
      <w:pPr>
        <w:pStyle w:val="P0"/>
        <w:ind w:left="539" w:right="-284" w:firstLine="594"/>
        <w:jc w:val="center"/>
      </w:pPr>
      <w:r>
        <w:t>LA COUR DES COMPTES a rendu l’arrêt suivant :</w:t>
      </w:r>
    </w:p>
    <w:p w:rsidR="004D4A11" w:rsidRPr="004D4A11" w:rsidRDefault="005E5571" w:rsidP="005E5571">
      <w:pPr>
        <w:pStyle w:val="Corpsdetexte"/>
      </w:pPr>
      <w:r>
        <w:t>LA COUR,</w:t>
      </w:r>
    </w:p>
    <w:p w:rsidR="006411AC" w:rsidRDefault="006411AC" w:rsidP="006411AC">
      <w:pPr>
        <w:pStyle w:val="Corpsdetexte"/>
      </w:pPr>
      <w:r>
        <w:t xml:space="preserve">Vu les comptes de </w:t>
      </w:r>
      <w:r w:rsidR="00DD3493">
        <w:t>l’</w:t>
      </w:r>
      <w:r w:rsidR="00DD3493" w:rsidRPr="006626E5">
        <w:rPr>
          <w:caps/>
        </w:rPr>
        <w:t>établissement public du campus de Jussieu</w:t>
      </w:r>
      <w:r w:rsidR="00DD3493" w:rsidRPr="00DD3493">
        <w:t xml:space="preserve"> </w:t>
      </w:r>
      <w:r w:rsidR="00D068F9">
        <w:t xml:space="preserve">(EPCJ), </w:t>
      </w:r>
      <w:r w:rsidR="00DD3493" w:rsidRPr="00DD3493">
        <w:t>devenu l’</w:t>
      </w:r>
      <w:r w:rsidR="00DD3493" w:rsidRPr="006626E5">
        <w:rPr>
          <w:caps/>
        </w:rPr>
        <w:t>établissement public d’aménagement universitaire de la région Ile</w:t>
      </w:r>
      <w:r w:rsidR="00DD3493" w:rsidRPr="006626E5">
        <w:rPr>
          <w:caps/>
        </w:rPr>
        <w:noBreakHyphen/>
        <w:t>de</w:t>
      </w:r>
      <w:r w:rsidR="00DD3493" w:rsidRPr="006626E5">
        <w:rPr>
          <w:caps/>
        </w:rPr>
        <w:noBreakHyphen/>
        <w:t xml:space="preserve">France </w:t>
      </w:r>
      <w:r w:rsidR="00DD3493" w:rsidRPr="00DD3493">
        <w:t>(EPAURIF)</w:t>
      </w:r>
      <w:r w:rsidR="00D068F9">
        <w:t xml:space="preserve">, </w:t>
      </w:r>
      <w:r>
        <w:t>produi</w:t>
      </w:r>
      <w:r w:rsidR="00AD7F66">
        <w:t xml:space="preserve">ts pour les gestions </w:t>
      </w:r>
      <w:r w:rsidR="00AD0FDD">
        <w:t>2003</w:t>
      </w:r>
      <w:r w:rsidR="005E6FA5">
        <w:t xml:space="preserve"> à </w:t>
      </w:r>
      <w:r w:rsidR="00AD0FDD">
        <w:t xml:space="preserve">2009, </w:t>
      </w:r>
      <w:r w:rsidR="00AD7F66">
        <w:t xml:space="preserve">rendus par </w:t>
      </w:r>
      <w:r w:rsidR="009B472F" w:rsidRPr="00934033">
        <w:t>M</w:t>
      </w:r>
      <w:r w:rsidR="009B472F" w:rsidRPr="00934033">
        <w:rPr>
          <w:vertAlign w:val="superscript"/>
        </w:rPr>
        <w:t>me</w:t>
      </w:r>
      <w:r w:rsidR="009B472F">
        <w:t xml:space="preserve"> </w:t>
      </w:r>
      <w:r w:rsidR="000E749C">
        <w:t>X</w:t>
      </w:r>
      <w:r w:rsidR="00D120C1">
        <w:t xml:space="preserve"> jusqu’au 31 mars 2004, </w:t>
      </w:r>
      <w:r w:rsidR="000E749C">
        <w:t>M. Y</w:t>
      </w:r>
      <w:r w:rsidR="00D120C1">
        <w:t xml:space="preserve"> depuis le 1</w:t>
      </w:r>
      <w:r w:rsidR="00D120C1" w:rsidRPr="00D120C1">
        <w:rPr>
          <w:vertAlign w:val="superscript"/>
        </w:rPr>
        <w:t>er</w:t>
      </w:r>
      <w:r w:rsidR="00D120C1">
        <w:t xml:space="preserve"> avril 2004, </w:t>
      </w:r>
      <w:r w:rsidR="00AD7F66">
        <w:t>agent</w:t>
      </w:r>
      <w:r w:rsidR="00D120C1">
        <w:t>s</w:t>
      </w:r>
      <w:r w:rsidR="00AD7F66">
        <w:t xml:space="preserve"> comptable</w:t>
      </w:r>
      <w:r w:rsidR="00D120C1">
        <w:t>s</w:t>
      </w:r>
      <w:r w:rsidR="00AD7F66">
        <w:t xml:space="preserve"> </w:t>
      </w:r>
      <w:r w:rsidR="00DD3493">
        <w:t>dudit établissement ;</w:t>
      </w:r>
    </w:p>
    <w:p w:rsidR="000A2D3D" w:rsidRPr="00FC60F9" w:rsidRDefault="000A2D3D" w:rsidP="006411AC">
      <w:pPr>
        <w:pStyle w:val="Corpsdetexte"/>
      </w:pPr>
      <w:r w:rsidRPr="00FC60F9">
        <w:t>Vu l’ordonnance de décharge n°</w:t>
      </w:r>
      <w:r w:rsidR="003567EB" w:rsidRPr="00FC60F9">
        <w:t xml:space="preserve"> 68266 </w:t>
      </w:r>
      <w:r w:rsidRPr="00FC60F9">
        <w:t>en date du</w:t>
      </w:r>
      <w:r w:rsidR="003567EB" w:rsidRPr="00FC60F9">
        <w:t xml:space="preserve"> 14 février 2014 </w:t>
      </w:r>
      <w:r w:rsidRPr="00FC60F9">
        <w:t xml:space="preserve">qui a statué sur les exercices </w:t>
      </w:r>
      <w:r w:rsidR="0042795F" w:rsidRPr="00FC60F9">
        <w:t>1999 à 2005</w:t>
      </w:r>
      <w:r w:rsidRPr="00FC60F9">
        <w:t> ;</w:t>
      </w:r>
    </w:p>
    <w:p w:rsidR="006C1122" w:rsidRDefault="007F6A68" w:rsidP="00BB1A42">
      <w:pPr>
        <w:pStyle w:val="Corpsdetexte"/>
      </w:pPr>
      <w:r w:rsidRPr="00BB1A42">
        <w:t xml:space="preserve">Vu le réquisitoire </w:t>
      </w:r>
      <w:r w:rsidR="00DD3493">
        <w:t>n° 2011</w:t>
      </w:r>
      <w:r w:rsidR="009B472F">
        <w:t>-</w:t>
      </w:r>
      <w:r w:rsidR="00DD3493">
        <w:t>65</w:t>
      </w:r>
      <w:r w:rsidR="009B472F">
        <w:t>-</w:t>
      </w:r>
      <w:r w:rsidR="00DD3493">
        <w:t>RQ</w:t>
      </w:r>
      <w:r w:rsidR="009B472F">
        <w:t>-</w:t>
      </w:r>
      <w:r w:rsidR="00DD3493">
        <w:t xml:space="preserve">DB en </w:t>
      </w:r>
      <w:r w:rsidR="003A19BD">
        <w:t xml:space="preserve">date du </w:t>
      </w:r>
      <w:r w:rsidR="00DD3493">
        <w:t>11 juillet 2011</w:t>
      </w:r>
      <w:r w:rsidR="003A19BD">
        <w:t xml:space="preserve"> </w:t>
      </w:r>
      <w:r w:rsidR="006D6A5A">
        <w:t xml:space="preserve">et le réquisitoire supplétif n° 2011-100-RQ-DB en date du 4 novembre 2011 </w:t>
      </w:r>
      <w:r w:rsidR="006C1122" w:rsidRPr="006C1122">
        <w:t>par le</w:t>
      </w:r>
      <w:r w:rsidR="006D6A5A">
        <w:t>s</w:t>
      </w:r>
      <w:r w:rsidR="006C1122" w:rsidRPr="006C1122">
        <w:t>quel</w:t>
      </w:r>
      <w:r w:rsidR="006D6A5A">
        <w:t>s</w:t>
      </w:r>
      <w:r w:rsidR="006C1122" w:rsidRPr="006C1122">
        <w:t xml:space="preserve"> le Procureur général a saisi la Cour des comptes de présomptions de charges susceptibles de conduire à la mise en jeu de la responsabilité personnelle et pécuniaire de </w:t>
      </w:r>
      <w:r w:rsidR="006C1122">
        <w:t>M</w:t>
      </w:r>
      <w:r w:rsidR="002767F7">
        <w:t>. </w:t>
      </w:r>
      <w:r w:rsidR="000E749C">
        <w:t>Y</w:t>
      </w:r>
      <w:r w:rsidR="006D6A5A">
        <w:t>;</w:t>
      </w:r>
    </w:p>
    <w:p w:rsidR="007F6A68" w:rsidRDefault="007F6A68" w:rsidP="00BB1A42">
      <w:pPr>
        <w:pStyle w:val="Corpsdetexte"/>
      </w:pPr>
      <w:r w:rsidRPr="00BB1A42">
        <w:t>Vu le cod</w:t>
      </w:r>
      <w:r w:rsidR="00B472EF" w:rsidRPr="00BB1A42">
        <w:t>e des juridictions financières ;</w:t>
      </w:r>
    </w:p>
    <w:p w:rsidR="00DB5627" w:rsidRDefault="00DB5627" w:rsidP="00BB1A42">
      <w:pPr>
        <w:pStyle w:val="Corpsdetexte"/>
      </w:pPr>
      <w:r>
        <w:t>Vu le code des marchés publics,</w:t>
      </w:r>
    </w:p>
    <w:p w:rsidR="00BC4A94" w:rsidRDefault="00502FB9" w:rsidP="00BC4A94">
      <w:pPr>
        <w:pStyle w:val="Corpsdetexte"/>
      </w:pPr>
      <w:r>
        <w:t>Vu l’article 90-</w:t>
      </w:r>
      <w:r w:rsidR="00BC4A94">
        <w:t>II de la loi n° 2011-1978 du 28 décembre 2011, en ce qu’il maintient, en matière de mise en jeu de la responsabilité personnelle, pécuniaire et comptable du comptable public, l’application des dispositions législatives antérieures aux déficits ayant fait l’objet d’un premier acte de mise en jeu de la responsabilité d’un comptable public avant le 1</w:t>
      </w:r>
      <w:r w:rsidR="00BC4A94" w:rsidRPr="00502FB9">
        <w:rPr>
          <w:vertAlign w:val="superscript"/>
        </w:rPr>
        <w:t>er</w:t>
      </w:r>
      <w:r w:rsidR="00BC4A94">
        <w:t xml:space="preserve"> Juillet 2012 ;</w:t>
      </w:r>
    </w:p>
    <w:p w:rsidR="007F6A68" w:rsidRDefault="00B472EF" w:rsidP="00BB1A42">
      <w:pPr>
        <w:pStyle w:val="Corpsdetexte"/>
      </w:pPr>
      <w:r w:rsidRPr="00BB1A42">
        <w:lastRenderedPageBreak/>
        <w:t>Vu l’article 60 modifié de la loi de finances n° 63-156 du 23 février 1963</w:t>
      </w:r>
      <w:r w:rsidR="00496847">
        <w:t xml:space="preserve">, dans sa version issue de la loi </w:t>
      </w:r>
      <w:r w:rsidR="00C9716A">
        <w:t xml:space="preserve">n° 2008-1091 du 28 octobre </w:t>
      </w:r>
      <w:r w:rsidR="00496847">
        <w:t xml:space="preserve"> 2008</w:t>
      </w:r>
      <w:r w:rsidR="009B472F">
        <w:t> ;</w:t>
      </w:r>
    </w:p>
    <w:p w:rsidR="007F6A68" w:rsidRPr="00BB1A42" w:rsidRDefault="007F6A68" w:rsidP="00BB1A42">
      <w:pPr>
        <w:pStyle w:val="Corpsdetexte"/>
      </w:pPr>
      <w:r w:rsidRPr="00BB1A42">
        <w:t>Vu le décret n° 62-1587 du 29 décembre 1962 modifié portant règlement général sur la comptabilité publique</w:t>
      </w:r>
      <w:r w:rsidR="00496847">
        <w:t>, dans sa version applicable aux périodes en jugement</w:t>
      </w:r>
      <w:r w:rsidR="009B472F">
        <w:t> ;</w:t>
      </w:r>
    </w:p>
    <w:p w:rsidR="00BB1A42" w:rsidRPr="00BB1A42" w:rsidRDefault="007F6A68" w:rsidP="00BB1A42">
      <w:pPr>
        <w:pStyle w:val="Corpsdetexte"/>
      </w:pPr>
      <w:r w:rsidRPr="00BB1A42">
        <w:t>Vu les lois et règlements applicables aux établissements publics</w:t>
      </w:r>
      <w:r w:rsidR="00DD3493">
        <w:t> ;</w:t>
      </w:r>
    </w:p>
    <w:p w:rsidR="007F6A68" w:rsidRDefault="007F6A68" w:rsidP="00BB1A42">
      <w:pPr>
        <w:pStyle w:val="Corpsdetexte"/>
      </w:pPr>
      <w:r w:rsidRPr="00BB1A42">
        <w:t>Vu les co</w:t>
      </w:r>
      <w:r w:rsidR="00BE53B6">
        <w:t>urriers adressés aux comptables et</w:t>
      </w:r>
      <w:r w:rsidRPr="00BB1A42">
        <w:t xml:space="preserve"> à l’ordonnateur, les réponses </w:t>
      </w:r>
      <w:r w:rsidR="00BE53B6">
        <w:t xml:space="preserve">et les pièces produites </w:t>
      </w:r>
      <w:r w:rsidR="00BE53B6" w:rsidRPr="00BE53B6">
        <w:t>à l’appui des comptes ou recueillies pendant l’instruction</w:t>
      </w:r>
      <w:r w:rsidR="00BE53B6">
        <w:t> ;</w:t>
      </w:r>
    </w:p>
    <w:p w:rsidR="00D120C1" w:rsidRDefault="00D120C1" w:rsidP="00BB1A42">
      <w:pPr>
        <w:pStyle w:val="Corpsdetexte"/>
      </w:pPr>
      <w:r>
        <w:t>Vu les pièces produites par le comptable après la clôture de l’instruction ;</w:t>
      </w:r>
    </w:p>
    <w:p w:rsidR="005E5571" w:rsidRPr="00BB1A42" w:rsidRDefault="005E5571" w:rsidP="00BB1A42">
      <w:pPr>
        <w:pStyle w:val="Corpsdetexte"/>
      </w:pPr>
      <w:r w:rsidRPr="00BB1A42">
        <w:t xml:space="preserve">Vu le rapport </w:t>
      </w:r>
      <w:r w:rsidR="006411AC">
        <w:t>à fin d’arr</w:t>
      </w:r>
      <w:r w:rsidR="00B4397C">
        <w:t>êt n°</w:t>
      </w:r>
      <w:r w:rsidR="0073145D">
        <w:t xml:space="preserve"> 2013-692-0 </w:t>
      </w:r>
      <w:r w:rsidRPr="00BB1A42">
        <w:t xml:space="preserve">de M. </w:t>
      </w:r>
      <w:proofErr w:type="spellStart"/>
      <w:r w:rsidR="0073145D">
        <w:t>Dubos</w:t>
      </w:r>
      <w:r w:rsidR="00BB55E5">
        <w:t>c</w:t>
      </w:r>
      <w:r w:rsidR="0073145D">
        <w:t>q</w:t>
      </w:r>
      <w:proofErr w:type="spellEnd"/>
      <w:r w:rsidR="0073145D">
        <w:t>, conseiller référendaire ;</w:t>
      </w:r>
    </w:p>
    <w:p w:rsidR="005E5571" w:rsidRPr="00BB1A42" w:rsidRDefault="005E5571" w:rsidP="00BB1A42">
      <w:pPr>
        <w:pStyle w:val="Corpsdetexte"/>
      </w:pPr>
      <w:r w:rsidRPr="00BB1A42">
        <w:t xml:space="preserve">Vu les conclusions n° </w:t>
      </w:r>
      <w:r w:rsidR="0073145D">
        <w:t xml:space="preserve">808 </w:t>
      </w:r>
      <w:r w:rsidRPr="00BB1A42">
        <w:t xml:space="preserve">du Procureur général près la Cour des comptes </w:t>
      </w:r>
      <w:r w:rsidR="00D068F9">
        <w:t xml:space="preserve">en date </w:t>
      </w:r>
      <w:r w:rsidRPr="00BB1A42">
        <w:t xml:space="preserve">du </w:t>
      </w:r>
      <w:r w:rsidR="0073145D">
        <w:t>19 novembre 2013 ;</w:t>
      </w:r>
    </w:p>
    <w:p w:rsidR="005E5571" w:rsidRPr="00F142F7" w:rsidRDefault="005E5571" w:rsidP="00F142F7">
      <w:pPr>
        <w:pStyle w:val="Corpsdetexte"/>
      </w:pPr>
      <w:r w:rsidRPr="00F142F7">
        <w:t xml:space="preserve">Vu la </w:t>
      </w:r>
      <w:r w:rsidR="00793B7E" w:rsidRPr="00F142F7">
        <w:t xml:space="preserve">désignation, par le </w:t>
      </w:r>
      <w:r w:rsidRPr="00F142F7">
        <w:t>pr</w:t>
      </w:r>
      <w:r w:rsidR="00793B7E" w:rsidRPr="00F142F7">
        <w:t xml:space="preserve">ésident de la troisième chambre, de </w:t>
      </w:r>
      <w:r w:rsidRPr="00F142F7">
        <w:t>M</w:t>
      </w:r>
      <w:r w:rsidR="00B4397C" w:rsidRPr="00F142F7">
        <w:t>. </w:t>
      </w:r>
      <w:proofErr w:type="spellStart"/>
      <w:r w:rsidR="00CB6D63" w:rsidRPr="00F142F7">
        <w:t>Senhaji</w:t>
      </w:r>
      <w:proofErr w:type="spellEnd"/>
      <w:r w:rsidR="00B4397C" w:rsidRPr="00F142F7">
        <w:t>, conseiller maître</w:t>
      </w:r>
      <w:r w:rsidRPr="00F142F7">
        <w:t>, comme réviseur ;</w:t>
      </w:r>
    </w:p>
    <w:p w:rsidR="005E5571" w:rsidRPr="006C1122" w:rsidRDefault="005E5571" w:rsidP="006C1122">
      <w:pPr>
        <w:pStyle w:val="Corpsdetexte"/>
      </w:pPr>
      <w:r w:rsidRPr="006C1122">
        <w:t xml:space="preserve">Entendus en audience publique </w:t>
      </w:r>
      <w:r w:rsidR="0073145D" w:rsidRPr="006C1122">
        <w:t xml:space="preserve">M. </w:t>
      </w:r>
      <w:proofErr w:type="spellStart"/>
      <w:r w:rsidR="0073145D" w:rsidRPr="006C1122">
        <w:t>Dubos</w:t>
      </w:r>
      <w:r w:rsidR="00BB55E5">
        <w:t>c</w:t>
      </w:r>
      <w:r w:rsidR="0073145D" w:rsidRPr="006C1122">
        <w:t>q</w:t>
      </w:r>
      <w:proofErr w:type="spellEnd"/>
      <w:r w:rsidR="0073145D" w:rsidRPr="006C1122">
        <w:t xml:space="preserve">, conseiller référendaire </w:t>
      </w:r>
      <w:r w:rsidRPr="006C1122">
        <w:t xml:space="preserve">en son rapport oral, </w:t>
      </w:r>
      <w:r w:rsidR="006411AC" w:rsidRPr="006C1122">
        <w:t>M</w:t>
      </w:r>
      <w:r w:rsidR="00DB5627" w:rsidRPr="006C1122">
        <w:t>. Miller</w:t>
      </w:r>
      <w:r w:rsidR="002A3835" w:rsidRPr="006C1122">
        <w:t xml:space="preserve">, avocat général </w:t>
      </w:r>
      <w:r w:rsidR="00CE0652" w:rsidRPr="006C1122">
        <w:t xml:space="preserve">en les conclusions du Parquet, </w:t>
      </w:r>
      <w:r w:rsidR="00DB5627" w:rsidRPr="006C1122">
        <w:t>l’ordonnateur et l’</w:t>
      </w:r>
      <w:r w:rsidR="00F72312" w:rsidRPr="006C1122">
        <w:t xml:space="preserve">agent comptable </w:t>
      </w:r>
      <w:r w:rsidR="00DB5627" w:rsidRPr="006C1122">
        <w:t xml:space="preserve">informés de la tenue de l’audience </w:t>
      </w:r>
      <w:r w:rsidRPr="006C1122">
        <w:t>n’étant</w:t>
      </w:r>
      <w:r w:rsidR="00F72312" w:rsidRPr="006C1122">
        <w:t xml:space="preserve"> ni présents ni représentés</w:t>
      </w:r>
      <w:r w:rsidR="00DB5627" w:rsidRPr="006C1122">
        <w:t> ;</w:t>
      </w:r>
    </w:p>
    <w:p w:rsidR="005E5571" w:rsidRPr="00BB1A42" w:rsidRDefault="00793B7E" w:rsidP="00BB1A42">
      <w:pPr>
        <w:pStyle w:val="Corpsdetexte"/>
      </w:pPr>
      <w:r>
        <w:t xml:space="preserve">Après en avoir délibéré </w:t>
      </w:r>
      <w:r w:rsidR="005E5571" w:rsidRPr="00BB1A42">
        <w:t xml:space="preserve">à huis clos, </w:t>
      </w:r>
      <w:r>
        <w:t xml:space="preserve">hors la présence du rapporteur et du </w:t>
      </w:r>
      <w:r w:rsidR="005E5571" w:rsidRPr="00BB1A42">
        <w:t>ministère public</w:t>
      </w:r>
      <w:r>
        <w:t xml:space="preserve"> et entendu </w:t>
      </w:r>
      <w:r w:rsidR="00B4397C">
        <w:t>M. </w:t>
      </w:r>
      <w:proofErr w:type="spellStart"/>
      <w:r w:rsidR="0073145D">
        <w:t>Senhaji</w:t>
      </w:r>
      <w:proofErr w:type="spellEnd"/>
      <w:r w:rsidR="00B4397C" w:rsidRPr="00B4397C">
        <w:t>, conseiller maître</w:t>
      </w:r>
      <w:r w:rsidR="005E5571" w:rsidRPr="00BB1A42">
        <w:t>, en ses observations ;</w:t>
      </w:r>
    </w:p>
    <w:p w:rsidR="00BB1A42" w:rsidRDefault="00BB1A42" w:rsidP="005E5571">
      <w:pPr>
        <w:pStyle w:val="Corpsdetexte"/>
        <w:ind w:firstLine="0"/>
        <w:jc w:val="center"/>
      </w:pPr>
    </w:p>
    <w:p w:rsidR="00E7093D" w:rsidRDefault="002705A4" w:rsidP="005E5571">
      <w:pPr>
        <w:pStyle w:val="Corpsdetexte"/>
        <w:ind w:firstLine="0"/>
        <w:jc w:val="center"/>
      </w:pPr>
      <w:r w:rsidRPr="00502FB9">
        <w:rPr>
          <w:caps/>
        </w:rPr>
        <w:t>D</w:t>
      </w:r>
      <w:r w:rsidR="00502FB9" w:rsidRPr="00502FB9">
        <w:rPr>
          <w:caps/>
        </w:rPr>
        <w:t>écide</w:t>
      </w:r>
      <w:r w:rsidR="00502FB9">
        <w:t> :</w:t>
      </w:r>
    </w:p>
    <w:p w:rsidR="00266440" w:rsidRDefault="00266440" w:rsidP="00E7093D">
      <w:pPr>
        <w:spacing w:before="120" w:after="120"/>
        <w:ind w:firstLine="709"/>
        <w:rPr>
          <w:szCs w:val="20"/>
        </w:rPr>
      </w:pPr>
    </w:p>
    <w:p w:rsidR="00502FB9" w:rsidRPr="00502FB9" w:rsidRDefault="00502FB9" w:rsidP="00502FB9">
      <w:pPr>
        <w:pStyle w:val="Corpsdetexte"/>
      </w:pPr>
    </w:p>
    <w:p w:rsidR="007F6A68" w:rsidRDefault="00743A56" w:rsidP="00502FB9">
      <w:pPr>
        <w:pStyle w:val="Corpsdetexte"/>
        <w:keepNext/>
        <w:keepLines/>
        <w:rPr>
          <w:i/>
          <w:u w:val="single"/>
        </w:rPr>
      </w:pPr>
      <w:r>
        <w:rPr>
          <w:i/>
          <w:u w:val="single"/>
        </w:rPr>
        <w:t>Présomption de</w:t>
      </w:r>
      <w:r w:rsidR="005E5571" w:rsidRPr="005E5571">
        <w:rPr>
          <w:i/>
          <w:u w:val="single"/>
        </w:rPr>
        <w:t xml:space="preserve"> charge</w:t>
      </w:r>
      <w:r>
        <w:rPr>
          <w:i/>
          <w:u w:val="single"/>
        </w:rPr>
        <w:t xml:space="preserve"> n° 1</w:t>
      </w:r>
    </w:p>
    <w:p w:rsidR="00943AF7" w:rsidRDefault="00496847" w:rsidP="00502FB9">
      <w:pPr>
        <w:pStyle w:val="Corpsdetexte"/>
        <w:keepNext/>
        <w:keepLines/>
      </w:pPr>
      <w:r>
        <w:t xml:space="preserve">Considérant </w:t>
      </w:r>
      <w:r w:rsidR="00AD0FDD">
        <w:t xml:space="preserve">que </w:t>
      </w:r>
      <w:r w:rsidR="000E749C">
        <w:t>M. Y</w:t>
      </w:r>
      <w:r w:rsidR="00943AF7">
        <w:t>, agent comptable</w:t>
      </w:r>
      <w:r w:rsidR="00943AF7" w:rsidRPr="00943AF7">
        <w:t xml:space="preserve"> </w:t>
      </w:r>
      <w:r w:rsidR="00943AF7">
        <w:t xml:space="preserve">de </w:t>
      </w:r>
      <w:r w:rsidR="007C4623" w:rsidRPr="007C4623">
        <w:t>l’établissement public du camp</w:t>
      </w:r>
      <w:r w:rsidR="007C4623">
        <w:t>us de J</w:t>
      </w:r>
      <w:r w:rsidR="007C4623" w:rsidRPr="007C4623">
        <w:t>ussieu (EPCJ), devenu l’établissement public d’aménagem</w:t>
      </w:r>
      <w:r w:rsidR="007C4623">
        <w:t xml:space="preserve">ent universitaire de la région </w:t>
      </w:r>
      <w:r w:rsidR="002203E2">
        <w:t>Ile-de-</w:t>
      </w:r>
      <w:r w:rsidR="002203E2" w:rsidRPr="007C4623">
        <w:t>France</w:t>
      </w:r>
      <w:r w:rsidR="007C4623" w:rsidRPr="007C4623">
        <w:t xml:space="preserve"> (EPAURIF), </w:t>
      </w:r>
      <w:r w:rsidR="00943AF7">
        <w:t xml:space="preserve">a mis en paiement le </w:t>
      </w:r>
      <w:r w:rsidR="007C4623">
        <w:t>mandat n° 1383 du 10</w:t>
      </w:r>
      <w:r w:rsidR="009B472F">
        <w:t xml:space="preserve"> </w:t>
      </w:r>
      <w:r w:rsidR="00943AF7" w:rsidRPr="00943AF7">
        <w:t>janvier 2007</w:t>
      </w:r>
      <w:r w:rsidR="00943AF7">
        <w:t xml:space="preserve"> d’un montant de </w:t>
      </w:r>
      <w:r w:rsidR="00943AF7" w:rsidRPr="00943AF7">
        <w:t>8</w:t>
      </w:r>
      <w:r w:rsidR="009B472F">
        <w:t> </w:t>
      </w:r>
      <w:r w:rsidR="00943AF7" w:rsidRPr="00943AF7">
        <w:t xml:space="preserve">372 €, </w:t>
      </w:r>
      <w:r w:rsidR="00943AF7">
        <w:t>au profit de</w:t>
      </w:r>
      <w:r w:rsidR="00943AF7" w:rsidRPr="00943AF7">
        <w:t xml:space="preserve"> la société Labo Services en règlement de prestations de déménagement de produits chimiques sur le site du campus de Jussieu</w:t>
      </w:r>
      <w:r w:rsidR="009B472F">
        <w:t> ;</w:t>
      </w:r>
    </w:p>
    <w:p w:rsidR="00BA1F34" w:rsidRDefault="00496847" w:rsidP="00BA1F34">
      <w:pPr>
        <w:pStyle w:val="Corpsdetexte"/>
      </w:pPr>
      <w:r>
        <w:t xml:space="preserve">Considérant </w:t>
      </w:r>
      <w:r w:rsidR="00810823" w:rsidRPr="00810823">
        <w:t xml:space="preserve">que par réquisitoire </w:t>
      </w:r>
      <w:r w:rsidR="00A24F3F">
        <w:t>n° 2011 65 RQ-</w:t>
      </w:r>
      <w:r w:rsidR="00A24F3F" w:rsidRPr="00A24F3F">
        <w:t xml:space="preserve">DB </w:t>
      </w:r>
      <w:r w:rsidR="00810823" w:rsidRPr="00810823">
        <w:t>susvisé</w:t>
      </w:r>
      <w:r w:rsidR="00376993" w:rsidRPr="0068368C">
        <w:t>, le Procureur général a relevé</w:t>
      </w:r>
      <w:r w:rsidR="00BA1F34">
        <w:t xml:space="preserve"> </w:t>
      </w:r>
      <w:r w:rsidR="00BA1F34" w:rsidRPr="00BA1F34">
        <w:t xml:space="preserve">qu’il ressort du bon de commande, en date du 18 octobre 2006, produit à l’appui du mandat, que </w:t>
      </w:r>
      <w:r w:rsidR="00BA1F34">
        <w:t>l</w:t>
      </w:r>
      <w:r w:rsidR="00BA1F34" w:rsidRPr="00BA1F34">
        <w:t>es prestations se rapport</w:t>
      </w:r>
      <w:r w:rsidR="00502FB9">
        <w:t>aient à un marché notifié le 30 </w:t>
      </w:r>
      <w:r w:rsidR="00BA1F34" w:rsidRPr="00BA1F34">
        <w:t>août 2006 à l’entreprise et qu’elles devaient être exécutées dans un délai de quatre mois suivant la prod</w:t>
      </w:r>
      <w:r w:rsidR="007C4623">
        <w:t>uction du bon de commande</w:t>
      </w:r>
      <w:r w:rsidR="009B472F">
        <w:t> ;</w:t>
      </w:r>
      <w:r w:rsidR="007C4623">
        <w:t xml:space="preserve"> que, </w:t>
      </w:r>
      <w:r w:rsidR="00BA1F34" w:rsidRPr="00BA1F34">
        <w:t>toutefois, selon la facture également jointe au mandat, le déménagement des produits chimiques aurait été entrepris du 15 au 19 juin 2006, antérieurement à la notification du marché et à la production du bon de commande</w:t>
      </w:r>
      <w:r w:rsidR="00BA1F34">
        <w:t xml:space="preserve"> ; </w:t>
      </w:r>
      <w:r w:rsidR="00BA1F34" w:rsidRPr="00BA1F34">
        <w:t>qu’en payant à la société Labo Services la somme de 8</w:t>
      </w:r>
      <w:r w:rsidR="009B472F">
        <w:t> </w:t>
      </w:r>
      <w:r w:rsidR="00BA1F34" w:rsidRPr="00BA1F34">
        <w:t xml:space="preserve">372 € au vu de </w:t>
      </w:r>
      <w:r w:rsidR="00BA1F34" w:rsidRPr="00BA1F34">
        <w:lastRenderedPageBreak/>
        <w:t xml:space="preserve">pièces justificatives contradictoires, </w:t>
      </w:r>
      <w:r w:rsidR="00BA1F34">
        <w:t>le comptable</w:t>
      </w:r>
      <w:r w:rsidR="007C4623">
        <w:t xml:space="preserve"> semblait</w:t>
      </w:r>
      <w:r w:rsidR="00BA1F34" w:rsidRPr="00BA1F34">
        <w:t xml:space="preserve"> avoir engagé sa responsabilité personnelle et pécuniaire</w:t>
      </w:r>
      <w:r w:rsidR="0009090C">
        <w:t> ;</w:t>
      </w:r>
    </w:p>
    <w:p w:rsidR="0068368C" w:rsidRDefault="00496847" w:rsidP="00F31567">
      <w:pPr>
        <w:pStyle w:val="Corpsdetexte"/>
      </w:pPr>
      <w:r>
        <w:t xml:space="preserve">Considérant </w:t>
      </w:r>
      <w:r w:rsidR="0068368C" w:rsidRPr="00F31567">
        <w:t>qu</w:t>
      </w:r>
      <w:r w:rsidR="00C15DD9">
        <w:t>’en réponse au réquisitoire</w:t>
      </w:r>
      <w:r w:rsidR="0068368C" w:rsidRPr="00F31567">
        <w:t xml:space="preserve"> le comptable </w:t>
      </w:r>
      <w:r w:rsidR="00C15DD9">
        <w:t>soutient</w:t>
      </w:r>
      <w:r w:rsidR="0068368C" w:rsidRPr="00F31567">
        <w:t xml:space="preserve"> qu’il y avait deux marchés </w:t>
      </w:r>
      <w:r w:rsidR="00F665FF" w:rsidRPr="00F31567">
        <w:t>successifs attribués au même titulaire sur lesquels ces dépenses aur</w:t>
      </w:r>
      <w:r w:rsidR="0068368C" w:rsidRPr="00F31567">
        <w:t>aient pu être imputées ; que selon l’ordonnateur, le bon de commande aurait dû êtr</w:t>
      </w:r>
      <w:r w:rsidR="00F31567" w:rsidRPr="00F31567">
        <w:t>e rattaché au marché précédent ; que l</w:t>
      </w:r>
      <w:r w:rsidR="0068368C" w:rsidRPr="00F31567">
        <w:t>e montant maximum autoris</w:t>
      </w:r>
      <w:r w:rsidR="006C1122">
        <w:t>é pour ce marché s’élevait à 24 </w:t>
      </w:r>
      <w:r w:rsidR="0068368C" w:rsidRPr="00F31567">
        <w:t>000</w:t>
      </w:r>
      <w:r w:rsidR="006C1122">
        <w:t xml:space="preserve"> € ; </w:t>
      </w:r>
      <w:r w:rsidR="0068368C" w:rsidRPr="00F31567">
        <w:t xml:space="preserve">que le </w:t>
      </w:r>
      <w:r w:rsidR="0009090C">
        <w:t>cumul</w:t>
      </w:r>
      <w:r w:rsidR="0068368C" w:rsidRPr="00F31567">
        <w:t xml:space="preserve"> des comma</w:t>
      </w:r>
      <w:r w:rsidR="00502FB9">
        <w:t>ndes passées é</w:t>
      </w:r>
      <w:r>
        <w:t>tait</w:t>
      </w:r>
      <w:r w:rsidR="006C1122">
        <w:t xml:space="preserve"> inférieur à ce montant ;</w:t>
      </w:r>
    </w:p>
    <w:p w:rsidR="00BB47CC" w:rsidRDefault="00BA1F34" w:rsidP="00F31567">
      <w:pPr>
        <w:pStyle w:val="Corpsdetexte"/>
      </w:pPr>
      <w:r>
        <w:t xml:space="preserve">Considérant </w:t>
      </w:r>
      <w:r w:rsidR="00BB47CC" w:rsidRPr="00BB47CC">
        <w:t xml:space="preserve">que le comptable est tenu d’exercer les contrôles qui sont prescrits </w:t>
      </w:r>
      <w:r w:rsidR="0009090C">
        <w:t xml:space="preserve">notamment </w:t>
      </w:r>
      <w:r w:rsidR="00BB47CC" w:rsidRPr="00BB47CC">
        <w:t xml:space="preserve">par les articles 12 et 13 du </w:t>
      </w:r>
      <w:r w:rsidR="000F5B2C" w:rsidRPr="000F5B2C">
        <w:t>décret n° 62-1587 du 29 décembre 1962 portant règlement général sur la comptabilité publique</w:t>
      </w:r>
      <w:r w:rsidR="000F5B2C">
        <w:t> ;</w:t>
      </w:r>
    </w:p>
    <w:p w:rsidR="00943AF7" w:rsidRPr="00F31567" w:rsidRDefault="00496847" w:rsidP="00510DE4">
      <w:pPr>
        <w:pStyle w:val="Corpsdetexte"/>
      </w:pPr>
      <w:r>
        <w:t xml:space="preserve">Considérant </w:t>
      </w:r>
      <w:r w:rsidR="00EA6FC5">
        <w:t xml:space="preserve">cependant </w:t>
      </w:r>
      <w:r w:rsidR="00943AF7">
        <w:t xml:space="preserve">que l’examen des pièces indique </w:t>
      </w:r>
      <w:r w:rsidR="00EA6FC5">
        <w:t xml:space="preserve">qu’en ce qui concerne la validité de la créance </w:t>
      </w:r>
      <w:r w:rsidR="00943AF7">
        <w:t xml:space="preserve">le comptable disposait </w:t>
      </w:r>
      <w:r w:rsidR="00EA6FC5">
        <w:t>des justifications nécessaires</w:t>
      </w:r>
      <w:r w:rsidR="00510DE4">
        <w:t xml:space="preserve">, à savoir </w:t>
      </w:r>
      <w:r w:rsidR="00943AF7">
        <w:t>un marché notifié le 30 août 2006, u</w:t>
      </w:r>
      <w:r w:rsidR="00502FB9">
        <w:t>n bon de commande en date du 18</w:t>
      </w:r>
      <w:r w:rsidR="00943AF7">
        <w:t>octobre 2006, une facture en date du 13 décembre 20</w:t>
      </w:r>
      <w:r w:rsidR="00502FB9">
        <w:t>06</w:t>
      </w:r>
      <w:r w:rsidR="009B472F">
        <w:t xml:space="preserve"> </w:t>
      </w:r>
      <w:r w:rsidR="00502FB9">
        <w:t>et un mandat en date du 10 </w:t>
      </w:r>
      <w:r w:rsidR="00943AF7">
        <w:t>janvier 2007 ;</w:t>
      </w:r>
    </w:p>
    <w:p w:rsidR="00BB47CC" w:rsidRPr="00BA1F34" w:rsidRDefault="00BA1F34" w:rsidP="00BA1F34">
      <w:pPr>
        <w:pStyle w:val="Corpsdetexte"/>
      </w:pPr>
      <w:r>
        <w:t xml:space="preserve">Considérant </w:t>
      </w:r>
      <w:r w:rsidR="00F31567" w:rsidRPr="00BA1F34">
        <w:t xml:space="preserve">que </w:t>
      </w:r>
      <w:r w:rsidR="00BB47CC" w:rsidRPr="00BA1F34">
        <w:t xml:space="preserve">s’il appartient au comptable, dans le cadre des contrôles qu’il est tenu d’effectuer, </w:t>
      </w:r>
      <w:r w:rsidR="00F665FF" w:rsidRPr="00BA1F34">
        <w:t xml:space="preserve">de relever les incohérences des pièces au regard de la catégorie de la dépense définie dans la nomenclature applicable et au regard de l’objet de la dépense </w:t>
      </w:r>
      <w:r w:rsidR="00BB47CC" w:rsidRPr="00BA1F34">
        <w:t xml:space="preserve">engagée, </w:t>
      </w:r>
      <w:r w:rsidR="00F665FF" w:rsidRPr="00BA1F34">
        <w:t>il ne lui revient pas</w:t>
      </w:r>
      <w:r w:rsidR="00BB47CC" w:rsidRPr="00BA1F34">
        <w:t xml:space="preserve"> de </w:t>
      </w:r>
      <w:r w:rsidR="000F5B2C" w:rsidRPr="00BA1F34">
        <w:t>statuer sur la régularité</w:t>
      </w:r>
      <w:r w:rsidR="00F665FF" w:rsidRPr="00BA1F34">
        <w:t xml:space="preserve"> des </w:t>
      </w:r>
      <w:r w:rsidR="00F31567" w:rsidRPr="00BA1F34">
        <w:t xml:space="preserve">bons de commande </w:t>
      </w:r>
      <w:r w:rsidR="00BB47CC" w:rsidRPr="00BA1F34">
        <w:t>en cause</w:t>
      </w:r>
      <w:r w:rsidRPr="00BA1F34">
        <w:t> ;</w:t>
      </w:r>
    </w:p>
    <w:p w:rsidR="003546F3" w:rsidRPr="00BA4F26" w:rsidRDefault="003546F3" w:rsidP="00F665FF">
      <w:pPr>
        <w:pStyle w:val="Corpsdetexte"/>
      </w:pPr>
      <w:r w:rsidRPr="00BA4F26">
        <w:t>Par ces motifs,</w:t>
      </w:r>
    </w:p>
    <w:p w:rsidR="000D4AC6" w:rsidRDefault="00CB6D63" w:rsidP="00CB6D63">
      <w:pPr>
        <w:pStyle w:val="Corpsdetexte"/>
      </w:pPr>
      <w:r>
        <w:t xml:space="preserve">- </w:t>
      </w:r>
      <w:r w:rsidR="008864F6">
        <w:t>i</w:t>
      </w:r>
      <w:r w:rsidR="000D4AC6" w:rsidRPr="000D4AC6">
        <w:t xml:space="preserve">l n’y a pas lieu de </w:t>
      </w:r>
      <w:r w:rsidR="00496847">
        <w:t xml:space="preserve">donner suite à la présomption de charge soulevée </w:t>
      </w:r>
      <w:r w:rsidR="0060627C">
        <w:t xml:space="preserve">par le ministère public </w:t>
      </w:r>
      <w:r w:rsidR="000D4AC6" w:rsidRPr="000D4AC6">
        <w:t xml:space="preserve">à l’encontre de </w:t>
      </w:r>
      <w:r w:rsidR="002A3835">
        <w:t>M</w:t>
      </w:r>
      <w:r w:rsidR="002767F7">
        <w:t>. </w:t>
      </w:r>
      <w:r w:rsidR="000E749C">
        <w:t>Y</w:t>
      </w:r>
      <w:r w:rsidR="009B472F">
        <w:t> ;</w:t>
      </w:r>
    </w:p>
    <w:p w:rsidR="00502FB9" w:rsidRDefault="00502FB9" w:rsidP="00CB6D63">
      <w:pPr>
        <w:pStyle w:val="Corpsdetexte"/>
      </w:pPr>
    </w:p>
    <w:p w:rsidR="00B4397C" w:rsidRDefault="00743A56" w:rsidP="00502FB9">
      <w:pPr>
        <w:pStyle w:val="Corpsdetexte"/>
        <w:keepNext/>
        <w:keepLines/>
        <w:rPr>
          <w:i/>
          <w:u w:val="single"/>
        </w:rPr>
      </w:pPr>
      <w:r w:rsidRPr="00743A56">
        <w:rPr>
          <w:i/>
          <w:u w:val="single"/>
        </w:rPr>
        <w:t xml:space="preserve">Présomption de </w:t>
      </w:r>
      <w:r w:rsidR="00FE2074" w:rsidRPr="00FE2074">
        <w:rPr>
          <w:i/>
          <w:u w:val="single"/>
        </w:rPr>
        <w:t>charge</w:t>
      </w:r>
      <w:r>
        <w:rPr>
          <w:i/>
          <w:u w:val="single"/>
        </w:rPr>
        <w:t xml:space="preserve"> n° 2</w:t>
      </w:r>
    </w:p>
    <w:p w:rsidR="002767F7" w:rsidRPr="008F236C" w:rsidRDefault="00496847" w:rsidP="00502FB9">
      <w:pPr>
        <w:pStyle w:val="Corpsdetexte"/>
        <w:keepNext/>
        <w:keepLines/>
      </w:pPr>
      <w:r>
        <w:t xml:space="preserve">Considérant </w:t>
      </w:r>
      <w:r w:rsidR="00E62FD3" w:rsidRPr="00E62FD3">
        <w:t xml:space="preserve">que </w:t>
      </w:r>
      <w:r w:rsidR="000E749C">
        <w:t>M.</w:t>
      </w:r>
      <w:r w:rsidR="009B472F">
        <w:t> </w:t>
      </w:r>
      <w:r w:rsidR="000E749C">
        <w:t>Y</w:t>
      </w:r>
      <w:r w:rsidR="00E62FD3" w:rsidRPr="00E62FD3">
        <w:t xml:space="preserve">, agent comptable de l’établissement public du campus de Jussieu (EPCJ), devenu l’établissement public d’aménagement universitaire de la région Ile-de-France (EPAURIF), </w:t>
      </w:r>
      <w:r w:rsidR="002767F7" w:rsidRPr="008F236C">
        <w:t>a mis en paiement</w:t>
      </w:r>
      <w:r w:rsidR="008F236C" w:rsidRPr="008F236C">
        <w:t xml:space="preserve"> trois mandats, </w:t>
      </w:r>
      <w:r w:rsidR="002767F7" w:rsidRPr="008F236C">
        <w:t>n° 895 du 7</w:t>
      </w:r>
      <w:r w:rsidR="009B472F">
        <w:t xml:space="preserve"> </w:t>
      </w:r>
      <w:r w:rsidR="002767F7" w:rsidRPr="008F236C">
        <w:t>septembre 2006, n°</w:t>
      </w:r>
      <w:r w:rsidR="009B472F">
        <w:t xml:space="preserve"> </w:t>
      </w:r>
      <w:r w:rsidR="002767F7" w:rsidRPr="008F236C">
        <w:t xml:space="preserve">1359 du 5 janvier 2007 et n° 255 du 4 avril 2007, </w:t>
      </w:r>
      <w:r w:rsidR="008F236C" w:rsidRPr="008F236C">
        <w:t xml:space="preserve">pour les montants respectifs </w:t>
      </w:r>
      <w:r w:rsidR="002767F7" w:rsidRPr="008F236C">
        <w:t>de 86</w:t>
      </w:r>
      <w:r w:rsidR="009B472F">
        <w:t> </w:t>
      </w:r>
      <w:r w:rsidR="002767F7" w:rsidRPr="008F236C">
        <w:t>970,29</w:t>
      </w:r>
      <w:r w:rsidR="009B472F">
        <w:t> </w:t>
      </w:r>
      <w:r w:rsidR="002767F7" w:rsidRPr="008F236C">
        <w:t xml:space="preserve">€, </w:t>
      </w:r>
      <w:r w:rsidR="00224D0F">
        <w:t xml:space="preserve">de </w:t>
      </w:r>
      <w:r w:rsidR="002767F7" w:rsidRPr="008F236C">
        <w:t>96</w:t>
      </w:r>
      <w:r w:rsidR="009B472F">
        <w:t> </w:t>
      </w:r>
      <w:r w:rsidR="002767F7" w:rsidRPr="008F236C">
        <w:t>931</w:t>
      </w:r>
      <w:r w:rsidR="009B472F">
        <w:t> </w:t>
      </w:r>
      <w:r w:rsidR="002767F7" w:rsidRPr="008F236C">
        <w:t xml:space="preserve">€ et </w:t>
      </w:r>
      <w:r w:rsidR="00224D0F">
        <w:t xml:space="preserve">de </w:t>
      </w:r>
      <w:r w:rsidR="002767F7" w:rsidRPr="008F236C">
        <w:t>21</w:t>
      </w:r>
      <w:r w:rsidR="009B472F">
        <w:t> </w:t>
      </w:r>
      <w:r w:rsidR="002767F7" w:rsidRPr="008F236C">
        <w:t>742,57</w:t>
      </w:r>
      <w:r w:rsidR="009B472F">
        <w:t> </w:t>
      </w:r>
      <w:r w:rsidR="002767F7" w:rsidRPr="008F236C">
        <w:t xml:space="preserve">€, </w:t>
      </w:r>
      <w:r w:rsidR="008F236C" w:rsidRPr="008F236C">
        <w:t xml:space="preserve">au profit de la société Bailly Entreprises, </w:t>
      </w:r>
      <w:r w:rsidR="002767F7" w:rsidRPr="008F236C">
        <w:t>en règlement de diverses prestations qui ont été réalisées dans le cadre d’un marché conclu le 29 mai 2006 par l’EPCJ avec un groupement d’entreprises dont la société Bailly E</w:t>
      </w:r>
      <w:r w:rsidR="00224D0F">
        <w:t xml:space="preserve">ntreprises était le mandataire ; que ledit marché </w:t>
      </w:r>
      <w:r w:rsidR="002767F7" w:rsidRPr="008F236C">
        <w:t>prévoyait que le titulaire conclurait une assurance dommage</w:t>
      </w:r>
      <w:r w:rsidR="009B472F">
        <w:t> ;</w:t>
      </w:r>
    </w:p>
    <w:p w:rsidR="000B7931" w:rsidRDefault="0085209E" w:rsidP="0009090C">
      <w:pPr>
        <w:pStyle w:val="Corpsdetexte"/>
      </w:pPr>
      <w:r>
        <w:t xml:space="preserve">Considérant </w:t>
      </w:r>
      <w:r w:rsidR="008F236C" w:rsidRPr="0009090C">
        <w:t>que par réquisitoire</w:t>
      </w:r>
      <w:r w:rsidR="00A24F3F">
        <w:t xml:space="preserve"> n° 2011</w:t>
      </w:r>
      <w:r w:rsidR="000A37A5">
        <w:t>-</w:t>
      </w:r>
      <w:r w:rsidR="00A24F3F">
        <w:t>65 RQ-</w:t>
      </w:r>
      <w:r w:rsidR="00A24F3F" w:rsidRPr="00A24F3F">
        <w:t>DB</w:t>
      </w:r>
      <w:r w:rsidR="00A24F3F">
        <w:t xml:space="preserve"> et réquisitoire supplétif</w:t>
      </w:r>
      <w:r w:rsidR="008F236C" w:rsidRPr="0009090C">
        <w:t xml:space="preserve"> </w:t>
      </w:r>
      <w:r w:rsidR="00A24F3F">
        <w:t>n° </w:t>
      </w:r>
      <w:r w:rsidR="00A24F3F" w:rsidRPr="00A24F3F">
        <w:t xml:space="preserve">2011-100-RQ-DB </w:t>
      </w:r>
      <w:r w:rsidR="008F236C" w:rsidRPr="0009090C">
        <w:t>susvisé</w:t>
      </w:r>
      <w:r w:rsidR="007A1491" w:rsidRPr="0009090C">
        <w:t>s</w:t>
      </w:r>
      <w:r w:rsidR="008F236C" w:rsidRPr="0009090C">
        <w:t xml:space="preserve">, le Procureur général a relevé </w:t>
      </w:r>
      <w:r w:rsidR="000B7931" w:rsidRPr="0009090C">
        <w:t>qu’en application des dispositions prévues, la formule utilisée est entachée d’erreur pour le bon de commande n°</w:t>
      </w:r>
      <w:r w:rsidR="005E1D54" w:rsidRPr="0009090C">
        <w:t> </w:t>
      </w:r>
      <w:r w:rsidR="000B7931" w:rsidRPr="0009090C">
        <w:t>3 du marché correspondant au mandat n° 895 du 7 septembre 2006 pour une valeur de 86</w:t>
      </w:r>
      <w:r w:rsidR="009B472F">
        <w:t> </w:t>
      </w:r>
      <w:r w:rsidR="000B7931" w:rsidRPr="0009090C">
        <w:t>970,29 € et le mandat n° </w:t>
      </w:r>
      <w:r w:rsidR="005E1D54" w:rsidRPr="0009090C">
        <w:t>255 du 4</w:t>
      </w:r>
      <w:r w:rsidR="009B472F">
        <w:t xml:space="preserve"> </w:t>
      </w:r>
      <w:r w:rsidR="000B7931" w:rsidRPr="0009090C">
        <w:t>av</w:t>
      </w:r>
      <w:r w:rsidR="00502FB9">
        <w:t>ril 2007, pour une valeur de 21 742,57 </w:t>
      </w:r>
      <w:r w:rsidR="000B7931" w:rsidRPr="0009090C">
        <w:t>€</w:t>
      </w:r>
      <w:r w:rsidR="008F236C" w:rsidRPr="0009090C">
        <w:t> ; q</w:t>
      </w:r>
      <w:r w:rsidR="000B7931" w:rsidRPr="0009090C">
        <w:t xml:space="preserve">ue le bordereau des prix unitaires (BPU) fait </w:t>
      </w:r>
      <w:r w:rsidR="005E1D54" w:rsidRPr="0009090C">
        <w:t>correspondre, sur le premier mandat, au pourcentage de 0,30 </w:t>
      </w:r>
      <w:r w:rsidR="000B7931" w:rsidRPr="0009090C">
        <w:t xml:space="preserve">% un </w:t>
      </w:r>
      <w:r w:rsidR="005E1D54" w:rsidRPr="0009090C">
        <w:t xml:space="preserve">paiement de </w:t>
      </w:r>
      <w:r w:rsidR="00224D0F" w:rsidRPr="0009090C">
        <w:t>720</w:t>
      </w:r>
      <w:r w:rsidR="009B472F">
        <w:t> </w:t>
      </w:r>
      <w:r w:rsidR="00224D0F" w:rsidRPr="0009090C">
        <w:t>€</w:t>
      </w:r>
      <w:r w:rsidR="009B472F">
        <w:t> </w:t>
      </w:r>
      <w:r w:rsidR="00224D0F" w:rsidRPr="0009090C">
        <w:t>HT (soit 861,12 </w:t>
      </w:r>
      <w:r w:rsidR="005E1D54" w:rsidRPr="0009090C">
        <w:t>€</w:t>
      </w:r>
      <w:r w:rsidR="009B472F">
        <w:t> </w:t>
      </w:r>
      <w:r w:rsidR="005E1D54" w:rsidRPr="0009090C">
        <w:t>TTC) en lieu et place de 72</w:t>
      </w:r>
      <w:r w:rsidR="009B472F">
        <w:t> </w:t>
      </w:r>
      <w:r w:rsidR="005E1D54" w:rsidRPr="0009090C">
        <w:t>€</w:t>
      </w:r>
      <w:r w:rsidR="009B472F">
        <w:t> </w:t>
      </w:r>
      <w:r w:rsidR="005E1D54" w:rsidRPr="0009090C">
        <w:t>HT (soit 86,11</w:t>
      </w:r>
      <w:r w:rsidR="009B472F">
        <w:t> </w:t>
      </w:r>
      <w:r w:rsidR="005E1D54" w:rsidRPr="0009090C">
        <w:t>€</w:t>
      </w:r>
      <w:r w:rsidR="009B472F">
        <w:t> </w:t>
      </w:r>
      <w:r w:rsidR="00003195">
        <w:t>TTC</w:t>
      </w:r>
      <w:r w:rsidR="005E1D54" w:rsidRPr="0009090C">
        <w:t>) ce qui représente un trop versé de 775,01 €</w:t>
      </w:r>
      <w:r w:rsidR="009B472F">
        <w:t> </w:t>
      </w:r>
      <w:r w:rsidR="005E1D54" w:rsidRPr="0009090C">
        <w:t>TTC ;</w:t>
      </w:r>
      <w:r w:rsidR="008F236C" w:rsidRPr="0009090C">
        <w:t xml:space="preserve"> que le </w:t>
      </w:r>
      <w:r w:rsidR="00224D0F" w:rsidRPr="0009090C">
        <w:t>bordereau de prix unitaire</w:t>
      </w:r>
      <w:r w:rsidR="008F236C" w:rsidRPr="0009090C">
        <w:t xml:space="preserve"> </w:t>
      </w:r>
      <w:r w:rsidR="0009090C" w:rsidRPr="0009090C">
        <w:t xml:space="preserve">(BPU) </w:t>
      </w:r>
      <w:r w:rsidR="008F236C" w:rsidRPr="0009090C">
        <w:t xml:space="preserve">à l’appui du </w:t>
      </w:r>
      <w:r w:rsidR="000B7931" w:rsidRPr="0009090C">
        <w:t>bon de commande n°</w:t>
      </w:r>
      <w:r w:rsidR="000F5B2C" w:rsidRPr="0009090C">
        <w:t> </w:t>
      </w:r>
      <w:r w:rsidR="000B7931" w:rsidRPr="0009090C">
        <w:t xml:space="preserve">4 </w:t>
      </w:r>
      <w:r w:rsidR="0009090C" w:rsidRPr="0009090C">
        <w:t xml:space="preserve">correspondant au </w:t>
      </w:r>
      <w:r w:rsidR="000B7931" w:rsidRPr="0009090C">
        <w:lastRenderedPageBreak/>
        <w:t xml:space="preserve">mandat n°1359 du 5 janvier 2007 d’un montant total de </w:t>
      </w:r>
      <w:r w:rsidR="00502FB9">
        <w:t>96 </w:t>
      </w:r>
      <w:r w:rsidR="000B7931" w:rsidRPr="0009090C">
        <w:t>931</w:t>
      </w:r>
      <w:r w:rsidR="00502FB9">
        <w:t> </w:t>
      </w:r>
      <w:r w:rsidR="008F236C" w:rsidRPr="0009090C">
        <w:t>€</w:t>
      </w:r>
      <w:r w:rsidR="00502FB9">
        <w:t> </w:t>
      </w:r>
      <w:r w:rsidR="000B7931" w:rsidRPr="0009090C">
        <w:t xml:space="preserve">TTC </w:t>
      </w:r>
      <w:r w:rsidR="008F236C" w:rsidRPr="0009090C">
        <w:t>fait correspondre au pourcentage de 0,30</w:t>
      </w:r>
      <w:r w:rsidR="000F5B2C" w:rsidRPr="0009090C">
        <w:t> </w:t>
      </w:r>
      <w:r w:rsidR="008F236C" w:rsidRPr="0009090C">
        <w:t xml:space="preserve">% un paiement </w:t>
      </w:r>
      <w:r w:rsidR="00502FB9">
        <w:t>18 </w:t>
      </w:r>
      <w:r w:rsidR="000B7931" w:rsidRPr="0009090C">
        <w:t>175,20</w:t>
      </w:r>
      <w:r w:rsidR="008F236C" w:rsidRPr="0009090C">
        <w:t> €</w:t>
      </w:r>
      <w:r w:rsidR="00502FB9">
        <w:t> </w:t>
      </w:r>
      <w:r w:rsidR="000B7931" w:rsidRPr="0009090C">
        <w:t xml:space="preserve">HT </w:t>
      </w:r>
      <w:r w:rsidR="008F236C" w:rsidRPr="0009090C">
        <w:t xml:space="preserve">en lieu et place </w:t>
      </w:r>
      <w:r w:rsidR="00502FB9">
        <w:t>de 181,75 € </w:t>
      </w:r>
      <w:r w:rsidR="000B7931" w:rsidRPr="0009090C">
        <w:t>HT (soit 217,37</w:t>
      </w:r>
      <w:r w:rsidR="008F236C" w:rsidRPr="0009090C">
        <w:t> €</w:t>
      </w:r>
      <w:r w:rsidR="009B472F">
        <w:t> </w:t>
      </w:r>
      <w:r w:rsidR="000B7931" w:rsidRPr="0009090C">
        <w:t>TTC</w:t>
      </w:r>
      <w:r w:rsidR="000F5B2C" w:rsidRPr="0009090C">
        <w:t>) ;</w:t>
      </w:r>
    </w:p>
    <w:p w:rsidR="0009090C" w:rsidRDefault="0009090C" w:rsidP="0009090C">
      <w:pPr>
        <w:pStyle w:val="Corpsdetexte"/>
      </w:pPr>
      <w:r w:rsidRPr="0009090C">
        <w:t>Considérant qu’aux termes de l’article</w:t>
      </w:r>
      <w:r w:rsidR="009B472F">
        <w:t xml:space="preserve"> </w:t>
      </w:r>
      <w:r w:rsidRPr="0009090C">
        <w:t>12</w:t>
      </w:r>
      <w:r w:rsidR="009B472F">
        <w:t xml:space="preserve"> </w:t>
      </w:r>
      <w:r w:rsidRPr="0009090C">
        <w:t xml:space="preserve">B </w:t>
      </w:r>
      <w:r w:rsidR="005951ED">
        <w:t>du décret n°62-1587 du 29</w:t>
      </w:r>
      <w:r w:rsidR="009B472F">
        <w:t xml:space="preserve"> </w:t>
      </w:r>
      <w:r w:rsidR="005951ED" w:rsidRPr="005951ED">
        <w:t>décembre 1962 portant règlement général sur la comptabilité publique</w:t>
      </w:r>
      <w:r w:rsidRPr="0009090C">
        <w:t>, les comptables sont tenus d’exercer « </w:t>
      </w:r>
      <w:r w:rsidRPr="0009090C">
        <w:rPr>
          <w:i/>
        </w:rPr>
        <w:t xml:space="preserve">en matière de dépenses, le contrôle </w:t>
      </w:r>
      <w:r>
        <w:rPr>
          <w:i/>
        </w:rPr>
        <w:t>[…]</w:t>
      </w:r>
      <w:r w:rsidRPr="0009090C">
        <w:rPr>
          <w:i/>
        </w:rPr>
        <w:t xml:space="preserve"> de la validité de la créance dans les conditions prévues à l’article</w:t>
      </w:r>
      <w:r w:rsidR="009B472F">
        <w:rPr>
          <w:i/>
        </w:rPr>
        <w:t xml:space="preserve"> </w:t>
      </w:r>
      <w:r w:rsidRPr="0009090C">
        <w:rPr>
          <w:i/>
        </w:rPr>
        <w:t xml:space="preserve">13 </w:t>
      </w:r>
      <w:r>
        <w:rPr>
          <w:i/>
        </w:rPr>
        <w:t>[…]</w:t>
      </w:r>
      <w:r w:rsidRPr="0009090C">
        <w:rPr>
          <w:i/>
        </w:rPr>
        <w:t> </w:t>
      </w:r>
      <w:r w:rsidRPr="009B472F">
        <w:t>»</w:t>
      </w:r>
      <w:r w:rsidRPr="0009090C">
        <w:rPr>
          <w:i/>
        </w:rPr>
        <w:t xml:space="preserve"> ; </w:t>
      </w:r>
      <w:r w:rsidRPr="005521BA">
        <w:t>qu’aux termes de l’article</w:t>
      </w:r>
      <w:r w:rsidR="009B472F">
        <w:t xml:space="preserve"> </w:t>
      </w:r>
      <w:r w:rsidRPr="005521BA">
        <w:t xml:space="preserve">13, </w:t>
      </w:r>
      <w:r w:rsidRPr="009B472F">
        <w:t>« </w:t>
      </w:r>
      <w:r w:rsidRPr="0009090C">
        <w:rPr>
          <w:i/>
        </w:rPr>
        <w:t xml:space="preserve">en ce qui concerne la validité de la créance, le contrôle porte sur </w:t>
      </w:r>
      <w:r>
        <w:rPr>
          <w:i/>
        </w:rPr>
        <w:t>[…]</w:t>
      </w:r>
      <w:r w:rsidRPr="0009090C">
        <w:rPr>
          <w:i/>
        </w:rPr>
        <w:t xml:space="preserve"> l’exactitude des calculs de liquidation </w:t>
      </w:r>
      <w:r w:rsidRPr="0009090C">
        <w:t>» ;</w:t>
      </w:r>
    </w:p>
    <w:p w:rsidR="0009090C" w:rsidRPr="0009090C" w:rsidRDefault="0009090C" w:rsidP="007C448C">
      <w:pPr>
        <w:pStyle w:val="Corpsdetexte"/>
        <w:keepNext/>
        <w:keepLines/>
      </w:pPr>
      <w:r w:rsidRPr="0009090C">
        <w:t>Considérant qu’aux termes de l’article 60</w:t>
      </w:r>
      <w:r w:rsidR="005951ED">
        <w:t>-I</w:t>
      </w:r>
      <w:r w:rsidRPr="0009090C">
        <w:t xml:space="preserve"> de la loi du 23 février 1963 susvisée, « </w:t>
      </w:r>
      <w:r w:rsidR="005951ED">
        <w:rPr>
          <w:i/>
        </w:rPr>
        <w:t>l</w:t>
      </w:r>
      <w:r w:rsidRPr="0009090C">
        <w:rPr>
          <w:i/>
        </w:rPr>
        <w:t xml:space="preserve">es comptables publics sont personnellement et pécuniairement responsables </w:t>
      </w:r>
      <w:r w:rsidR="005951ED" w:rsidRPr="005951ED">
        <w:rPr>
          <w:i/>
        </w:rPr>
        <w:t>[…]</w:t>
      </w:r>
      <w:r w:rsidRPr="0009090C">
        <w:rPr>
          <w:i/>
        </w:rPr>
        <w:t xml:space="preserve"> du paiement des dépenses </w:t>
      </w:r>
      <w:r w:rsidR="005951ED" w:rsidRPr="005951ED">
        <w:rPr>
          <w:i/>
        </w:rPr>
        <w:t>[…]</w:t>
      </w:r>
      <w:r w:rsidRPr="0009090C">
        <w:rPr>
          <w:i/>
        </w:rPr>
        <w:t xml:space="preserve">. [Leur] responsabilité personnelle et pécuniaire </w:t>
      </w:r>
      <w:r w:rsidR="005951ED" w:rsidRPr="005951ED">
        <w:rPr>
          <w:i/>
        </w:rPr>
        <w:t>[…]</w:t>
      </w:r>
      <w:r w:rsidRPr="0009090C">
        <w:rPr>
          <w:i/>
        </w:rPr>
        <w:t xml:space="preserve"> se trouve engagée dès lors </w:t>
      </w:r>
      <w:r w:rsidR="005951ED" w:rsidRPr="005951ED">
        <w:rPr>
          <w:i/>
        </w:rPr>
        <w:t>[…]</w:t>
      </w:r>
      <w:r w:rsidRPr="0009090C">
        <w:rPr>
          <w:i/>
        </w:rPr>
        <w:t xml:space="preserve"> qu’une dépense a été irrégulièrement payée </w:t>
      </w:r>
      <w:r w:rsidRPr="0009090C">
        <w:t>» ;</w:t>
      </w:r>
    </w:p>
    <w:p w:rsidR="00686F99" w:rsidRPr="008F236C" w:rsidRDefault="0085209E" w:rsidP="008F236C">
      <w:pPr>
        <w:pStyle w:val="Corpsdetexte"/>
      </w:pPr>
      <w:r>
        <w:t xml:space="preserve">Considérant </w:t>
      </w:r>
      <w:r w:rsidR="00686F99" w:rsidRPr="008F236C">
        <w:t>que l</w:t>
      </w:r>
      <w:r w:rsidR="00E23CDD" w:rsidRPr="008F236C">
        <w:t xml:space="preserve">’agent comptable </w:t>
      </w:r>
      <w:r w:rsidR="00686F99" w:rsidRPr="008F236C">
        <w:t xml:space="preserve">n’a pas contesté le trop-payé ; qu’il a </w:t>
      </w:r>
      <w:r w:rsidR="00E23CDD" w:rsidRPr="008F236C">
        <w:t>entrepris d’en faire recouvrer le montant, après émission d’un titr</w:t>
      </w:r>
      <w:r w:rsidR="00686F99" w:rsidRPr="008F236C">
        <w:t xml:space="preserve">e de recette par l’ordonnateur ; que </w:t>
      </w:r>
      <w:r w:rsidR="00E23CDD" w:rsidRPr="008F236C">
        <w:t>l’entreprise n’a pas contesté</w:t>
      </w:r>
      <w:r w:rsidR="00686F99" w:rsidRPr="008F236C">
        <w:t xml:space="preserve"> la procédure ;</w:t>
      </w:r>
    </w:p>
    <w:p w:rsidR="00686F99" w:rsidRPr="008F236C" w:rsidRDefault="0085209E" w:rsidP="008F236C">
      <w:pPr>
        <w:pStyle w:val="Corpsdetexte"/>
      </w:pPr>
      <w:r>
        <w:t xml:space="preserve">Considérant </w:t>
      </w:r>
      <w:r w:rsidR="00686F99" w:rsidRPr="008F236C">
        <w:t>que l</w:t>
      </w:r>
      <w:r w:rsidR="00E23CDD" w:rsidRPr="008F236C">
        <w:t>’instruction a permis d’apport</w:t>
      </w:r>
      <w:r w:rsidR="00502FB9">
        <w:t>er la preuve qu’une somme de 22 295,17 </w:t>
      </w:r>
      <w:r w:rsidR="00686F99" w:rsidRPr="008F236C">
        <w:t xml:space="preserve">€ </w:t>
      </w:r>
      <w:r w:rsidR="00E23CDD" w:rsidRPr="008F236C">
        <w:t>a ét</w:t>
      </w:r>
      <w:r w:rsidR="0009090C">
        <w:t>é recouvrée, mais qu’il subsistait</w:t>
      </w:r>
      <w:r w:rsidR="00E23CDD" w:rsidRPr="008F236C">
        <w:t xml:space="preserve"> </w:t>
      </w:r>
      <w:r w:rsidR="005951ED">
        <w:t>un</w:t>
      </w:r>
      <w:r w:rsidR="00E23CDD" w:rsidRPr="008F236C">
        <w:t xml:space="preserve"> reliquat de 217,38</w:t>
      </w:r>
      <w:r w:rsidR="00502FB9">
        <w:t> </w:t>
      </w:r>
      <w:r w:rsidR="00686F99" w:rsidRPr="008F236C">
        <w:t xml:space="preserve">€ </w:t>
      </w:r>
      <w:r w:rsidR="00E23CDD" w:rsidRPr="008F236C">
        <w:t>(</w:t>
      </w:r>
      <w:r w:rsidR="00502FB9">
        <w:t>22 </w:t>
      </w:r>
      <w:r w:rsidR="00686F99" w:rsidRPr="008F236C">
        <w:t xml:space="preserve">512,55 € </w:t>
      </w:r>
      <w:r w:rsidR="009B472F">
        <w:t>–</w:t>
      </w:r>
      <w:r w:rsidR="00686F99" w:rsidRPr="008F236C">
        <w:t xml:space="preserve"> 22 295,17</w:t>
      </w:r>
      <w:r w:rsidR="009B472F">
        <w:t> </w:t>
      </w:r>
      <w:r w:rsidR="00686F99" w:rsidRPr="008F236C">
        <w:t>€</w:t>
      </w:r>
      <w:r w:rsidR="00E23CDD" w:rsidRPr="008F236C">
        <w:t xml:space="preserve">), </w:t>
      </w:r>
      <w:r w:rsidR="0009090C">
        <w:t>constaté dans le réquisitoire supplétif</w:t>
      </w:r>
      <w:r w:rsidR="00F00307" w:rsidRPr="008F236C">
        <w:t xml:space="preserve"> ; </w:t>
      </w:r>
      <w:r>
        <w:t xml:space="preserve">qu’à titre accessoire, il est relevé que </w:t>
      </w:r>
      <w:r w:rsidR="00E23CDD" w:rsidRPr="008F236C">
        <w:t xml:space="preserve">selon la règle des arrondis </w:t>
      </w:r>
      <w:r w:rsidR="00F00307" w:rsidRPr="008F236C">
        <w:t>retenue</w:t>
      </w:r>
      <w:r w:rsidR="00E23CDD" w:rsidRPr="008F236C">
        <w:t>, ce reliquat est susceptible de vari</w:t>
      </w:r>
      <w:r w:rsidR="0009090C">
        <w:t>er d’un centime d’euro ;</w:t>
      </w:r>
    </w:p>
    <w:p w:rsidR="00686F99" w:rsidRPr="008F236C" w:rsidRDefault="0085209E" w:rsidP="008F236C">
      <w:pPr>
        <w:pStyle w:val="Corpsdetexte"/>
      </w:pPr>
      <w:r>
        <w:t xml:space="preserve">Considérant </w:t>
      </w:r>
      <w:r w:rsidR="00686F99" w:rsidRPr="008F236C">
        <w:t>que l</w:t>
      </w:r>
      <w:r w:rsidR="00E23CDD" w:rsidRPr="008F236C">
        <w:t>es recouvrements</w:t>
      </w:r>
      <w:r w:rsidR="00686F99" w:rsidRPr="008F236C">
        <w:t xml:space="preserve"> couvrent </w:t>
      </w:r>
      <w:r w:rsidR="00E23CDD" w:rsidRPr="008F236C">
        <w:t>la totalité de deux des trois mandatements erronés et l’essentiel du troisième</w:t>
      </w:r>
      <w:r w:rsidR="00686F99" w:rsidRPr="008F236C">
        <w:t> ; qu’il</w:t>
      </w:r>
      <w:r w:rsidR="00CB6D63">
        <w:t xml:space="preserve"> reste ainsi un solde </w:t>
      </w:r>
      <w:r w:rsidR="001D48D4">
        <w:t xml:space="preserve">de </w:t>
      </w:r>
      <w:r w:rsidR="00502FB9">
        <w:t>217,37 </w:t>
      </w:r>
      <w:r w:rsidR="00CB6D63">
        <w:t>€</w:t>
      </w:r>
      <w:r w:rsidR="00A7074C">
        <w:t>, dont le recouvrement n’a pas été poursuivi</w:t>
      </w:r>
      <w:r w:rsidR="00CB6D63">
        <w:t> ;</w:t>
      </w:r>
    </w:p>
    <w:p w:rsidR="005E1D54" w:rsidRDefault="005E1D54" w:rsidP="00D96204">
      <w:pPr>
        <w:pStyle w:val="Corpsdetexte"/>
      </w:pPr>
      <w:r>
        <w:t xml:space="preserve">Considérant que si </w:t>
      </w:r>
      <w:r w:rsidRPr="005E1D54">
        <w:t xml:space="preserve">la responsabilité </w:t>
      </w:r>
      <w:r>
        <w:t xml:space="preserve">du comptable </w:t>
      </w:r>
      <w:r w:rsidRPr="005E1D54">
        <w:t xml:space="preserve">s’apprécie à la date du </w:t>
      </w:r>
      <w:r>
        <w:t xml:space="preserve">paiement irrégulier </w:t>
      </w:r>
      <w:r w:rsidRPr="005E1D54">
        <w:t xml:space="preserve">de la dépense, </w:t>
      </w:r>
      <w:r>
        <w:t xml:space="preserve">celui-ci </w:t>
      </w:r>
      <w:r w:rsidRPr="005E1D54">
        <w:t xml:space="preserve">peut dégager sa responsabilité dès lors qu’il apporte la preuve que la somme </w:t>
      </w:r>
      <w:r w:rsidR="006049C2">
        <w:t xml:space="preserve">correspondant au remboursement du trop payé </w:t>
      </w:r>
      <w:r>
        <w:t>en cause a été recouvrée</w:t>
      </w:r>
      <w:r w:rsidR="00A7074C">
        <w:t xml:space="preserve"> ou que la possibilité de la recouvrer en est assurée par l’exercice</w:t>
      </w:r>
      <w:r w:rsidR="006049C2">
        <w:t xml:space="preserve">, en temps utile, </w:t>
      </w:r>
      <w:r w:rsidR="00A7074C">
        <w:t>des diligences appropriées</w:t>
      </w:r>
      <w:r>
        <w:t> ;</w:t>
      </w:r>
    </w:p>
    <w:p w:rsidR="00D96204" w:rsidRDefault="00D96204" w:rsidP="00D96204">
      <w:pPr>
        <w:pStyle w:val="Corpsdetexte"/>
      </w:pPr>
      <w:r>
        <w:t xml:space="preserve">Considérant </w:t>
      </w:r>
      <w:r w:rsidR="005951ED">
        <w:t xml:space="preserve">cependant </w:t>
      </w:r>
      <w:r>
        <w:t>que, selon les dispositions de l’article 60-I de la loi du 23 février 1963, «</w:t>
      </w:r>
      <w:r w:rsidR="00096E68">
        <w:t> </w:t>
      </w:r>
      <w:r w:rsidRPr="008864F6">
        <w:rPr>
          <w:i/>
        </w:rPr>
        <w:t>les comptables publics sont personnellement et pécuniairement responsables du recouvrement des recettes […]</w:t>
      </w:r>
      <w:r w:rsidR="005951ED">
        <w:rPr>
          <w:i/>
        </w:rPr>
        <w:t xml:space="preserve"> </w:t>
      </w:r>
      <w:r w:rsidRPr="008864F6">
        <w:rPr>
          <w:i/>
        </w:rPr>
        <w:t>La responsabilité personnelle et pécuniaire prévue ci-dessus se trouve engagée dès lors […] qu’une recette n’a pas été recouvrée</w:t>
      </w:r>
      <w:r w:rsidR="00096E68">
        <w:t> </w:t>
      </w:r>
      <w:r>
        <w:t>»</w:t>
      </w:r>
      <w:r w:rsidR="00096E68">
        <w:t> ;</w:t>
      </w:r>
    </w:p>
    <w:p w:rsidR="00D96204" w:rsidRDefault="00D96204" w:rsidP="00D96204">
      <w:pPr>
        <w:pStyle w:val="Corpsdetexte"/>
      </w:pPr>
      <w:r>
        <w:t xml:space="preserve">Considérant qu’aux termes de l’article 60-VIII </w:t>
      </w:r>
      <w:r w:rsidR="00224D0F" w:rsidRPr="00224D0F">
        <w:t>de la loi du 23 février 1963</w:t>
      </w:r>
      <w:r>
        <w:t>, les intérêts au taux légal courent «</w:t>
      </w:r>
      <w:r w:rsidR="00096E68">
        <w:t> </w:t>
      </w:r>
      <w:r w:rsidRPr="008864F6">
        <w:rPr>
          <w:i/>
        </w:rPr>
        <w:t>à compter du premier acte de la mise en jeu de la responsabilité personnelle et pécuniaire des comptables publics</w:t>
      </w:r>
      <w:r w:rsidR="00096E68">
        <w:t> </w:t>
      </w:r>
      <w:r>
        <w:t>»</w:t>
      </w:r>
      <w:r w:rsidR="00096E68">
        <w:t> </w:t>
      </w:r>
      <w:r>
        <w:t>;</w:t>
      </w:r>
    </w:p>
    <w:p w:rsidR="00D96204" w:rsidRDefault="00D96204" w:rsidP="00D96204">
      <w:pPr>
        <w:pStyle w:val="Corpsdetexte"/>
      </w:pPr>
      <w:r>
        <w:t>Par ces motifs,</w:t>
      </w:r>
    </w:p>
    <w:p w:rsidR="00D96204" w:rsidRDefault="00686F99" w:rsidP="0009090C">
      <w:pPr>
        <w:pStyle w:val="Corpsdetexte"/>
      </w:pPr>
      <w:r w:rsidRPr="0009090C">
        <w:t>- M</w:t>
      </w:r>
      <w:r w:rsidR="006A52C9">
        <w:t>. </w:t>
      </w:r>
      <w:r w:rsidR="000E749C">
        <w:t>Y</w:t>
      </w:r>
      <w:r w:rsidR="006A52C9">
        <w:t xml:space="preserve">, agent comptable, </w:t>
      </w:r>
      <w:r w:rsidRPr="0009090C">
        <w:t>est constitué</w:t>
      </w:r>
      <w:r w:rsidR="00D96204" w:rsidRPr="0009090C">
        <w:t xml:space="preserve"> </w:t>
      </w:r>
      <w:r w:rsidRPr="0009090C">
        <w:t>débiteur</w:t>
      </w:r>
      <w:r w:rsidR="00D96204" w:rsidRPr="0009090C">
        <w:t xml:space="preserve"> envers </w:t>
      </w:r>
      <w:r w:rsidR="00CB6D63" w:rsidRPr="0009090C">
        <w:t>l’établissement public du campus de Jussieu (EPCJ), devenu l’établissement public d’aménagement universitaire de la région Ile</w:t>
      </w:r>
      <w:r w:rsidR="00CB6D63" w:rsidRPr="0009090C">
        <w:noBreakHyphen/>
        <w:t>de</w:t>
      </w:r>
      <w:r w:rsidR="00CB6D63" w:rsidRPr="0009090C">
        <w:noBreakHyphen/>
        <w:t xml:space="preserve">France (EPAURIF), </w:t>
      </w:r>
      <w:r w:rsidR="00D96204" w:rsidRPr="0009090C">
        <w:t xml:space="preserve">au titre de l’année </w:t>
      </w:r>
      <w:r w:rsidR="006D6A5A" w:rsidRPr="0009090C">
        <w:t>2007</w:t>
      </w:r>
      <w:r w:rsidR="00D96204" w:rsidRPr="0009090C">
        <w:t xml:space="preserve">, de la somme de </w:t>
      </w:r>
      <w:r w:rsidR="009850E5">
        <w:t>deux cent dix-sept euros et trente-sept centimes (</w:t>
      </w:r>
      <w:r w:rsidRPr="0009090C">
        <w:t>217,37 €</w:t>
      </w:r>
      <w:r w:rsidR="009850E5">
        <w:t>)</w:t>
      </w:r>
      <w:r w:rsidR="00D96204" w:rsidRPr="0009090C">
        <w:t xml:space="preserve"> augmentée des </w:t>
      </w:r>
      <w:r w:rsidR="00D96204" w:rsidRPr="0009090C">
        <w:lastRenderedPageBreak/>
        <w:t xml:space="preserve">intérêts de droit à compter </w:t>
      </w:r>
      <w:r w:rsidR="00D96204" w:rsidRPr="00A24F3F">
        <w:t xml:space="preserve">du </w:t>
      </w:r>
      <w:r w:rsidR="00A24F3F" w:rsidRPr="00A24F3F">
        <w:t>10 novembre 2011</w:t>
      </w:r>
      <w:r w:rsidR="00D96204" w:rsidRPr="00A24F3F">
        <w:t xml:space="preserve">, date de la réception par </w:t>
      </w:r>
      <w:r w:rsidR="00CB6D63" w:rsidRPr="00A24F3F">
        <w:t>le comptable</w:t>
      </w:r>
      <w:r w:rsidR="00224D0F" w:rsidRPr="00A24F3F">
        <w:t xml:space="preserve"> </w:t>
      </w:r>
      <w:r w:rsidR="00524274" w:rsidRPr="00A24F3F">
        <w:t>du réquisitoire</w:t>
      </w:r>
      <w:r w:rsidR="0009090C" w:rsidRPr="00A24F3F">
        <w:t xml:space="preserve"> supplétif</w:t>
      </w:r>
      <w:r w:rsidR="002A19CD">
        <w:t>.</w:t>
      </w:r>
    </w:p>
    <w:p w:rsidR="00485FDC" w:rsidRPr="0009090C" w:rsidRDefault="00485FDC" w:rsidP="0009090C">
      <w:pPr>
        <w:pStyle w:val="Corpsdetexte"/>
      </w:pPr>
    </w:p>
    <w:p w:rsidR="00686F99" w:rsidRDefault="00743A56" w:rsidP="00686F99">
      <w:pPr>
        <w:pStyle w:val="Corpsdetexte"/>
        <w:rPr>
          <w:i/>
          <w:u w:val="single"/>
        </w:rPr>
      </w:pPr>
      <w:r w:rsidRPr="00743A56">
        <w:rPr>
          <w:i/>
          <w:u w:val="single"/>
        </w:rPr>
        <w:t xml:space="preserve">Présomption de </w:t>
      </w:r>
      <w:r w:rsidR="00686F99" w:rsidRPr="00FE2074">
        <w:rPr>
          <w:i/>
          <w:u w:val="single"/>
        </w:rPr>
        <w:t>charge</w:t>
      </w:r>
      <w:r>
        <w:rPr>
          <w:i/>
          <w:u w:val="single"/>
        </w:rPr>
        <w:t xml:space="preserve"> n° 3</w:t>
      </w:r>
    </w:p>
    <w:p w:rsidR="00224D0F" w:rsidRPr="0073738E" w:rsidRDefault="00A7074C" w:rsidP="0073738E">
      <w:pPr>
        <w:pStyle w:val="Corpsdetexte"/>
      </w:pPr>
      <w:r>
        <w:t xml:space="preserve">Considérant </w:t>
      </w:r>
      <w:r w:rsidR="00E62FD3" w:rsidRPr="00E62FD3">
        <w:t xml:space="preserve">que </w:t>
      </w:r>
      <w:r w:rsidR="000E749C">
        <w:t>M. Y</w:t>
      </w:r>
      <w:r w:rsidR="00E62FD3" w:rsidRPr="00E62FD3">
        <w:t xml:space="preserve">, agent comptable de l’établissement public du campus de Jussieu (EPCJ), devenu l’établissement public d’aménagement universitaire de la région Ile-de-France (EPAURIF), </w:t>
      </w:r>
      <w:r w:rsidR="00CB6D63" w:rsidRPr="0073738E">
        <w:t xml:space="preserve">a mis en paiement </w:t>
      </w:r>
      <w:r w:rsidR="00686F99" w:rsidRPr="0073738E">
        <w:t>quatre mandat</w:t>
      </w:r>
      <w:r w:rsidR="00224D0F" w:rsidRPr="0073738E">
        <w:t>s</w:t>
      </w:r>
      <w:r w:rsidR="0073738E" w:rsidRPr="0073738E">
        <w:t xml:space="preserve">, </w:t>
      </w:r>
      <w:r w:rsidR="005F74A9">
        <w:t>n° 2478 du 2</w:t>
      </w:r>
      <w:r w:rsidR="00096E68">
        <w:t xml:space="preserve"> </w:t>
      </w:r>
      <w:r w:rsidR="00224D0F" w:rsidRPr="0073738E">
        <w:t>décembre 2009, n° 2518 du 4 décembre 2009, n°</w:t>
      </w:r>
      <w:r w:rsidR="005F74A9">
        <w:t xml:space="preserve"> 2643 du 18 décembre 2009 et n° </w:t>
      </w:r>
      <w:r w:rsidR="00224D0F" w:rsidRPr="0073738E">
        <w:t xml:space="preserve">2832 du 13 janvier 2010, </w:t>
      </w:r>
      <w:r w:rsidR="00524274">
        <w:t xml:space="preserve">au profit de </w:t>
      </w:r>
      <w:r w:rsidR="00224D0F" w:rsidRPr="0073738E">
        <w:t xml:space="preserve">la société Bailly Entreprises </w:t>
      </w:r>
      <w:r w:rsidR="0073738E" w:rsidRPr="0073738E">
        <w:t xml:space="preserve">pour les montants respectifs </w:t>
      </w:r>
      <w:r w:rsidR="00224D0F" w:rsidRPr="0073738E">
        <w:t>de 5</w:t>
      </w:r>
      <w:r w:rsidR="00096E68">
        <w:t> </w:t>
      </w:r>
      <w:r w:rsidR="00224D0F" w:rsidRPr="0073738E">
        <w:t>316,05</w:t>
      </w:r>
      <w:r w:rsidR="00096E68">
        <w:t> </w:t>
      </w:r>
      <w:r w:rsidR="00224D0F" w:rsidRPr="0073738E">
        <w:t xml:space="preserve">€, </w:t>
      </w:r>
      <w:r w:rsidR="0073738E" w:rsidRPr="0073738E">
        <w:t xml:space="preserve">de </w:t>
      </w:r>
      <w:r w:rsidR="00224D0F" w:rsidRPr="0073738E">
        <w:t>54</w:t>
      </w:r>
      <w:r w:rsidR="00096E68">
        <w:t> </w:t>
      </w:r>
      <w:r w:rsidR="00224D0F" w:rsidRPr="0073738E">
        <w:t>215,47</w:t>
      </w:r>
      <w:r w:rsidR="00096E68">
        <w:t> </w:t>
      </w:r>
      <w:r w:rsidR="00224D0F" w:rsidRPr="0073738E">
        <w:t xml:space="preserve">€, </w:t>
      </w:r>
      <w:r w:rsidR="0073738E" w:rsidRPr="0073738E">
        <w:t xml:space="preserve">de </w:t>
      </w:r>
      <w:r w:rsidR="00224D0F" w:rsidRPr="0073738E">
        <w:t>132</w:t>
      </w:r>
      <w:r w:rsidR="00096E68">
        <w:t> </w:t>
      </w:r>
      <w:r w:rsidR="00224D0F" w:rsidRPr="0073738E">
        <w:t>619,05</w:t>
      </w:r>
      <w:r w:rsidR="00096E68">
        <w:t> </w:t>
      </w:r>
      <w:r w:rsidR="00224D0F" w:rsidRPr="0073738E">
        <w:t xml:space="preserve">€ et </w:t>
      </w:r>
      <w:r w:rsidR="0073738E" w:rsidRPr="0073738E">
        <w:t xml:space="preserve">de </w:t>
      </w:r>
      <w:r w:rsidR="00485FDC">
        <w:t>21 116,64 </w:t>
      </w:r>
      <w:r w:rsidR="00224D0F" w:rsidRPr="0073738E">
        <w:t>€, en règlement de prestations de déménagement nécessaires à la libération des bâtiments situés sur l’emprise dite de «</w:t>
      </w:r>
      <w:r w:rsidR="00096E68">
        <w:t> </w:t>
      </w:r>
      <w:r w:rsidR="00224D0F" w:rsidRPr="0073738E">
        <w:t>l’îlot Cuvier</w:t>
      </w:r>
      <w:r w:rsidR="00096E68">
        <w:t> </w:t>
      </w:r>
      <w:r w:rsidR="00224D0F" w:rsidRPr="0073738E">
        <w:t>» et à l’aménagement d’un nouveau bâtiment, dénommé «</w:t>
      </w:r>
      <w:r w:rsidR="00096E68">
        <w:t> </w:t>
      </w:r>
      <w:r w:rsidR="00224D0F" w:rsidRPr="0073738E">
        <w:t>l’Atrium</w:t>
      </w:r>
      <w:r w:rsidR="00096E68">
        <w:t> </w:t>
      </w:r>
      <w:r w:rsidR="00224D0F" w:rsidRPr="0073738E">
        <w:t>»</w:t>
      </w:r>
      <w:r w:rsidR="0073738E" w:rsidRPr="0073738E">
        <w:t> ;</w:t>
      </w:r>
    </w:p>
    <w:p w:rsidR="00686F99" w:rsidRDefault="00A7074C" w:rsidP="0073738E">
      <w:pPr>
        <w:pStyle w:val="Corpsdetexte"/>
      </w:pPr>
      <w:r>
        <w:t xml:space="preserve">Considérant </w:t>
      </w:r>
      <w:r w:rsidR="00A24F3F" w:rsidRPr="00A24F3F">
        <w:t>que par réquisitoire n° 2011</w:t>
      </w:r>
      <w:r w:rsidR="00096E68">
        <w:t>-</w:t>
      </w:r>
      <w:r w:rsidR="00A24F3F" w:rsidRPr="00A24F3F">
        <w:t>65</w:t>
      </w:r>
      <w:r w:rsidR="00096E68">
        <w:t>-</w:t>
      </w:r>
      <w:r w:rsidR="00A24F3F" w:rsidRPr="00A24F3F">
        <w:t>RQ-</w:t>
      </w:r>
      <w:r w:rsidR="00A24F3F">
        <w:t>DB et réquisitoire supplétif n° </w:t>
      </w:r>
      <w:r w:rsidR="00A24F3F" w:rsidRPr="00A24F3F">
        <w:t>2011-100-RQ-DB susvisés</w:t>
      </w:r>
      <w:r w:rsidR="00CB6D63" w:rsidRPr="0073738E">
        <w:t>, le</w:t>
      </w:r>
      <w:r w:rsidR="008864F6" w:rsidRPr="0073738E">
        <w:t xml:space="preserve"> Procureur général a relevé un </w:t>
      </w:r>
      <w:r w:rsidR="0073738E" w:rsidRPr="0073738E">
        <w:t>trop</w:t>
      </w:r>
      <w:r w:rsidR="0073738E" w:rsidRPr="0073738E">
        <w:noBreakHyphen/>
      </w:r>
      <w:r w:rsidR="00485FDC">
        <w:t>payé de 2 </w:t>
      </w:r>
      <w:r w:rsidR="00686F99" w:rsidRPr="0073738E">
        <w:t>893,18</w:t>
      </w:r>
      <w:r w:rsidR="00F00307" w:rsidRPr="0073738E">
        <w:t> €</w:t>
      </w:r>
      <w:r w:rsidR="00686F99" w:rsidRPr="0073738E">
        <w:t>, qui résultaient d’une application erronée de coefficients d’actualisation, par omission de la pondération retenu</w:t>
      </w:r>
      <w:r w:rsidR="00B333F1">
        <w:t>e dans la formule contractuelle ;</w:t>
      </w:r>
    </w:p>
    <w:p w:rsidR="00B333F1" w:rsidRDefault="005F74A9" w:rsidP="00B333F1">
      <w:pPr>
        <w:pStyle w:val="Corpsdetexte"/>
      </w:pPr>
      <w:r w:rsidRPr="0009090C">
        <w:t>Considérant qu’aux termes de l’article</w:t>
      </w:r>
      <w:r w:rsidR="00096E68">
        <w:t xml:space="preserve"> </w:t>
      </w:r>
      <w:r w:rsidRPr="0009090C">
        <w:t>12</w:t>
      </w:r>
      <w:r w:rsidR="00096E68">
        <w:t xml:space="preserve"> </w:t>
      </w:r>
      <w:r w:rsidRPr="0009090C">
        <w:t xml:space="preserve">B </w:t>
      </w:r>
      <w:r>
        <w:t>du décret n° 62-1587 du 29</w:t>
      </w:r>
      <w:r w:rsidR="00096E68">
        <w:t xml:space="preserve"> </w:t>
      </w:r>
      <w:r w:rsidRPr="005951ED">
        <w:t>décembre 1962 portant règlement général sur la comptabilité publique</w:t>
      </w:r>
      <w:r w:rsidRPr="0009090C">
        <w:t>, les comptables sont tenus d’exercer « </w:t>
      </w:r>
      <w:r w:rsidRPr="0009090C">
        <w:rPr>
          <w:i/>
        </w:rPr>
        <w:t xml:space="preserve">en matière de dépenses, le contrôle </w:t>
      </w:r>
      <w:r>
        <w:rPr>
          <w:i/>
        </w:rPr>
        <w:t>[…]</w:t>
      </w:r>
      <w:r w:rsidRPr="0009090C">
        <w:rPr>
          <w:i/>
        </w:rPr>
        <w:t xml:space="preserve"> de la validité de la créance dans les conditions prévues à l’article 13 </w:t>
      </w:r>
      <w:r>
        <w:rPr>
          <w:i/>
        </w:rPr>
        <w:t>[…]</w:t>
      </w:r>
      <w:r w:rsidRPr="0009090C">
        <w:rPr>
          <w:i/>
        </w:rPr>
        <w:t> </w:t>
      </w:r>
      <w:r w:rsidRPr="00096E68">
        <w:t>»</w:t>
      </w:r>
      <w:r w:rsidRPr="0009090C">
        <w:rPr>
          <w:i/>
        </w:rPr>
        <w:t xml:space="preserve"> ; </w:t>
      </w:r>
      <w:r w:rsidRPr="005521BA">
        <w:t>qu’aux termes de l’article 13,</w:t>
      </w:r>
      <w:r w:rsidRPr="0009090C">
        <w:rPr>
          <w:i/>
        </w:rPr>
        <w:t xml:space="preserve"> </w:t>
      </w:r>
      <w:r w:rsidRPr="00096E68">
        <w:t>« </w:t>
      </w:r>
      <w:r w:rsidRPr="0009090C">
        <w:rPr>
          <w:i/>
        </w:rPr>
        <w:t xml:space="preserve">en ce qui concerne la validité de la créance, le contrôle porte sur </w:t>
      </w:r>
      <w:r>
        <w:rPr>
          <w:i/>
        </w:rPr>
        <w:t>[…]</w:t>
      </w:r>
      <w:r w:rsidRPr="0009090C">
        <w:rPr>
          <w:i/>
        </w:rPr>
        <w:t xml:space="preserve"> l’exactitude des calculs de liquidation </w:t>
      </w:r>
      <w:r w:rsidRPr="0009090C">
        <w:t>» ;</w:t>
      </w:r>
    </w:p>
    <w:p w:rsidR="005F74A9" w:rsidRPr="0009090C" w:rsidRDefault="005F74A9" w:rsidP="00485FDC">
      <w:pPr>
        <w:pStyle w:val="Corpsdetexte"/>
        <w:keepNext/>
        <w:keepLines/>
      </w:pPr>
      <w:r w:rsidRPr="0009090C">
        <w:t>Considérant qu’aux termes de l’article</w:t>
      </w:r>
      <w:r w:rsidR="00096E68">
        <w:t xml:space="preserve"> </w:t>
      </w:r>
      <w:r w:rsidRPr="0009090C">
        <w:t>60</w:t>
      </w:r>
      <w:r>
        <w:t>-I</w:t>
      </w:r>
      <w:r w:rsidRPr="0009090C">
        <w:t xml:space="preserve"> de la loi du 23</w:t>
      </w:r>
      <w:r w:rsidR="00096E68">
        <w:t xml:space="preserve"> </w:t>
      </w:r>
      <w:r w:rsidRPr="0009090C">
        <w:t>février 1963 susvisée, « </w:t>
      </w:r>
      <w:r>
        <w:rPr>
          <w:i/>
        </w:rPr>
        <w:t>l</w:t>
      </w:r>
      <w:r w:rsidRPr="0009090C">
        <w:rPr>
          <w:i/>
        </w:rPr>
        <w:t xml:space="preserve">es comptables publics sont personnellement et pécuniairement responsables </w:t>
      </w:r>
      <w:r w:rsidRPr="005951ED">
        <w:rPr>
          <w:i/>
        </w:rPr>
        <w:t>[…]</w:t>
      </w:r>
      <w:r w:rsidRPr="0009090C">
        <w:rPr>
          <w:i/>
        </w:rPr>
        <w:t xml:space="preserve"> du paiement des dépenses </w:t>
      </w:r>
      <w:r w:rsidRPr="005951ED">
        <w:rPr>
          <w:i/>
        </w:rPr>
        <w:t>[…]</w:t>
      </w:r>
      <w:r w:rsidRPr="0009090C">
        <w:rPr>
          <w:i/>
        </w:rPr>
        <w:t xml:space="preserve">. [Leur] responsabilité personnelle et pécuniaire </w:t>
      </w:r>
      <w:r w:rsidRPr="005951ED">
        <w:rPr>
          <w:i/>
        </w:rPr>
        <w:t>[…]</w:t>
      </w:r>
      <w:r w:rsidRPr="0009090C">
        <w:rPr>
          <w:i/>
        </w:rPr>
        <w:t xml:space="preserve"> se trouve engagée dès lors </w:t>
      </w:r>
      <w:r w:rsidRPr="005951ED">
        <w:rPr>
          <w:i/>
        </w:rPr>
        <w:t>[…]</w:t>
      </w:r>
      <w:r w:rsidRPr="0009090C">
        <w:rPr>
          <w:i/>
        </w:rPr>
        <w:t xml:space="preserve"> qu’une dépense a été irrégulièrement payée </w:t>
      </w:r>
      <w:r w:rsidRPr="0009090C">
        <w:t>» ;</w:t>
      </w:r>
    </w:p>
    <w:p w:rsidR="00F00307" w:rsidRPr="0073738E" w:rsidRDefault="00A7074C" w:rsidP="0073738E">
      <w:pPr>
        <w:pStyle w:val="Corpsdetexte"/>
      </w:pPr>
      <w:r>
        <w:t xml:space="preserve">Considérant </w:t>
      </w:r>
      <w:r w:rsidR="00F00307" w:rsidRPr="0073738E">
        <w:t>que l’agent comptable n’a pas contesté le trop-payé</w:t>
      </w:r>
      <w:r w:rsidR="00096E68">
        <w:t> </w:t>
      </w:r>
      <w:r w:rsidR="00F00307" w:rsidRPr="0073738E">
        <w:t>; qu’il a entrepris d’en faire recouvrer le montant, après émission d’un titre de recette par l’ordonnateur</w:t>
      </w:r>
      <w:r w:rsidR="00096E68">
        <w:t> </w:t>
      </w:r>
      <w:r w:rsidR="00F00307" w:rsidRPr="0073738E">
        <w:t>; que l’entreprise n’a pas contesté la procédure</w:t>
      </w:r>
      <w:r w:rsidR="00096E68">
        <w:t> </w:t>
      </w:r>
      <w:r w:rsidR="00F00307" w:rsidRPr="0073738E">
        <w:t>;</w:t>
      </w:r>
    </w:p>
    <w:p w:rsidR="00686F99" w:rsidRPr="0073738E" w:rsidRDefault="00F00307" w:rsidP="0073738E">
      <w:pPr>
        <w:pStyle w:val="Corpsdetexte"/>
      </w:pPr>
      <w:r w:rsidRPr="0073738E">
        <w:t>Attendu que l’encaissement couvre l’intégralité du trop-payé constaté ;</w:t>
      </w:r>
      <w:r w:rsidR="00686F99" w:rsidRPr="0073738E">
        <w:t xml:space="preserve"> </w:t>
      </w:r>
    </w:p>
    <w:p w:rsidR="002372F2" w:rsidRDefault="002372F2" w:rsidP="00CE1C38">
      <w:pPr>
        <w:pStyle w:val="Corpsdetexte"/>
        <w:keepNext/>
      </w:pPr>
      <w:r>
        <w:t>Par ces motifs,</w:t>
      </w:r>
    </w:p>
    <w:p w:rsidR="002372F2" w:rsidRDefault="002372F2" w:rsidP="00CE1C38">
      <w:pPr>
        <w:pStyle w:val="Corpsdetexte"/>
        <w:keepNext/>
      </w:pPr>
      <w:r>
        <w:t xml:space="preserve">- </w:t>
      </w:r>
      <w:r w:rsidR="00F00307" w:rsidRPr="00F00307">
        <w:t xml:space="preserve">il n’y a </w:t>
      </w:r>
      <w:r w:rsidR="00474833">
        <w:t>pas</w:t>
      </w:r>
      <w:r w:rsidR="00F00307" w:rsidRPr="00F00307">
        <w:t xml:space="preserve"> lieu de </w:t>
      </w:r>
      <w:r w:rsidR="002705A4">
        <w:t xml:space="preserve">donner suite à la présomption de charge soulevée par le </w:t>
      </w:r>
      <w:r w:rsidR="0060627C">
        <w:t xml:space="preserve">ministère public </w:t>
      </w:r>
      <w:r w:rsidR="009E5CC8">
        <w:t xml:space="preserve">à l’encontre </w:t>
      </w:r>
      <w:r w:rsidR="00CB6D63">
        <w:t xml:space="preserve">de </w:t>
      </w:r>
      <w:r w:rsidR="000E749C">
        <w:t>M. Y</w:t>
      </w:r>
      <w:r w:rsidR="00CB6D63">
        <w:t>;</w:t>
      </w:r>
    </w:p>
    <w:p w:rsidR="00485FDC" w:rsidRPr="002372F2" w:rsidRDefault="00485FDC" w:rsidP="00CE1C38">
      <w:pPr>
        <w:pStyle w:val="Corpsdetexte"/>
        <w:keepNext/>
      </w:pPr>
    </w:p>
    <w:p w:rsidR="00686F99" w:rsidRDefault="00743A56" w:rsidP="0073738E">
      <w:pPr>
        <w:pStyle w:val="Corpsdetexte"/>
        <w:keepNext/>
        <w:rPr>
          <w:i/>
          <w:u w:val="single"/>
        </w:rPr>
      </w:pPr>
      <w:r w:rsidRPr="00743A56">
        <w:rPr>
          <w:i/>
          <w:u w:val="single"/>
        </w:rPr>
        <w:t xml:space="preserve">Présomption de </w:t>
      </w:r>
      <w:r w:rsidR="00686F99" w:rsidRPr="00FE2074">
        <w:rPr>
          <w:i/>
          <w:u w:val="single"/>
        </w:rPr>
        <w:t>charge</w:t>
      </w:r>
      <w:r>
        <w:rPr>
          <w:i/>
          <w:u w:val="single"/>
        </w:rPr>
        <w:t xml:space="preserve"> n° 4</w:t>
      </w:r>
    </w:p>
    <w:p w:rsidR="0073738E" w:rsidRPr="0073738E" w:rsidRDefault="00A7074C" w:rsidP="00B333F1">
      <w:pPr>
        <w:pStyle w:val="Corpsdetexte"/>
      </w:pPr>
      <w:r>
        <w:t xml:space="preserve">Considérant </w:t>
      </w:r>
      <w:r w:rsidR="00E62FD3">
        <w:t xml:space="preserve">que </w:t>
      </w:r>
      <w:r w:rsidR="000E749C">
        <w:t>M. Y</w:t>
      </w:r>
      <w:r w:rsidR="00E62FD3">
        <w:t>, agent comptable</w:t>
      </w:r>
      <w:r w:rsidR="00E62FD3" w:rsidRPr="00943AF7">
        <w:t xml:space="preserve"> </w:t>
      </w:r>
      <w:r w:rsidR="00E62FD3">
        <w:t xml:space="preserve">de </w:t>
      </w:r>
      <w:r w:rsidR="00E62FD3" w:rsidRPr="007C4623">
        <w:t>l’établissement public du camp</w:t>
      </w:r>
      <w:r w:rsidR="00E62FD3">
        <w:t>us de J</w:t>
      </w:r>
      <w:r w:rsidR="00E62FD3" w:rsidRPr="007C4623">
        <w:t>ussieu (EPCJ), devenu l’établissement public d’aménagem</w:t>
      </w:r>
      <w:r w:rsidR="00E62FD3">
        <w:t>ent universitaire de la région Ile-de-</w:t>
      </w:r>
      <w:r w:rsidR="00E62FD3" w:rsidRPr="007C4623">
        <w:t xml:space="preserve">France (EPAURIF), </w:t>
      </w:r>
      <w:r w:rsidR="0073738E" w:rsidRPr="0073738E">
        <w:t>a mis en paiement deux mandats n° 55 du 8</w:t>
      </w:r>
      <w:r w:rsidR="00096E68">
        <w:t xml:space="preserve"> </w:t>
      </w:r>
      <w:r w:rsidR="0073738E" w:rsidRPr="0073738E">
        <w:t>février 2006 et n° 414 du 23</w:t>
      </w:r>
      <w:r w:rsidR="00096E68">
        <w:t xml:space="preserve"> </w:t>
      </w:r>
      <w:r w:rsidR="0073738E" w:rsidRPr="0073738E">
        <w:t xml:space="preserve">août 2007, </w:t>
      </w:r>
      <w:r w:rsidR="00524274">
        <w:t>au profit de</w:t>
      </w:r>
      <w:r w:rsidR="0073738E">
        <w:t xml:space="preserve"> la société Manpower, pour les montants respectifs </w:t>
      </w:r>
      <w:r w:rsidR="0073738E" w:rsidRPr="0073738E">
        <w:t xml:space="preserve">de 2 324,52 € et </w:t>
      </w:r>
      <w:r w:rsidR="0073738E">
        <w:t xml:space="preserve">de </w:t>
      </w:r>
      <w:r w:rsidR="0073738E" w:rsidRPr="0073738E">
        <w:t xml:space="preserve">7 471,83 € en règlement de prestations </w:t>
      </w:r>
      <w:r w:rsidR="0073738E" w:rsidRPr="0073738E">
        <w:lastRenderedPageBreak/>
        <w:t>d’intérim ; qu’il s’agissait de travaux de secrétariat réalisés du 2 au 15</w:t>
      </w:r>
      <w:r w:rsidR="00096E68">
        <w:t xml:space="preserve"> </w:t>
      </w:r>
      <w:r w:rsidR="0073738E" w:rsidRPr="0073738E">
        <w:t>janvier 2006 (61 heures</w:t>
      </w:r>
      <w:r w:rsidR="00524274">
        <w:t xml:space="preserve"> pour le</w:t>
      </w:r>
      <w:r w:rsidR="0073738E" w:rsidRPr="0073738E">
        <w:t xml:space="preserve"> premier mandat) et de travaux de comptabilité réalisés du 25</w:t>
      </w:r>
      <w:r w:rsidR="00096E68">
        <w:t xml:space="preserve"> </w:t>
      </w:r>
      <w:r w:rsidR="0073738E" w:rsidRPr="0073738E">
        <w:t>juin au 29</w:t>
      </w:r>
      <w:r w:rsidR="00096E68">
        <w:t xml:space="preserve"> </w:t>
      </w:r>
      <w:r w:rsidR="0073738E" w:rsidRPr="0073738E">
        <w:t>juillet 2007 (165</w:t>
      </w:r>
      <w:r w:rsidR="00096E68">
        <w:t xml:space="preserve"> </w:t>
      </w:r>
      <w:r w:rsidR="0073738E" w:rsidRPr="0073738E">
        <w:t>heures</w:t>
      </w:r>
      <w:r w:rsidR="00524274">
        <w:t xml:space="preserve"> pour le</w:t>
      </w:r>
      <w:r w:rsidR="0073738E" w:rsidRPr="0073738E">
        <w:t xml:space="preserve"> second mandat) qui, dans les deux cas, ont fait l’objet </w:t>
      </w:r>
      <w:r w:rsidR="00524274">
        <w:t xml:space="preserve">de </w:t>
      </w:r>
      <w:r w:rsidR="0073738E" w:rsidRPr="0073738E">
        <w:t>contrats initiaux en date des 2</w:t>
      </w:r>
      <w:r w:rsidR="00096E68">
        <w:t xml:space="preserve"> </w:t>
      </w:r>
      <w:r w:rsidR="0073738E" w:rsidRPr="0073738E">
        <w:t>janvier 2006 et 23</w:t>
      </w:r>
      <w:r w:rsidR="00096E68">
        <w:t xml:space="preserve"> </w:t>
      </w:r>
      <w:r w:rsidR="0073738E" w:rsidRPr="0073738E">
        <w:t>juin 2007</w:t>
      </w:r>
      <w:r w:rsidR="00524274">
        <w:t xml:space="preserve"> et de</w:t>
      </w:r>
      <w:r w:rsidR="0073738E" w:rsidRPr="0073738E">
        <w:t xml:space="preserve"> renouvellements en date des 5</w:t>
      </w:r>
      <w:r w:rsidR="00096E68">
        <w:t xml:space="preserve"> </w:t>
      </w:r>
      <w:r w:rsidR="0073738E" w:rsidRPr="0073738E">
        <w:t>janvier 2006 et 13</w:t>
      </w:r>
      <w:r w:rsidR="00096E68">
        <w:t xml:space="preserve"> </w:t>
      </w:r>
      <w:r w:rsidR="00524274">
        <w:t>juillet 2007 ;</w:t>
      </w:r>
    </w:p>
    <w:p w:rsidR="0073738E" w:rsidRPr="00B333F1" w:rsidRDefault="00A7074C" w:rsidP="00B333F1">
      <w:pPr>
        <w:pStyle w:val="Corpsdetexte"/>
      </w:pPr>
      <w:r>
        <w:t xml:space="preserve">Considérant </w:t>
      </w:r>
      <w:r w:rsidR="00A24F3F" w:rsidRPr="00810823">
        <w:t xml:space="preserve">que par réquisitoire </w:t>
      </w:r>
      <w:r w:rsidR="00A24F3F">
        <w:t>n° 2011 65 RQ-</w:t>
      </w:r>
      <w:r w:rsidR="00A24F3F" w:rsidRPr="00A24F3F">
        <w:t xml:space="preserve">DB </w:t>
      </w:r>
      <w:r w:rsidR="00A24F3F" w:rsidRPr="00810823">
        <w:t>susvisé</w:t>
      </w:r>
      <w:r w:rsidR="00686F99" w:rsidRPr="00B333F1">
        <w:t>, le Procureur général a relevé que</w:t>
      </w:r>
      <w:r w:rsidR="0073738E" w:rsidRPr="00B333F1">
        <w:t xml:space="preserve"> les contrats initiaux et les contrats de renouvellement n’étaient pas revêtus du visa de l’autorité administrative en charge du contrôle financier de l’établissement ;</w:t>
      </w:r>
    </w:p>
    <w:p w:rsidR="00686F99" w:rsidRPr="00B333F1" w:rsidRDefault="00A7074C" w:rsidP="00485FDC">
      <w:pPr>
        <w:pStyle w:val="Corpsdetexte"/>
      </w:pPr>
      <w:r>
        <w:t xml:space="preserve">Considérant </w:t>
      </w:r>
      <w:r w:rsidR="0073738E" w:rsidRPr="00B333F1">
        <w:t>que l</w:t>
      </w:r>
      <w:r w:rsidR="00686F99" w:rsidRPr="00B333F1">
        <w:t xml:space="preserve">’instruction a permis d’établir </w:t>
      </w:r>
      <w:r w:rsidR="00B333F1" w:rsidRPr="00B333F1">
        <w:t xml:space="preserve">que jusqu’en 2008, </w:t>
      </w:r>
      <w:r w:rsidR="00686F99" w:rsidRPr="00B333F1">
        <w:t xml:space="preserve">il résultait </w:t>
      </w:r>
      <w:r w:rsidR="00524274" w:rsidRPr="00B333F1">
        <w:t xml:space="preserve">d’un </w:t>
      </w:r>
      <w:r w:rsidR="00686F99" w:rsidRPr="00B333F1">
        <w:t>accord entre la présidence de l’établissement et le co</w:t>
      </w:r>
      <w:r w:rsidR="00122929" w:rsidRPr="00B333F1">
        <w:t xml:space="preserve">ntrôle économique et financier </w:t>
      </w:r>
      <w:r w:rsidR="00686F99" w:rsidRPr="00B333F1">
        <w:t>matérialisé par une lettre du 29 janvier 2002, que seules les décisions financières supérieures à 50</w:t>
      </w:r>
      <w:r w:rsidR="00122929" w:rsidRPr="00B333F1">
        <w:t> </w:t>
      </w:r>
      <w:r w:rsidR="00686F99" w:rsidRPr="00B333F1">
        <w:t>000</w:t>
      </w:r>
      <w:r w:rsidR="00122929" w:rsidRPr="00B333F1">
        <w:t xml:space="preserve"> € </w:t>
      </w:r>
      <w:r w:rsidR="00B333F1" w:rsidRPr="00B333F1">
        <w:t xml:space="preserve">nécessitaient un visa ; </w:t>
      </w:r>
      <w:r w:rsidR="00122929" w:rsidRPr="00B333F1">
        <w:t>qu</w:t>
      </w:r>
      <w:r>
        <w:t>’</w:t>
      </w:r>
      <w:r w:rsidRPr="00A7074C">
        <w:t xml:space="preserve"> </w:t>
      </w:r>
      <w:r w:rsidRPr="00B333F1">
        <w:t>à défaut de dispositions réglementaires plus contraignantes</w:t>
      </w:r>
      <w:r>
        <w:t>,</w:t>
      </w:r>
      <w:r w:rsidRPr="00B333F1">
        <w:t xml:space="preserve"> </w:t>
      </w:r>
      <w:r w:rsidR="00122929" w:rsidRPr="00B333F1">
        <w:t xml:space="preserve">cet </w:t>
      </w:r>
      <w:r w:rsidR="00686F99" w:rsidRPr="00B333F1">
        <w:t>accord constitue la règle, ainsi qu’en disposent les différents textes réglementaires successivement applicables au contrôle fina</w:t>
      </w:r>
      <w:r w:rsidR="00122929" w:rsidRPr="00B333F1">
        <w:t>ncier de l’établissement public ;</w:t>
      </w:r>
    </w:p>
    <w:p w:rsidR="00122929" w:rsidRDefault="00122929" w:rsidP="00485FDC">
      <w:pPr>
        <w:pStyle w:val="Corpsdetexte"/>
      </w:pPr>
      <w:r>
        <w:t>Par ces motifs,</w:t>
      </w:r>
    </w:p>
    <w:p w:rsidR="00122929" w:rsidRDefault="00122929" w:rsidP="00485FDC">
      <w:pPr>
        <w:pStyle w:val="Corpsdetexte"/>
      </w:pPr>
      <w:r>
        <w:t xml:space="preserve">- </w:t>
      </w:r>
      <w:r w:rsidRPr="00F00307">
        <w:t xml:space="preserve">il n’y a </w:t>
      </w:r>
      <w:r w:rsidR="00474833">
        <w:t>pas</w:t>
      </w:r>
      <w:r w:rsidRPr="00F00307">
        <w:t xml:space="preserve"> lieu de </w:t>
      </w:r>
      <w:r w:rsidR="00A7074C">
        <w:t xml:space="preserve">donner suite à la présomption de charge soulevée par le </w:t>
      </w:r>
      <w:r w:rsidR="0060627C">
        <w:t xml:space="preserve">ministère public </w:t>
      </w:r>
      <w:r>
        <w:t xml:space="preserve">à l’encontre de </w:t>
      </w:r>
      <w:r w:rsidR="000E749C">
        <w:t>M. Y</w:t>
      </w:r>
      <w:r>
        <w:t>;</w:t>
      </w:r>
    </w:p>
    <w:p w:rsidR="00485FDC" w:rsidRPr="002372F2" w:rsidRDefault="00485FDC" w:rsidP="00485FDC">
      <w:pPr>
        <w:pStyle w:val="Corpsdetexte"/>
      </w:pPr>
    </w:p>
    <w:p w:rsidR="00C15DD9" w:rsidRPr="00C15DD9" w:rsidRDefault="00743A56" w:rsidP="00485FDC">
      <w:pPr>
        <w:keepNext/>
        <w:keepLines/>
        <w:spacing w:after="120"/>
        <w:rPr>
          <w:i/>
          <w:u w:val="single"/>
        </w:rPr>
      </w:pPr>
      <w:r w:rsidRPr="00743A56">
        <w:rPr>
          <w:i/>
          <w:u w:val="single"/>
        </w:rPr>
        <w:t xml:space="preserve">Présomption de </w:t>
      </w:r>
      <w:r w:rsidR="00C15DD9" w:rsidRPr="00C15DD9">
        <w:rPr>
          <w:i/>
          <w:u w:val="single"/>
        </w:rPr>
        <w:t>charge</w:t>
      </w:r>
      <w:r>
        <w:rPr>
          <w:i/>
          <w:u w:val="single"/>
        </w:rPr>
        <w:t xml:space="preserve"> n° 5</w:t>
      </w:r>
    </w:p>
    <w:p w:rsidR="00424E35" w:rsidRDefault="00A7074C" w:rsidP="00485FDC">
      <w:pPr>
        <w:pStyle w:val="Corpsdetexte"/>
        <w:keepNext/>
        <w:keepLines/>
      </w:pPr>
      <w:r>
        <w:t xml:space="preserve">Considérant </w:t>
      </w:r>
      <w:r w:rsidR="00E62FD3">
        <w:t xml:space="preserve">que </w:t>
      </w:r>
      <w:r w:rsidR="000E749C">
        <w:t>M. Y</w:t>
      </w:r>
      <w:r w:rsidR="00E62FD3">
        <w:t>, agent comptable</w:t>
      </w:r>
      <w:r w:rsidR="00E62FD3" w:rsidRPr="00943AF7">
        <w:t xml:space="preserve"> </w:t>
      </w:r>
      <w:r w:rsidR="00E62FD3">
        <w:t xml:space="preserve">de </w:t>
      </w:r>
      <w:r w:rsidR="00E62FD3" w:rsidRPr="007C4623">
        <w:t>l’établissement public du camp</w:t>
      </w:r>
      <w:r w:rsidR="00E62FD3">
        <w:t>us de J</w:t>
      </w:r>
      <w:r w:rsidR="00E62FD3" w:rsidRPr="007C4623">
        <w:t>ussieu (EPCJ), devenu l’établissement public d’aménagem</w:t>
      </w:r>
      <w:r w:rsidR="00E62FD3">
        <w:t>ent universitaire de la région Ile-de-</w:t>
      </w:r>
      <w:r w:rsidR="00E62FD3" w:rsidRPr="007C4623">
        <w:t xml:space="preserve">France (EPAURIF), </w:t>
      </w:r>
      <w:r w:rsidR="00424E35" w:rsidRPr="0073738E">
        <w:t>a mis en paiement</w:t>
      </w:r>
      <w:r w:rsidR="00424E35">
        <w:t xml:space="preserve"> deux mandats, </w:t>
      </w:r>
      <w:r w:rsidR="00424E35" w:rsidRPr="00424E35">
        <w:t xml:space="preserve">au titre de l’exercice 2009, </w:t>
      </w:r>
      <w:r w:rsidR="00B333F1">
        <w:t xml:space="preserve">d’une part </w:t>
      </w:r>
      <w:r w:rsidR="00424E35">
        <w:t xml:space="preserve">au profit </w:t>
      </w:r>
      <w:r w:rsidR="00424E35" w:rsidRPr="00424E35">
        <w:t xml:space="preserve">de la société Les Fourneaux de Marthe et Matthieu </w:t>
      </w:r>
      <w:r w:rsidR="00424E35">
        <w:t xml:space="preserve">pour </w:t>
      </w:r>
      <w:r w:rsidR="00424E35" w:rsidRPr="00424E35">
        <w:t>la somme de 4</w:t>
      </w:r>
      <w:r w:rsidR="00096E68">
        <w:t> </w:t>
      </w:r>
      <w:r w:rsidR="00424E35" w:rsidRPr="00424E35">
        <w:t>317,88</w:t>
      </w:r>
      <w:r w:rsidR="00424E35">
        <w:t> €</w:t>
      </w:r>
      <w:r w:rsidR="00B333F1">
        <w:t xml:space="preserve"> et, d’autre part, </w:t>
      </w:r>
      <w:r w:rsidR="00424E35" w:rsidRPr="00424E35">
        <w:t xml:space="preserve">au bénéfice du président du conseil d’administration de l’EPCJ </w:t>
      </w:r>
      <w:r w:rsidR="00424E35">
        <w:t xml:space="preserve">pour la </w:t>
      </w:r>
      <w:r w:rsidR="00424E35" w:rsidRPr="00424E35">
        <w:t>somme de 375,80</w:t>
      </w:r>
      <w:r w:rsidR="009850E5">
        <w:t> €, soit un montant total de 4 693,68 € ;</w:t>
      </w:r>
    </w:p>
    <w:p w:rsidR="00424E35" w:rsidRDefault="00A7074C" w:rsidP="00E62FD3">
      <w:pPr>
        <w:pStyle w:val="Corpsdetexte"/>
      </w:pPr>
      <w:r>
        <w:t xml:space="preserve">Considérant </w:t>
      </w:r>
      <w:r w:rsidR="00A24F3F" w:rsidRPr="00810823">
        <w:t xml:space="preserve">que par réquisitoire </w:t>
      </w:r>
      <w:r w:rsidR="00A24F3F">
        <w:t>n° 2011</w:t>
      </w:r>
      <w:r w:rsidR="002A19CD">
        <w:t>-</w:t>
      </w:r>
      <w:r w:rsidR="00A24F3F">
        <w:t>65 RQ-</w:t>
      </w:r>
      <w:r w:rsidR="00A24F3F" w:rsidRPr="00A24F3F">
        <w:t xml:space="preserve">DB </w:t>
      </w:r>
      <w:r w:rsidR="00A24F3F" w:rsidRPr="00810823">
        <w:t>sus visé</w:t>
      </w:r>
      <w:r w:rsidR="00424E35" w:rsidRPr="00E62FD3">
        <w:t xml:space="preserve">, le Procureur général a relevé que la responsabilité personnelle et pécuniaire de </w:t>
      </w:r>
      <w:r w:rsidR="000E749C">
        <w:t>M. Y</w:t>
      </w:r>
      <w:r w:rsidR="00424E35" w:rsidRPr="00E62FD3">
        <w:t xml:space="preserve"> paraît engagée, au titre des mises en paiement de ces deux mandats qui ont été effectuées au vu de certificats administratifs signés d’une personne qui, lorsque ces documents ont été produits, ne disposait d’aucune délégation de l’ordonnateur pour les signer</w:t>
      </w:r>
      <w:r w:rsidR="00096E68">
        <w:t> </w:t>
      </w:r>
      <w:r w:rsidR="00424E35" w:rsidRPr="00E62FD3">
        <w:t>;</w:t>
      </w:r>
    </w:p>
    <w:p w:rsidR="00B333F1" w:rsidRPr="00E62FD3" w:rsidRDefault="00A7074C" w:rsidP="00B333F1">
      <w:pPr>
        <w:pStyle w:val="Corpsdetexte"/>
      </w:pPr>
      <w:r>
        <w:t xml:space="preserve">Considérant </w:t>
      </w:r>
      <w:r w:rsidR="00B333F1" w:rsidRPr="00E62FD3">
        <w:t xml:space="preserve">que le comptable rappelle lui-même que </w:t>
      </w:r>
      <w:r w:rsidR="00096E68" w:rsidRPr="00934033">
        <w:t>M</w:t>
      </w:r>
      <w:r w:rsidR="00096E68" w:rsidRPr="00934033">
        <w:rPr>
          <w:vertAlign w:val="superscript"/>
        </w:rPr>
        <w:t>me</w:t>
      </w:r>
      <w:r w:rsidR="00096E68">
        <w:t> </w:t>
      </w:r>
      <w:r w:rsidR="000E749C">
        <w:t>Z</w:t>
      </w:r>
      <w:r w:rsidR="00B333F1" w:rsidRPr="00E62FD3">
        <w:t xml:space="preserve"> </w:t>
      </w:r>
      <w:r w:rsidR="00096E68">
        <w:t>n’</w:t>
      </w:r>
      <w:r w:rsidR="00B333F1" w:rsidRPr="00E62FD3">
        <w:t xml:space="preserve">est entrée en fonctions que le </w:t>
      </w:r>
      <w:r w:rsidR="00B333F1">
        <w:t>1</w:t>
      </w:r>
      <w:r w:rsidR="00B333F1" w:rsidRPr="00096E68">
        <w:rPr>
          <w:vertAlign w:val="superscript"/>
        </w:rPr>
        <w:t>er</w:t>
      </w:r>
      <w:r w:rsidR="00096E68">
        <w:t xml:space="preserve"> </w:t>
      </w:r>
      <w:r w:rsidR="00B333F1" w:rsidRPr="00E62FD3">
        <w:t>juillet</w:t>
      </w:r>
      <w:r w:rsidR="00B333F1">
        <w:t xml:space="preserve"> 2009</w:t>
      </w:r>
      <w:r w:rsidR="00B333F1" w:rsidRPr="00E62FD3">
        <w:t xml:space="preserve"> ; qu’il souligne ainsi l’irrégularité des mises en paiements effectuées </w:t>
      </w:r>
      <w:r w:rsidR="00B333F1">
        <w:t xml:space="preserve">le 30 juin 2009 ; que </w:t>
      </w:r>
      <w:r w:rsidR="00B333F1" w:rsidRPr="00E62FD3">
        <w:t xml:space="preserve">ce n’est </w:t>
      </w:r>
      <w:r w:rsidR="00B333F1">
        <w:t xml:space="preserve">ainsi </w:t>
      </w:r>
      <w:r w:rsidR="00B333F1" w:rsidRPr="00E62FD3">
        <w:t>qu’après le 3 juillet qu’elle disposait de la capacité de signer certains certificats administratifs ;</w:t>
      </w:r>
    </w:p>
    <w:p w:rsidR="00971B92" w:rsidRPr="00E62FD3" w:rsidRDefault="00424E35" w:rsidP="00E62FD3">
      <w:pPr>
        <w:pStyle w:val="Corpsdetexte"/>
      </w:pPr>
      <w:r w:rsidRPr="00E62FD3">
        <w:t>Considérant que c</w:t>
      </w:r>
      <w:r w:rsidR="00971B92" w:rsidRPr="00E62FD3">
        <w:t xml:space="preserve">es dépenses, </w:t>
      </w:r>
      <w:r w:rsidRPr="00E62FD3">
        <w:t>concernant</w:t>
      </w:r>
      <w:r w:rsidR="00C15DD9" w:rsidRPr="00E62FD3">
        <w:t xml:space="preserve"> l’organisation d’une réception</w:t>
      </w:r>
      <w:r w:rsidR="00971B92" w:rsidRPr="00E62FD3">
        <w:t>,</w:t>
      </w:r>
      <w:r w:rsidR="00C15DD9" w:rsidRPr="00E62FD3">
        <w:t xml:space="preserve"> relevaient à ce titre des justifications prévues par la circulaire du 24 septembre 1992, qui avait fixé, en les assouplissant, les règles relatives aux frais de représentation et de réception de l’</w:t>
      </w:r>
      <w:r w:rsidR="002203E2" w:rsidRPr="00E62FD3">
        <w:t>État</w:t>
      </w:r>
      <w:r w:rsidR="00C15DD9" w:rsidRPr="00E62FD3">
        <w:t xml:space="preserve"> et</w:t>
      </w:r>
      <w:r w:rsidRPr="00E62FD3">
        <w:t xml:space="preserve"> de ses établissements publics ; que c</w:t>
      </w:r>
      <w:r w:rsidR="00C15DD9" w:rsidRPr="00E62FD3">
        <w:t>ette circulaire a été reprise notamment pour les établissements publics de l’</w:t>
      </w:r>
      <w:r w:rsidR="002203E2" w:rsidRPr="00E62FD3">
        <w:t>État</w:t>
      </w:r>
      <w:r w:rsidR="00C15DD9" w:rsidRPr="00E62FD3">
        <w:t xml:space="preserve"> dans une instruction comptable </w:t>
      </w:r>
      <w:r w:rsidR="00C15DD9" w:rsidRPr="00E62FD3">
        <w:lastRenderedPageBreak/>
        <w:t>DGCP n° 92-161-M9 du 18 décembre 1992 qui, bien qu’abrogée après juin 2010, était en v</w:t>
      </w:r>
      <w:r w:rsidRPr="00E62FD3">
        <w:t>igueur au moment des paiements</w:t>
      </w:r>
      <w:r w:rsidR="00A7074C">
        <w:t xml:space="preserve"> en cause</w:t>
      </w:r>
      <w:r w:rsidRPr="00E62FD3">
        <w:t> ;</w:t>
      </w:r>
    </w:p>
    <w:p w:rsidR="00C15DD9" w:rsidRPr="00E62FD3" w:rsidRDefault="00971B92" w:rsidP="00E62FD3">
      <w:pPr>
        <w:pStyle w:val="Corpsdetexte"/>
      </w:pPr>
      <w:r w:rsidRPr="00E62FD3">
        <w:t xml:space="preserve">Considérant ainsi que les mises paiement devaient être </w:t>
      </w:r>
      <w:r w:rsidR="00C15DD9" w:rsidRPr="00E62FD3">
        <w:t>appuyé</w:t>
      </w:r>
      <w:r w:rsidRPr="00E62FD3">
        <w:t>es</w:t>
      </w:r>
      <w:r w:rsidR="00C15DD9" w:rsidRPr="00E62FD3">
        <w:t xml:space="preserve"> par les factures à acquitter, ainsi que la précision relative à l’objet de la manifestation att</w:t>
      </w:r>
      <w:r w:rsidRPr="00E62FD3">
        <w:t>estée par son «</w:t>
      </w:r>
      <w:r w:rsidR="00096E68">
        <w:t> </w:t>
      </w:r>
      <w:r w:rsidRPr="00E62FD3">
        <w:t>organisateur</w:t>
      </w:r>
      <w:r w:rsidR="00096E68">
        <w:t> </w:t>
      </w:r>
      <w:r w:rsidRPr="00E62FD3">
        <w:t xml:space="preserve">» et </w:t>
      </w:r>
      <w:r w:rsidR="00C15DD9" w:rsidRPr="00E62FD3">
        <w:t>visée par le directeur de l’administration ou de l’établissement public sur le budge</w:t>
      </w:r>
      <w:r w:rsidRPr="00E62FD3">
        <w:t>t duquel la dépense est imputée ;</w:t>
      </w:r>
    </w:p>
    <w:p w:rsidR="00C15DD9" w:rsidRPr="00E62FD3" w:rsidRDefault="002705A4" w:rsidP="00E62FD3">
      <w:pPr>
        <w:pStyle w:val="Corpsdetexte"/>
      </w:pPr>
      <w:r>
        <w:t>C</w:t>
      </w:r>
      <w:r w:rsidR="00A7074C">
        <w:t xml:space="preserve">onsidérant </w:t>
      </w:r>
      <w:r w:rsidR="00971B92" w:rsidRPr="00E62FD3">
        <w:t xml:space="preserve">que </w:t>
      </w:r>
      <w:r w:rsidR="00AA40E3">
        <w:t xml:space="preserve">la personne signataire, </w:t>
      </w:r>
      <w:r w:rsidR="00096E68" w:rsidRPr="00934033">
        <w:t>M</w:t>
      </w:r>
      <w:r w:rsidR="00096E68" w:rsidRPr="00934033">
        <w:rPr>
          <w:vertAlign w:val="superscript"/>
        </w:rPr>
        <w:t>me</w:t>
      </w:r>
      <w:r w:rsidR="00096E68">
        <w:t xml:space="preserve"> </w:t>
      </w:r>
      <w:r w:rsidR="000E749C">
        <w:t>Z</w:t>
      </w:r>
      <w:r w:rsidR="00C15DD9" w:rsidRPr="00E62FD3">
        <w:t xml:space="preserve">, n’avait pas au moment de la signature des ordres de payer et de leur </w:t>
      </w:r>
      <w:r w:rsidR="00971B92" w:rsidRPr="00E62FD3">
        <w:t>mise en paiement par l’agent comptable, le 30</w:t>
      </w:r>
      <w:r w:rsidR="00096E68">
        <w:t xml:space="preserve"> </w:t>
      </w:r>
      <w:r w:rsidR="00C15DD9" w:rsidRPr="00E62FD3">
        <w:t>juin 2009, la capacité de signer en lieu et place du directeur général</w:t>
      </w:r>
      <w:r w:rsidR="00971B92" w:rsidRPr="00E62FD3">
        <w:t> ; qu’e</w:t>
      </w:r>
      <w:r w:rsidR="00C15DD9" w:rsidRPr="00E62FD3">
        <w:t>n tout état de cause, ces délégations lui ont été consenties</w:t>
      </w:r>
      <w:r w:rsidR="00485FDC">
        <w:t>, par une décision du 3</w:t>
      </w:r>
      <w:r w:rsidR="00096E68">
        <w:t xml:space="preserve"> </w:t>
      </w:r>
      <w:r w:rsidR="00971B92" w:rsidRPr="00E62FD3">
        <w:t>juillet 2009 soit postérieurement aux mises en paiement en cause ;</w:t>
      </w:r>
    </w:p>
    <w:p w:rsidR="00B333F1" w:rsidRDefault="00B333F1" w:rsidP="00B333F1">
      <w:pPr>
        <w:pStyle w:val="Corpsdetexte"/>
      </w:pPr>
      <w:r w:rsidRPr="00B333F1">
        <w:t xml:space="preserve">Considérant qu’aux termes de l’article 12 B </w:t>
      </w:r>
      <w:r w:rsidR="00521FF6">
        <w:t>du décret n°62-1587 du 29 </w:t>
      </w:r>
      <w:r w:rsidR="00521FF6" w:rsidRPr="00521FF6">
        <w:t>décembre 1962 portant règlement général sur la comptabilité publique</w:t>
      </w:r>
      <w:r w:rsidRPr="00B333F1">
        <w:t>, les comptables sont tenus d’exercer « </w:t>
      </w:r>
      <w:r w:rsidRPr="00B333F1">
        <w:rPr>
          <w:i/>
        </w:rPr>
        <w:t>en matière de dépenses, le contrôle de la qualité de l’ordonnateur ou de son délégué […]</w:t>
      </w:r>
      <w:r w:rsidRPr="00B333F1">
        <w:t> » ;</w:t>
      </w:r>
    </w:p>
    <w:p w:rsidR="00B333F1" w:rsidRPr="00B333F1" w:rsidRDefault="00B333F1" w:rsidP="00B333F1">
      <w:pPr>
        <w:pStyle w:val="Corpsdetexte"/>
      </w:pPr>
      <w:r w:rsidRPr="00B333F1">
        <w:t>Considérant qu’aux termes de l’article</w:t>
      </w:r>
      <w:r w:rsidR="00096E68">
        <w:t xml:space="preserve"> </w:t>
      </w:r>
      <w:r w:rsidRPr="00B333F1">
        <w:t>60</w:t>
      </w:r>
      <w:r>
        <w:t>-I</w:t>
      </w:r>
      <w:r w:rsidRPr="00B333F1">
        <w:t xml:space="preserve"> de la loi du 23</w:t>
      </w:r>
      <w:r w:rsidR="00096E68">
        <w:t xml:space="preserve"> </w:t>
      </w:r>
      <w:r w:rsidRPr="00B333F1">
        <w:t>février 1963, « </w:t>
      </w:r>
      <w:r w:rsidRPr="00B333F1">
        <w:rPr>
          <w:i/>
        </w:rPr>
        <w:t>les comptables publics sont personnellement et pécuniairement responsables […] du paiement des dépenses […]. [Leur] responsabilité personnelle et pécuniaire […] se trouve engagée dès lors […] qu’une dépense a été irrégulièrement payée</w:t>
      </w:r>
      <w:r w:rsidRPr="00B333F1">
        <w:t> » ;</w:t>
      </w:r>
    </w:p>
    <w:p w:rsidR="002372F2" w:rsidRDefault="002372F2" w:rsidP="00743A56">
      <w:pPr>
        <w:pStyle w:val="Corpsdetexte"/>
        <w:keepNext/>
        <w:keepLines/>
      </w:pPr>
      <w:r>
        <w:t>Par ces motifs,</w:t>
      </w:r>
    </w:p>
    <w:p w:rsidR="00E62FD3" w:rsidRDefault="006A52C9" w:rsidP="00F63B29">
      <w:pPr>
        <w:pStyle w:val="Corpsdetexte"/>
        <w:keepNext/>
        <w:keepLines/>
        <w:spacing w:before="0" w:after="0"/>
      </w:pPr>
      <w:r>
        <w:t>- M. </w:t>
      </w:r>
      <w:r w:rsidR="000E749C">
        <w:t>Y</w:t>
      </w:r>
      <w:r>
        <w:t xml:space="preserve">, </w:t>
      </w:r>
      <w:r w:rsidRPr="006A52C9">
        <w:t>agent comptable</w:t>
      </w:r>
      <w:r>
        <w:t xml:space="preserve">, </w:t>
      </w:r>
      <w:r w:rsidR="00E62FD3" w:rsidRPr="00B333F1">
        <w:t>est constitué débiteur envers l’établissement public du campus de Jussieu (EPCJ), devenu l’établissement public d’aménagement universitaire de la région Ile</w:t>
      </w:r>
      <w:r w:rsidR="00096E68">
        <w:t>-</w:t>
      </w:r>
      <w:r w:rsidR="00E62FD3" w:rsidRPr="00B333F1">
        <w:t>de</w:t>
      </w:r>
      <w:r w:rsidR="00096E68">
        <w:t>-</w:t>
      </w:r>
      <w:r w:rsidR="00E62FD3" w:rsidRPr="00B333F1">
        <w:t xml:space="preserve">France (EPAURIF), au titre de l’année 2009, de la somme de </w:t>
      </w:r>
      <w:r w:rsidR="009850E5">
        <w:t>quatre mille six cent quatre-vingt-treize euros</w:t>
      </w:r>
      <w:r w:rsidR="00F63B29">
        <w:t xml:space="preserve"> soixante</w:t>
      </w:r>
      <w:r w:rsidR="00096E68">
        <w:t>-</w:t>
      </w:r>
      <w:r w:rsidR="00F63B29">
        <w:t>huit centimes</w:t>
      </w:r>
      <w:r w:rsidR="009850E5">
        <w:t xml:space="preserve"> (</w:t>
      </w:r>
      <w:r w:rsidR="00E62FD3" w:rsidRPr="00B333F1">
        <w:t>4 693,68 €</w:t>
      </w:r>
      <w:r w:rsidR="009850E5">
        <w:t>)</w:t>
      </w:r>
      <w:r w:rsidR="00E62FD3" w:rsidRPr="00B333F1">
        <w:t xml:space="preserve"> augmentée des intérêts de droit à compter </w:t>
      </w:r>
      <w:r w:rsidR="00E62FD3" w:rsidRPr="00A24F3F">
        <w:t xml:space="preserve">du </w:t>
      </w:r>
      <w:r w:rsidR="00B333F1" w:rsidRPr="00A24F3F">
        <w:t>21 juillet 2011</w:t>
      </w:r>
      <w:r w:rsidR="00A24F3F">
        <w:t>,</w:t>
      </w:r>
      <w:r w:rsidR="00E62FD3" w:rsidRPr="00B333F1">
        <w:t xml:space="preserve"> date de la réception par le comptable du réquisitoire ;</w:t>
      </w:r>
    </w:p>
    <w:p w:rsidR="00485FDC" w:rsidRDefault="00485FDC" w:rsidP="00F63B29">
      <w:pPr>
        <w:pStyle w:val="Corpsdetexte"/>
        <w:keepNext/>
        <w:keepLines/>
        <w:spacing w:before="0" w:after="0"/>
      </w:pPr>
    </w:p>
    <w:p w:rsidR="00C15DD9" w:rsidRPr="00C15DD9" w:rsidRDefault="00743A56" w:rsidP="00F63B29">
      <w:pPr>
        <w:spacing w:before="0" w:after="0"/>
        <w:rPr>
          <w:i/>
          <w:u w:val="single"/>
        </w:rPr>
      </w:pPr>
      <w:r w:rsidRPr="00743A56">
        <w:rPr>
          <w:i/>
          <w:u w:val="single"/>
        </w:rPr>
        <w:t xml:space="preserve">Présomption de </w:t>
      </w:r>
      <w:r w:rsidR="00C15DD9" w:rsidRPr="00C15DD9">
        <w:rPr>
          <w:i/>
          <w:u w:val="single"/>
        </w:rPr>
        <w:t>charge</w:t>
      </w:r>
      <w:r>
        <w:rPr>
          <w:i/>
          <w:u w:val="single"/>
        </w:rPr>
        <w:t xml:space="preserve"> n° 6</w:t>
      </w:r>
    </w:p>
    <w:p w:rsidR="00E62FD3" w:rsidRPr="00E62FD3" w:rsidRDefault="00A7074C" w:rsidP="009753B2">
      <w:pPr>
        <w:pStyle w:val="Corpsdetexte"/>
      </w:pPr>
      <w:r>
        <w:t xml:space="preserve">Considérant </w:t>
      </w:r>
      <w:r w:rsidR="00E62FD3" w:rsidRPr="00E62FD3">
        <w:t xml:space="preserve">que </w:t>
      </w:r>
      <w:r w:rsidR="000E749C">
        <w:t>M. Y</w:t>
      </w:r>
      <w:r w:rsidR="00E62FD3" w:rsidRPr="00E62FD3">
        <w:t>, agent comptable de l’établissement public du campus de Jussieu (EPCJ), devenu l’établissement public d’aménagement universitaire de la région Ile-de-France (EPAURIF),</w:t>
      </w:r>
      <w:r w:rsidR="00E62FD3">
        <w:t xml:space="preserve"> </w:t>
      </w:r>
      <w:r w:rsidR="009753B2">
        <w:t xml:space="preserve">a mis en paiement </w:t>
      </w:r>
      <w:r w:rsidR="00E62FD3" w:rsidRPr="00E62FD3">
        <w:t xml:space="preserve">dix mandats n° 254, </w:t>
      </w:r>
      <w:r w:rsidR="00AA40E3">
        <w:t>n° </w:t>
      </w:r>
      <w:r w:rsidR="00E62FD3" w:rsidRPr="00E62FD3">
        <w:t xml:space="preserve">259, </w:t>
      </w:r>
      <w:r w:rsidR="00AA40E3">
        <w:t>n° </w:t>
      </w:r>
      <w:r w:rsidR="00E62FD3" w:rsidRPr="00E62FD3">
        <w:t xml:space="preserve">261, </w:t>
      </w:r>
      <w:r w:rsidR="00AA40E3">
        <w:t>n° </w:t>
      </w:r>
      <w:r w:rsidR="00E62FD3" w:rsidRPr="00E62FD3">
        <w:t xml:space="preserve">264, </w:t>
      </w:r>
      <w:r w:rsidR="00AA40E3">
        <w:t>n° </w:t>
      </w:r>
      <w:r w:rsidR="00E62FD3" w:rsidRPr="00E62FD3">
        <w:t xml:space="preserve">279, </w:t>
      </w:r>
      <w:r w:rsidR="00AA40E3">
        <w:t>n° </w:t>
      </w:r>
      <w:r w:rsidR="00E62FD3" w:rsidRPr="00E62FD3">
        <w:t xml:space="preserve">293, 295, </w:t>
      </w:r>
      <w:r w:rsidR="00CE1C38">
        <w:t>n° </w:t>
      </w:r>
      <w:r w:rsidR="00E62FD3" w:rsidRPr="00E62FD3">
        <w:t xml:space="preserve">297, </w:t>
      </w:r>
      <w:r w:rsidR="00CE1C38">
        <w:t>n° </w:t>
      </w:r>
      <w:r w:rsidR="00E62FD3" w:rsidRPr="00E62FD3">
        <w:t xml:space="preserve">304 et </w:t>
      </w:r>
      <w:r w:rsidR="00CE1C38">
        <w:t>n° </w:t>
      </w:r>
      <w:r w:rsidR="00E62FD3" w:rsidRPr="00E62FD3">
        <w:t xml:space="preserve">305 </w:t>
      </w:r>
      <w:r w:rsidR="000A760C">
        <w:t xml:space="preserve">en date </w:t>
      </w:r>
      <w:r w:rsidR="00E62FD3" w:rsidRPr="00E62FD3">
        <w:t xml:space="preserve">du 22 avril 2008 </w:t>
      </w:r>
      <w:r w:rsidR="00AA40E3">
        <w:t xml:space="preserve">correspondant au versement, </w:t>
      </w:r>
      <w:r w:rsidR="00E62FD3" w:rsidRPr="00E62FD3">
        <w:t>à dix agents de</w:t>
      </w:r>
      <w:r w:rsidR="00CE1C38">
        <w:t xml:space="preserve"> l’établissement</w:t>
      </w:r>
      <w:r w:rsidR="00CE1C38" w:rsidRPr="00CE1C38">
        <w:t xml:space="preserve"> dont neuf sous statut de fonctionnaires</w:t>
      </w:r>
      <w:r w:rsidR="00AA40E3">
        <w:t xml:space="preserve">, </w:t>
      </w:r>
      <w:r w:rsidR="009753B2">
        <w:t xml:space="preserve">de </w:t>
      </w:r>
      <w:r w:rsidR="00E62FD3" w:rsidRPr="00E62FD3">
        <w:t xml:space="preserve">primes exceptionnelles </w:t>
      </w:r>
      <w:r w:rsidR="009753B2">
        <w:t xml:space="preserve">pour </w:t>
      </w:r>
      <w:r w:rsidR="00E62FD3" w:rsidRPr="00E62FD3">
        <w:t>un montant total de 15 000 € ;</w:t>
      </w:r>
    </w:p>
    <w:tbl>
      <w:tblPr>
        <w:tblW w:w="8506"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552"/>
        <w:gridCol w:w="1842"/>
        <w:gridCol w:w="2127"/>
        <w:gridCol w:w="1985"/>
      </w:tblGrid>
      <w:tr w:rsidR="009753B2" w:rsidRPr="00E62FD3" w:rsidTr="009753B2">
        <w:tc>
          <w:tcPr>
            <w:tcW w:w="2552" w:type="dxa"/>
            <w:shd w:val="clear" w:color="auto" w:fill="auto"/>
            <w:vAlign w:val="center"/>
          </w:tcPr>
          <w:p w:rsidR="00E62FD3" w:rsidRPr="009753B2" w:rsidRDefault="009753B2" w:rsidP="009753B2">
            <w:pPr>
              <w:pStyle w:val="Tableau"/>
              <w:ind w:left="0"/>
              <w:jc w:val="center"/>
              <w:rPr>
                <w:sz w:val="20"/>
                <w:szCs w:val="20"/>
              </w:rPr>
            </w:pPr>
            <w:r>
              <w:rPr>
                <w:sz w:val="20"/>
                <w:szCs w:val="20"/>
              </w:rPr>
              <w:t>B</w:t>
            </w:r>
            <w:r w:rsidR="00E62FD3" w:rsidRPr="009753B2">
              <w:rPr>
                <w:sz w:val="20"/>
                <w:szCs w:val="20"/>
              </w:rPr>
              <w:t>énéficiaire</w:t>
            </w:r>
            <w:r>
              <w:rPr>
                <w:sz w:val="20"/>
                <w:szCs w:val="20"/>
              </w:rPr>
              <w:t>s</w:t>
            </w:r>
          </w:p>
        </w:tc>
        <w:tc>
          <w:tcPr>
            <w:tcW w:w="1842" w:type="dxa"/>
            <w:shd w:val="clear" w:color="auto" w:fill="auto"/>
            <w:vAlign w:val="center"/>
          </w:tcPr>
          <w:p w:rsidR="00E62FD3" w:rsidRPr="009753B2" w:rsidRDefault="00E62FD3" w:rsidP="009753B2">
            <w:pPr>
              <w:pStyle w:val="Tableau"/>
              <w:ind w:left="0"/>
              <w:jc w:val="center"/>
              <w:rPr>
                <w:sz w:val="20"/>
                <w:szCs w:val="20"/>
              </w:rPr>
            </w:pPr>
            <w:r w:rsidRPr="009753B2">
              <w:rPr>
                <w:sz w:val="20"/>
                <w:szCs w:val="20"/>
              </w:rPr>
              <w:t>Références</w:t>
            </w:r>
            <w:r w:rsidR="009753B2">
              <w:rPr>
                <w:sz w:val="20"/>
                <w:szCs w:val="20"/>
              </w:rPr>
              <w:t xml:space="preserve"> </w:t>
            </w:r>
            <w:r w:rsidRPr="009753B2">
              <w:rPr>
                <w:sz w:val="20"/>
                <w:szCs w:val="20"/>
              </w:rPr>
              <w:t>du mandat</w:t>
            </w:r>
          </w:p>
        </w:tc>
        <w:tc>
          <w:tcPr>
            <w:tcW w:w="2127" w:type="dxa"/>
            <w:shd w:val="clear" w:color="auto" w:fill="auto"/>
            <w:vAlign w:val="center"/>
          </w:tcPr>
          <w:p w:rsidR="00E62FD3" w:rsidRPr="009753B2" w:rsidRDefault="00E62FD3" w:rsidP="009753B2">
            <w:pPr>
              <w:pStyle w:val="Tableau"/>
              <w:ind w:left="0"/>
              <w:jc w:val="center"/>
              <w:rPr>
                <w:sz w:val="20"/>
                <w:szCs w:val="20"/>
              </w:rPr>
            </w:pPr>
            <w:r w:rsidRPr="009753B2">
              <w:rPr>
                <w:sz w:val="20"/>
                <w:szCs w:val="20"/>
              </w:rPr>
              <w:t>Montant total</w:t>
            </w:r>
            <w:r w:rsidR="009753B2">
              <w:rPr>
                <w:sz w:val="20"/>
                <w:szCs w:val="20"/>
              </w:rPr>
              <w:t xml:space="preserve"> </w:t>
            </w:r>
            <w:r w:rsidRPr="009753B2">
              <w:rPr>
                <w:sz w:val="20"/>
                <w:szCs w:val="20"/>
              </w:rPr>
              <w:t>du mandat</w:t>
            </w:r>
          </w:p>
        </w:tc>
        <w:tc>
          <w:tcPr>
            <w:tcW w:w="1985" w:type="dxa"/>
            <w:shd w:val="clear" w:color="auto" w:fill="auto"/>
            <w:vAlign w:val="center"/>
          </w:tcPr>
          <w:p w:rsidR="00E62FD3" w:rsidRPr="009753B2" w:rsidRDefault="00E62FD3" w:rsidP="009753B2">
            <w:pPr>
              <w:pStyle w:val="Tableau"/>
              <w:ind w:left="0"/>
              <w:jc w:val="center"/>
              <w:rPr>
                <w:sz w:val="20"/>
                <w:szCs w:val="20"/>
              </w:rPr>
            </w:pPr>
            <w:r w:rsidRPr="009753B2">
              <w:rPr>
                <w:sz w:val="20"/>
                <w:szCs w:val="20"/>
              </w:rPr>
              <w:t>Montant</w:t>
            </w:r>
            <w:r w:rsidR="009753B2">
              <w:rPr>
                <w:sz w:val="20"/>
                <w:szCs w:val="20"/>
              </w:rPr>
              <w:t xml:space="preserve"> </w:t>
            </w:r>
            <w:r w:rsidRPr="009753B2">
              <w:rPr>
                <w:sz w:val="20"/>
                <w:szCs w:val="20"/>
              </w:rPr>
              <w:t>de la prime</w:t>
            </w:r>
          </w:p>
        </w:tc>
      </w:tr>
      <w:tr w:rsidR="009753B2" w:rsidRPr="00E62FD3" w:rsidTr="00096E68">
        <w:tc>
          <w:tcPr>
            <w:tcW w:w="2552" w:type="dxa"/>
            <w:shd w:val="clear" w:color="auto" w:fill="auto"/>
            <w:vAlign w:val="center"/>
          </w:tcPr>
          <w:p w:rsidR="00E62FD3" w:rsidRPr="009753B2" w:rsidRDefault="00096E68" w:rsidP="00096E68">
            <w:pPr>
              <w:pStyle w:val="Tableau"/>
              <w:ind w:left="0"/>
              <w:jc w:val="left"/>
              <w:rPr>
                <w:sz w:val="20"/>
                <w:szCs w:val="20"/>
              </w:rPr>
            </w:pPr>
            <w:r w:rsidRPr="00096E68">
              <w:rPr>
                <w:sz w:val="20"/>
                <w:szCs w:val="20"/>
              </w:rPr>
              <w:t>M</w:t>
            </w:r>
            <w:r w:rsidRPr="00096E68">
              <w:rPr>
                <w:sz w:val="20"/>
                <w:szCs w:val="20"/>
                <w:vertAlign w:val="superscript"/>
              </w:rPr>
              <w:t>me</w:t>
            </w:r>
            <w:r>
              <w:rPr>
                <w:sz w:val="20"/>
                <w:szCs w:val="20"/>
              </w:rPr>
              <w:t xml:space="preserve"> </w:t>
            </w:r>
            <w:r w:rsidR="000E749C">
              <w:rPr>
                <w:sz w:val="20"/>
                <w:szCs w:val="20"/>
              </w:rPr>
              <w:t>A</w:t>
            </w:r>
          </w:p>
        </w:tc>
        <w:tc>
          <w:tcPr>
            <w:tcW w:w="1842" w:type="dxa"/>
            <w:shd w:val="clear" w:color="auto" w:fill="auto"/>
            <w:vAlign w:val="center"/>
          </w:tcPr>
          <w:p w:rsidR="00E62FD3" w:rsidRPr="009753B2" w:rsidRDefault="00225177" w:rsidP="00096E68">
            <w:pPr>
              <w:pStyle w:val="Tableau"/>
              <w:ind w:left="0"/>
              <w:jc w:val="center"/>
              <w:rPr>
                <w:sz w:val="20"/>
                <w:szCs w:val="20"/>
              </w:rPr>
            </w:pPr>
            <w:r>
              <w:rPr>
                <w:sz w:val="20"/>
                <w:szCs w:val="20"/>
              </w:rPr>
              <w:t>n</w:t>
            </w:r>
            <w:r w:rsidR="00E62FD3" w:rsidRPr="009753B2">
              <w:rPr>
                <w:sz w:val="20"/>
                <w:szCs w:val="20"/>
              </w:rPr>
              <w:t>° 254 du 22/04/08</w:t>
            </w:r>
          </w:p>
        </w:tc>
        <w:tc>
          <w:tcPr>
            <w:tcW w:w="2127" w:type="dxa"/>
            <w:shd w:val="clear" w:color="auto" w:fill="auto"/>
            <w:vAlign w:val="center"/>
          </w:tcPr>
          <w:p w:rsidR="00E62FD3" w:rsidRPr="009753B2" w:rsidRDefault="00E62FD3" w:rsidP="00096E68">
            <w:pPr>
              <w:pStyle w:val="Tableau"/>
              <w:ind w:left="35"/>
              <w:jc w:val="center"/>
              <w:rPr>
                <w:sz w:val="20"/>
                <w:szCs w:val="20"/>
              </w:rPr>
            </w:pPr>
            <w:r w:rsidRPr="009753B2">
              <w:rPr>
                <w:sz w:val="20"/>
                <w:szCs w:val="20"/>
              </w:rPr>
              <w:t>2 656,44 €</w:t>
            </w:r>
          </w:p>
        </w:tc>
        <w:tc>
          <w:tcPr>
            <w:tcW w:w="1985" w:type="dxa"/>
            <w:shd w:val="clear" w:color="auto" w:fill="auto"/>
            <w:vAlign w:val="center"/>
          </w:tcPr>
          <w:p w:rsidR="00E62FD3" w:rsidRPr="009753B2" w:rsidRDefault="00E62FD3" w:rsidP="00096E68">
            <w:pPr>
              <w:pStyle w:val="Tableau"/>
              <w:ind w:left="76"/>
              <w:jc w:val="center"/>
              <w:rPr>
                <w:sz w:val="20"/>
                <w:szCs w:val="20"/>
              </w:rPr>
            </w:pPr>
            <w:r w:rsidRPr="009753B2">
              <w:rPr>
                <w:sz w:val="20"/>
                <w:szCs w:val="20"/>
              </w:rPr>
              <w:t>1 000 €</w:t>
            </w:r>
          </w:p>
        </w:tc>
      </w:tr>
      <w:tr w:rsidR="009753B2" w:rsidRPr="00E62FD3" w:rsidTr="00096E68">
        <w:tc>
          <w:tcPr>
            <w:tcW w:w="2552" w:type="dxa"/>
            <w:shd w:val="clear" w:color="auto" w:fill="auto"/>
            <w:vAlign w:val="center"/>
          </w:tcPr>
          <w:p w:rsidR="00E62FD3" w:rsidRPr="009753B2" w:rsidRDefault="00E62FD3" w:rsidP="009753B2">
            <w:pPr>
              <w:pStyle w:val="Tableau"/>
              <w:ind w:left="0"/>
              <w:jc w:val="left"/>
              <w:rPr>
                <w:sz w:val="20"/>
                <w:szCs w:val="20"/>
              </w:rPr>
            </w:pPr>
            <w:r w:rsidRPr="009753B2">
              <w:rPr>
                <w:sz w:val="20"/>
                <w:szCs w:val="20"/>
              </w:rPr>
              <w:t>M. </w:t>
            </w:r>
            <w:r w:rsidR="000E749C">
              <w:rPr>
                <w:sz w:val="20"/>
                <w:szCs w:val="20"/>
              </w:rPr>
              <w:t>B</w:t>
            </w:r>
          </w:p>
        </w:tc>
        <w:tc>
          <w:tcPr>
            <w:tcW w:w="1842" w:type="dxa"/>
            <w:shd w:val="clear" w:color="auto" w:fill="auto"/>
            <w:vAlign w:val="center"/>
          </w:tcPr>
          <w:p w:rsidR="00E62FD3" w:rsidRPr="009753B2" w:rsidRDefault="00225177" w:rsidP="00096E68">
            <w:pPr>
              <w:pStyle w:val="Tableau"/>
              <w:ind w:left="0"/>
              <w:jc w:val="center"/>
              <w:rPr>
                <w:sz w:val="20"/>
                <w:szCs w:val="20"/>
              </w:rPr>
            </w:pPr>
            <w:r>
              <w:rPr>
                <w:sz w:val="20"/>
                <w:szCs w:val="20"/>
              </w:rPr>
              <w:t>n</w:t>
            </w:r>
            <w:r w:rsidR="00E62FD3" w:rsidRPr="009753B2">
              <w:rPr>
                <w:sz w:val="20"/>
                <w:szCs w:val="20"/>
              </w:rPr>
              <w:t>° 259 du 22/04/08</w:t>
            </w:r>
          </w:p>
        </w:tc>
        <w:tc>
          <w:tcPr>
            <w:tcW w:w="2127" w:type="dxa"/>
            <w:shd w:val="clear" w:color="auto" w:fill="auto"/>
            <w:vAlign w:val="center"/>
          </w:tcPr>
          <w:p w:rsidR="00E62FD3" w:rsidRPr="009753B2" w:rsidRDefault="00E62FD3" w:rsidP="00096E68">
            <w:pPr>
              <w:pStyle w:val="Tableau"/>
              <w:ind w:left="35"/>
              <w:jc w:val="center"/>
              <w:rPr>
                <w:sz w:val="20"/>
                <w:szCs w:val="20"/>
              </w:rPr>
            </w:pPr>
            <w:r w:rsidRPr="009753B2">
              <w:rPr>
                <w:sz w:val="20"/>
                <w:szCs w:val="20"/>
              </w:rPr>
              <w:t>4 388,43 €</w:t>
            </w:r>
          </w:p>
        </w:tc>
        <w:tc>
          <w:tcPr>
            <w:tcW w:w="1985" w:type="dxa"/>
            <w:shd w:val="clear" w:color="auto" w:fill="auto"/>
            <w:vAlign w:val="center"/>
          </w:tcPr>
          <w:p w:rsidR="00E62FD3" w:rsidRPr="009753B2" w:rsidRDefault="00E62FD3" w:rsidP="00096E68">
            <w:pPr>
              <w:pStyle w:val="Tableau"/>
              <w:ind w:left="76"/>
              <w:jc w:val="center"/>
              <w:rPr>
                <w:sz w:val="20"/>
                <w:szCs w:val="20"/>
              </w:rPr>
            </w:pPr>
            <w:r w:rsidRPr="009753B2">
              <w:rPr>
                <w:sz w:val="20"/>
                <w:szCs w:val="20"/>
              </w:rPr>
              <w:t>2 000 €</w:t>
            </w:r>
          </w:p>
        </w:tc>
      </w:tr>
      <w:tr w:rsidR="009753B2" w:rsidRPr="00E62FD3" w:rsidTr="00096E68">
        <w:tc>
          <w:tcPr>
            <w:tcW w:w="2552" w:type="dxa"/>
            <w:shd w:val="clear" w:color="auto" w:fill="auto"/>
            <w:vAlign w:val="center"/>
          </w:tcPr>
          <w:p w:rsidR="00E62FD3" w:rsidRPr="009753B2" w:rsidRDefault="00E62FD3" w:rsidP="009753B2">
            <w:pPr>
              <w:pStyle w:val="Tableau"/>
              <w:ind w:left="0"/>
              <w:jc w:val="left"/>
              <w:rPr>
                <w:sz w:val="20"/>
                <w:szCs w:val="20"/>
              </w:rPr>
            </w:pPr>
            <w:r w:rsidRPr="009753B2">
              <w:rPr>
                <w:sz w:val="20"/>
                <w:szCs w:val="20"/>
              </w:rPr>
              <w:t>M. </w:t>
            </w:r>
            <w:r w:rsidR="000E749C">
              <w:rPr>
                <w:sz w:val="20"/>
                <w:szCs w:val="20"/>
              </w:rPr>
              <w:t>C</w:t>
            </w:r>
          </w:p>
        </w:tc>
        <w:tc>
          <w:tcPr>
            <w:tcW w:w="1842" w:type="dxa"/>
            <w:shd w:val="clear" w:color="auto" w:fill="auto"/>
            <w:vAlign w:val="center"/>
          </w:tcPr>
          <w:p w:rsidR="00E62FD3" w:rsidRPr="009753B2" w:rsidRDefault="00225177" w:rsidP="00096E68">
            <w:pPr>
              <w:pStyle w:val="Tableau"/>
              <w:ind w:left="0"/>
              <w:jc w:val="center"/>
              <w:rPr>
                <w:sz w:val="20"/>
                <w:szCs w:val="20"/>
              </w:rPr>
            </w:pPr>
            <w:r>
              <w:rPr>
                <w:sz w:val="20"/>
                <w:szCs w:val="20"/>
              </w:rPr>
              <w:t>n</w:t>
            </w:r>
            <w:r w:rsidR="00E62FD3" w:rsidRPr="009753B2">
              <w:rPr>
                <w:sz w:val="20"/>
                <w:szCs w:val="20"/>
              </w:rPr>
              <w:t>° 261 du 22/04/08</w:t>
            </w:r>
          </w:p>
        </w:tc>
        <w:tc>
          <w:tcPr>
            <w:tcW w:w="2127" w:type="dxa"/>
            <w:shd w:val="clear" w:color="auto" w:fill="auto"/>
            <w:vAlign w:val="center"/>
          </w:tcPr>
          <w:p w:rsidR="00E62FD3" w:rsidRPr="009753B2" w:rsidRDefault="00E62FD3" w:rsidP="00096E68">
            <w:pPr>
              <w:pStyle w:val="Tableau"/>
              <w:ind w:left="35"/>
              <w:jc w:val="center"/>
              <w:rPr>
                <w:sz w:val="20"/>
                <w:szCs w:val="20"/>
              </w:rPr>
            </w:pPr>
            <w:r w:rsidRPr="009753B2">
              <w:rPr>
                <w:sz w:val="20"/>
                <w:szCs w:val="20"/>
              </w:rPr>
              <w:t>3 424,09 €</w:t>
            </w:r>
          </w:p>
        </w:tc>
        <w:tc>
          <w:tcPr>
            <w:tcW w:w="1985" w:type="dxa"/>
            <w:shd w:val="clear" w:color="auto" w:fill="auto"/>
            <w:vAlign w:val="center"/>
          </w:tcPr>
          <w:p w:rsidR="00E62FD3" w:rsidRPr="009753B2" w:rsidRDefault="00E62FD3" w:rsidP="00096E68">
            <w:pPr>
              <w:pStyle w:val="Tableau"/>
              <w:ind w:left="76"/>
              <w:jc w:val="center"/>
              <w:rPr>
                <w:sz w:val="20"/>
                <w:szCs w:val="20"/>
              </w:rPr>
            </w:pPr>
            <w:r w:rsidRPr="009753B2">
              <w:rPr>
                <w:sz w:val="20"/>
                <w:szCs w:val="20"/>
              </w:rPr>
              <w:t>2 000 €</w:t>
            </w:r>
          </w:p>
        </w:tc>
      </w:tr>
      <w:tr w:rsidR="009753B2" w:rsidRPr="00E62FD3" w:rsidTr="00096E68">
        <w:tc>
          <w:tcPr>
            <w:tcW w:w="2552" w:type="dxa"/>
            <w:shd w:val="clear" w:color="auto" w:fill="auto"/>
            <w:vAlign w:val="center"/>
          </w:tcPr>
          <w:p w:rsidR="00E62FD3" w:rsidRPr="009753B2" w:rsidRDefault="00096E68" w:rsidP="00096E68">
            <w:pPr>
              <w:pStyle w:val="Tableau"/>
              <w:ind w:left="0"/>
              <w:jc w:val="left"/>
              <w:rPr>
                <w:sz w:val="20"/>
                <w:szCs w:val="20"/>
              </w:rPr>
            </w:pPr>
            <w:r w:rsidRPr="00096E68">
              <w:rPr>
                <w:sz w:val="20"/>
                <w:szCs w:val="20"/>
              </w:rPr>
              <w:t>M</w:t>
            </w:r>
            <w:r w:rsidRPr="00096E68">
              <w:rPr>
                <w:sz w:val="20"/>
                <w:szCs w:val="20"/>
                <w:vertAlign w:val="superscript"/>
              </w:rPr>
              <w:t>me</w:t>
            </w:r>
            <w:r>
              <w:rPr>
                <w:sz w:val="20"/>
                <w:szCs w:val="20"/>
              </w:rPr>
              <w:t xml:space="preserve"> </w:t>
            </w:r>
            <w:r w:rsidR="000E749C">
              <w:rPr>
                <w:sz w:val="20"/>
                <w:szCs w:val="20"/>
              </w:rPr>
              <w:t>D</w:t>
            </w:r>
          </w:p>
        </w:tc>
        <w:tc>
          <w:tcPr>
            <w:tcW w:w="1842" w:type="dxa"/>
            <w:shd w:val="clear" w:color="auto" w:fill="auto"/>
            <w:vAlign w:val="center"/>
          </w:tcPr>
          <w:p w:rsidR="00E62FD3" w:rsidRPr="009753B2" w:rsidRDefault="00225177" w:rsidP="00096E68">
            <w:pPr>
              <w:pStyle w:val="Tableau"/>
              <w:ind w:left="0"/>
              <w:jc w:val="center"/>
              <w:rPr>
                <w:sz w:val="20"/>
                <w:szCs w:val="20"/>
              </w:rPr>
            </w:pPr>
            <w:r>
              <w:rPr>
                <w:sz w:val="20"/>
                <w:szCs w:val="20"/>
              </w:rPr>
              <w:t>n</w:t>
            </w:r>
            <w:r w:rsidR="00E62FD3" w:rsidRPr="009753B2">
              <w:rPr>
                <w:sz w:val="20"/>
                <w:szCs w:val="20"/>
              </w:rPr>
              <w:t>° 264 du 22/04/08</w:t>
            </w:r>
          </w:p>
        </w:tc>
        <w:tc>
          <w:tcPr>
            <w:tcW w:w="2127" w:type="dxa"/>
            <w:shd w:val="clear" w:color="auto" w:fill="auto"/>
            <w:vAlign w:val="center"/>
          </w:tcPr>
          <w:p w:rsidR="00E62FD3" w:rsidRPr="009753B2" w:rsidRDefault="00E62FD3" w:rsidP="00096E68">
            <w:pPr>
              <w:pStyle w:val="Tableau"/>
              <w:ind w:left="35"/>
              <w:jc w:val="center"/>
              <w:rPr>
                <w:sz w:val="20"/>
                <w:szCs w:val="20"/>
              </w:rPr>
            </w:pPr>
            <w:r w:rsidRPr="009753B2">
              <w:rPr>
                <w:sz w:val="20"/>
                <w:szCs w:val="20"/>
              </w:rPr>
              <w:t>2 952,51 €</w:t>
            </w:r>
          </w:p>
        </w:tc>
        <w:tc>
          <w:tcPr>
            <w:tcW w:w="1985" w:type="dxa"/>
            <w:shd w:val="clear" w:color="auto" w:fill="auto"/>
            <w:vAlign w:val="center"/>
          </w:tcPr>
          <w:p w:rsidR="00E62FD3" w:rsidRPr="009753B2" w:rsidRDefault="00E62FD3" w:rsidP="00096E68">
            <w:pPr>
              <w:pStyle w:val="Tableau"/>
              <w:ind w:left="76"/>
              <w:jc w:val="center"/>
              <w:rPr>
                <w:sz w:val="20"/>
                <w:szCs w:val="20"/>
              </w:rPr>
            </w:pPr>
            <w:r w:rsidRPr="009753B2">
              <w:rPr>
                <w:sz w:val="20"/>
                <w:szCs w:val="20"/>
              </w:rPr>
              <w:t>1 000 €</w:t>
            </w:r>
          </w:p>
        </w:tc>
      </w:tr>
      <w:tr w:rsidR="009753B2" w:rsidRPr="00E62FD3" w:rsidTr="00096E68">
        <w:tc>
          <w:tcPr>
            <w:tcW w:w="2552" w:type="dxa"/>
            <w:shd w:val="clear" w:color="auto" w:fill="auto"/>
            <w:vAlign w:val="center"/>
          </w:tcPr>
          <w:p w:rsidR="00E62FD3" w:rsidRPr="009753B2" w:rsidRDefault="00E62FD3" w:rsidP="009753B2">
            <w:pPr>
              <w:pStyle w:val="Tableau"/>
              <w:ind w:left="0"/>
              <w:jc w:val="left"/>
              <w:rPr>
                <w:sz w:val="20"/>
                <w:szCs w:val="20"/>
              </w:rPr>
            </w:pPr>
            <w:r w:rsidRPr="009753B2">
              <w:rPr>
                <w:sz w:val="20"/>
                <w:szCs w:val="20"/>
              </w:rPr>
              <w:t>M. </w:t>
            </w:r>
            <w:r w:rsidR="000E749C">
              <w:rPr>
                <w:sz w:val="20"/>
                <w:szCs w:val="20"/>
              </w:rPr>
              <w:t>E</w:t>
            </w:r>
          </w:p>
        </w:tc>
        <w:tc>
          <w:tcPr>
            <w:tcW w:w="1842" w:type="dxa"/>
            <w:shd w:val="clear" w:color="auto" w:fill="auto"/>
            <w:vAlign w:val="center"/>
          </w:tcPr>
          <w:p w:rsidR="00E62FD3" w:rsidRPr="009753B2" w:rsidRDefault="00225177" w:rsidP="00096E68">
            <w:pPr>
              <w:pStyle w:val="Tableau"/>
              <w:ind w:left="0"/>
              <w:jc w:val="center"/>
              <w:rPr>
                <w:sz w:val="20"/>
                <w:szCs w:val="20"/>
              </w:rPr>
            </w:pPr>
            <w:r>
              <w:rPr>
                <w:sz w:val="20"/>
                <w:szCs w:val="20"/>
              </w:rPr>
              <w:t>n</w:t>
            </w:r>
            <w:r w:rsidR="00E62FD3" w:rsidRPr="009753B2">
              <w:rPr>
                <w:sz w:val="20"/>
                <w:szCs w:val="20"/>
              </w:rPr>
              <w:t>° 279 du 22/04/08</w:t>
            </w:r>
          </w:p>
        </w:tc>
        <w:tc>
          <w:tcPr>
            <w:tcW w:w="2127" w:type="dxa"/>
            <w:shd w:val="clear" w:color="auto" w:fill="auto"/>
            <w:vAlign w:val="center"/>
          </w:tcPr>
          <w:p w:rsidR="00E62FD3" w:rsidRPr="009753B2" w:rsidRDefault="00E62FD3" w:rsidP="00096E68">
            <w:pPr>
              <w:pStyle w:val="Tableau"/>
              <w:ind w:left="35"/>
              <w:jc w:val="center"/>
              <w:rPr>
                <w:sz w:val="20"/>
                <w:szCs w:val="20"/>
              </w:rPr>
            </w:pPr>
            <w:r w:rsidRPr="009753B2">
              <w:rPr>
                <w:sz w:val="20"/>
                <w:szCs w:val="20"/>
              </w:rPr>
              <w:t>3 589,61 €</w:t>
            </w:r>
          </w:p>
        </w:tc>
        <w:tc>
          <w:tcPr>
            <w:tcW w:w="1985" w:type="dxa"/>
            <w:shd w:val="clear" w:color="auto" w:fill="auto"/>
            <w:vAlign w:val="center"/>
          </w:tcPr>
          <w:p w:rsidR="00E62FD3" w:rsidRPr="009753B2" w:rsidRDefault="00E62FD3" w:rsidP="00096E68">
            <w:pPr>
              <w:pStyle w:val="Tableau"/>
              <w:ind w:left="76"/>
              <w:jc w:val="center"/>
              <w:rPr>
                <w:sz w:val="20"/>
                <w:szCs w:val="20"/>
              </w:rPr>
            </w:pPr>
            <w:r w:rsidRPr="009753B2">
              <w:rPr>
                <w:sz w:val="20"/>
                <w:szCs w:val="20"/>
              </w:rPr>
              <w:t>1 000 €</w:t>
            </w:r>
          </w:p>
        </w:tc>
      </w:tr>
      <w:tr w:rsidR="009753B2" w:rsidRPr="00E62FD3" w:rsidTr="00096E68">
        <w:tc>
          <w:tcPr>
            <w:tcW w:w="2552" w:type="dxa"/>
            <w:shd w:val="clear" w:color="auto" w:fill="auto"/>
            <w:vAlign w:val="center"/>
          </w:tcPr>
          <w:p w:rsidR="00E62FD3" w:rsidRPr="009753B2" w:rsidRDefault="00096E68" w:rsidP="00096E68">
            <w:pPr>
              <w:pStyle w:val="Tableau"/>
              <w:ind w:left="0"/>
              <w:jc w:val="left"/>
              <w:rPr>
                <w:sz w:val="20"/>
                <w:szCs w:val="20"/>
              </w:rPr>
            </w:pPr>
            <w:r w:rsidRPr="00096E68">
              <w:rPr>
                <w:sz w:val="20"/>
                <w:szCs w:val="20"/>
              </w:rPr>
              <w:t>M</w:t>
            </w:r>
            <w:r w:rsidRPr="00096E68">
              <w:rPr>
                <w:sz w:val="20"/>
                <w:szCs w:val="20"/>
                <w:vertAlign w:val="superscript"/>
              </w:rPr>
              <w:t>me</w:t>
            </w:r>
            <w:r>
              <w:rPr>
                <w:sz w:val="20"/>
                <w:szCs w:val="20"/>
              </w:rPr>
              <w:t xml:space="preserve"> </w:t>
            </w:r>
            <w:r w:rsidR="000E749C">
              <w:rPr>
                <w:sz w:val="20"/>
                <w:szCs w:val="20"/>
              </w:rPr>
              <w:t>F</w:t>
            </w:r>
          </w:p>
        </w:tc>
        <w:tc>
          <w:tcPr>
            <w:tcW w:w="1842" w:type="dxa"/>
            <w:shd w:val="clear" w:color="auto" w:fill="auto"/>
            <w:vAlign w:val="center"/>
          </w:tcPr>
          <w:p w:rsidR="00E62FD3" w:rsidRPr="009753B2" w:rsidRDefault="00225177" w:rsidP="00096E68">
            <w:pPr>
              <w:pStyle w:val="Tableau"/>
              <w:ind w:left="0"/>
              <w:jc w:val="center"/>
              <w:rPr>
                <w:sz w:val="20"/>
                <w:szCs w:val="20"/>
              </w:rPr>
            </w:pPr>
            <w:r>
              <w:rPr>
                <w:sz w:val="20"/>
                <w:szCs w:val="20"/>
              </w:rPr>
              <w:t>n</w:t>
            </w:r>
            <w:r w:rsidR="00E62FD3" w:rsidRPr="009753B2">
              <w:rPr>
                <w:sz w:val="20"/>
                <w:szCs w:val="20"/>
              </w:rPr>
              <w:t>° 293 du 22/04/08</w:t>
            </w:r>
          </w:p>
        </w:tc>
        <w:tc>
          <w:tcPr>
            <w:tcW w:w="2127" w:type="dxa"/>
            <w:shd w:val="clear" w:color="auto" w:fill="auto"/>
            <w:vAlign w:val="center"/>
          </w:tcPr>
          <w:p w:rsidR="00E62FD3" w:rsidRPr="009753B2" w:rsidRDefault="00E62FD3" w:rsidP="00096E68">
            <w:pPr>
              <w:pStyle w:val="Tableau"/>
              <w:ind w:left="35"/>
              <w:jc w:val="center"/>
              <w:rPr>
                <w:sz w:val="20"/>
                <w:szCs w:val="20"/>
              </w:rPr>
            </w:pPr>
            <w:r w:rsidRPr="009753B2">
              <w:rPr>
                <w:sz w:val="20"/>
                <w:szCs w:val="20"/>
              </w:rPr>
              <w:t>2 736,28 €</w:t>
            </w:r>
          </w:p>
        </w:tc>
        <w:tc>
          <w:tcPr>
            <w:tcW w:w="1985" w:type="dxa"/>
            <w:shd w:val="clear" w:color="auto" w:fill="auto"/>
            <w:vAlign w:val="center"/>
          </w:tcPr>
          <w:p w:rsidR="00E62FD3" w:rsidRPr="009753B2" w:rsidRDefault="00E62FD3" w:rsidP="00096E68">
            <w:pPr>
              <w:pStyle w:val="Tableau"/>
              <w:ind w:left="76"/>
              <w:jc w:val="center"/>
              <w:rPr>
                <w:sz w:val="20"/>
                <w:szCs w:val="20"/>
              </w:rPr>
            </w:pPr>
            <w:r w:rsidRPr="009753B2">
              <w:rPr>
                <w:sz w:val="20"/>
                <w:szCs w:val="20"/>
              </w:rPr>
              <w:t>1 000 €</w:t>
            </w:r>
          </w:p>
        </w:tc>
      </w:tr>
      <w:tr w:rsidR="009753B2" w:rsidRPr="00E62FD3" w:rsidTr="00096E68">
        <w:tc>
          <w:tcPr>
            <w:tcW w:w="2552" w:type="dxa"/>
            <w:shd w:val="clear" w:color="auto" w:fill="auto"/>
            <w:vAlign w:val="center"/>
          </w:tcPr>
          <w:p w:rsidR="00E62FD3" w:rsidRPr="009753B2" w:rsidRDefault="00096E68" w:rsidP="00096E68">
            <w:pPr>
              <w:pStyle w:val="Tableau"/>
              <w:ind w:left="0"/>
              <w:jc w:val="left"/>
              <w:rPr>
                <w:sz w:val="20"/>
                <w:szCs w:val="20"/>
              </w:rPr>
            </w:pPr>
            <w:r w:rsidRPr="00096E68">
              <w:rPr>
                <w:sz w:val="20"/>
                <w:szCs w:val="20"/>
              </w:rPr>
              <w:t>M</w:t>
            </w:r>
            <w:r w:rsidRPr="00096E68">
              <w:rPr>
                <w:sz w:val="20"/>
                <w:szCs w:val="20"/>
                <w:vertAlign w:val="superscript"/>
              </w:rPr>
              <w:t>me</w:t>
            </w:r>
            <w:r>
              <w:rPr>
                <w:sz w:val="20"/>
                <w:szCs w:val="20"/>
              </w:rPr>
              <w:t xml:space="preserve"> </w:t>
            </w:r>
            <w:r w:rsidR="000E749C">
              <w:rPr>
                <w:sz w:val="20"/>
                <w:szCs w:val="20"/>
              </w:rPr>
              <w:t>G</w:t>
            </w:r>
          </w:p>
        </w:tc>
        <w:tc>
          <w:tcPr>
            <w:tcW w:w="1842" w:type="dxa"/>
            <w:shd w:val="clear" w:color="auto" w:fill="auto"/>
            <w:vAlign w:val="center"/>
          </w:tcPr>
          <w:p w:rsidR="00E62FD3" w:rsidRPr="009753B2" w:rsidRDefault="00225177" w:rsidP="00096E68">
            <w:pPr>
              <w:pStyle w:val="Tableau"/>
              <w:ind w:left="0"/>
              <w:jc w:val="center"/>
              <w:rPr>
                <w:sz w:val="20"/>
                <w:szCs w:val="20"/>
              </w:rPr>
            </w:pPr>
            <w:r>
              <w:rPr>
                <w:sz w:val="20"/>
                <w:szCs w:val="20"/>
              </w:rPr>
              <w:t>n</w:t>
            </w:r>
            <w:r w:rsidR="00E62FD3" w:rsidRPr="009753B2">
              <w:rPr>
                <w:sz w:val="20"/>
                <w:szCs w:val="20"/>
              </w:rPr>
              <w:t>° 295 du 22/04/08</w:t>
            </w:r>
          </w:p>
        </w:tc>
        <w:tc>
          <w:tcPr>
            <w:tcW w:w="2127" w:type="dxa"/>
            <w:shd w:val="clear" w:color="auto" w:fill="auto"/>
            <w:vAlign w:val="center"/>
          </w:tcPr>
          <w:p w:rsidR="00E62FD3" w:rsidRPr="009753B2" w:rsidRDefault="00E62FD3" w:rsidP="00096E68">
            <w:pPr>
              <w:pStyle w:val="Tableau"/>
              <w:ind w:left="35"/>
              <w:jc w:val="center"/>
              <w:rPr>
                <w:sz w:val="20"/>
                <w:szCs w:val="20"/>
              </w:rPr>
            </w:pPr>
            <w:r w:rsidRPr="009753B2">
              <w:rPr>
                <w:sz w:val="20"/>
                <w:szCs w:val="20"/>
              </w:rPr>
              <w:t>3 698,26 €</w:t>
            </w:r>
          </w:p>
        </w:tc>
        <w:tc>
          <w:tcPr>
            <w:tcW w:w="1985" w:type="dxa"/>
            <w:shd w:val="clear" w:color="auto" w:fill="auto"/>
            <w:vAlign w:val="center"/>
          </w:tcPr>
          <w:p w:rsidR="00E62FD3" w:rsidRPr="009753B2" w:rsidRDefault="00E62FD3" w:rsidP="00096E68">
            <w:pPr>
              <w:pStyle w:val="Tableau"/>
              <w:ind w:left="76"/>
              <w:jc w:val="center"/>
              <w:rPr>
                <w:sz w:val="20"/>
                <w:szCs w:val="20"/>
              </w:rPr>
            </w:pPr>
            <w:r w:rsidRPr="009753B2">
              <w:rPr>
                <w:sz w:val="20"/>
                <w:szCs w:val="20"/>
              </w:rPr>
              <w:t>2 000 €</w:t>
            </w:r>
          </w:p>
        </w:tc>
      </w:tr>
      <w:tr w:rsidR="009753B2" w:rsidRPr="00E62FD3" w:rsidTr="00096E68">
        <w:tc>
          <w:tcPr>
            <w:tcW w:w="2552" w:type="dxa"/>
            <w:shd w:val="clear" w:color="auto" w:fill="auto"/>
            <w:vAlign w:val="center"/>
          </w:tcPr>
          <w:p w:rsidR="00E62FD3" w:rsidRPr="009753B2" w:rsidRDefault="00E62FD3" w:rsidP="009753B2">
            <w:pPr>
              <w:pStyle w:val="Tableau"/>
              <w:ind w:left="0"/>
              <w:jc w:val="left"/>
              <w:rPr>
                <w:sz w:val="20"/>
                <w:szCs w:val="20"/>
              </w:rPr>
            </w:pPr>
            <w:r w:rsidRPr="009753B2">
              <w:rPr>
                <w:sz w:val="20"/>
                <w:szCs w:val="20"/>
              </w:rPr>
              <w:t>M. </w:t>
            </w:r>
            <w:r w:rsidR="000E749C">
              <w:rPr>
                <w:sz w:val="20"/>
                <w:szCs w:val="20"/>
              </w:rPr>
              <w:t>H</w:t>
            </w:r>
          </w:p>
        </w:tc>
        <w:tc>
          <w:tcPr>
            <w:tcW w:w="1842" w:type="dxa"/>
            <w:shd w:val="clear" w:color="auto" w:fill="auto"/>
            <w:vAlign w:val="center"/>
          </w:tcPr>
          <w:p w:rsidR="00E62FD3" w:rsidRPr="009753B2" w:rsidRDefault="00225177" w:rsidP="00096E68">
            <w:pPr>
              <w:pStyle w:val="Tableau"/>
              <w:ind w:left="0"/>
              <w:jc w:val="center"/>
              <w:rPr>
                <w:sz w:val="20"/>
                <w:szCs w:val="20"/>
              </w:rPr>
            </w:pPr>
            <w:r>
              <w:rPr>
                <w:sz w:val="20"/>
                <w:szCs w:val="20"/>
              </w:rPr>
              <w:t>n</w:t>
            </w:r>
            <w:r w:rsidR="00E62FD3" w:rsidRPr="009753B2">
              <w:rPr>
                <w:sz w:val="20"/>
                <w:szCs w:val="20"/>
              </w:rPr>
              <w:t>° 297 du 22/04/08</w:t>
            </w:r>
          </w:p>
        </w:tc>
        <w:tc>
          <w:tcPr>
            <w:tcW w:w="2127" w:type="dxa"/>
            <w:shd w:val="clear" w:color="auto" w:fill="auto"/>
            <w:vAlign w:val="center"/>
          </w:tcPr>
          <w:p w:rsidR="00E62FD3" w:rsidRPr="009753B2" w:rsidRDefault="00E62FD3" w:rsidP="00096E68">
            <w:pPr>
              <w:pStyle w:val="Tableau"/>
              <w:ind w:left="35"/>
              <w:jc w:val="center"/>
              <w:rPr>
                <w:sz w:val="20"/>
                <w:szCs w:val="20"/>
              </w:rPr>
            </w:pPr>
            <w:r w:rsidRPr="009753B2">
              <w:rPr>
                <w:sz w:val="20"/>
                <w:szCs w:val="20"/>
              </w:rPr>
              <w:t>4 201,38 €</w:t>
            </w:r>
          </w:p>
        </w:tc>
        <w:tc>
          <w:tcPr>
            <w:tcW w:w="1985" w:type="dxa"/>
            <w:shd w:val="clear" w:color="auto" w:fill="auto"/>
            <w:vAlign w:val="center"/>
          </w:tcPr>
          <w:p w:rsidR="00E62FD3" w:rsidRPr="009753B2" w:rsidRDefault="00E62FD3" w:rsidP="00096E68">
            <w:pPr>
              <w:pStyle w:val="Tableau"/>
              <w:ind w:left="76"/>
              <w:jc w:val="center"/>
              <w:rPr>
                <w:sz w:val="20"/>
                <w:szCs w:val="20"/>
              </w:rPr>
            </w:pPr>
            <w:r w:rsidRPr="009753B2">
              <w:rPr>
                <w:sz w:val="20"/>
                <w:szCs w:val="20"/>
              </w:rPr>
              <w:t>2 000 €</w:t>
            </w:r>
          </w:p>
        </w:tc>
      </w:tr>
      <w:tr w:rsidR="009753B2" w:rsidRPr="00E62FD3" w:rsidTr="00096E68">
        <w:tc>
          <w:tcPr>
            <w:tcW w:w="2552" w:type="dxa"/>
            <w:shd w:val="clear" w:color="auto" w:fill="auto"/>
            <w:vAlign w:val="center"/>
          </w:tcPr>
          <w:p w:rsidR="00E62FD3" w:rsidRPr="009753B2" w:rsidRDefault="00096E68" w:rsidP="00096E68">
            <w:pPr>
              <w:pStyle w:val="Tableau"/>
              <w:ind w:left="0"/>
              <w:jc w:val="left"/>
              <w:rPr>
                <w:sz w:val="20"/>
                <w:szCs w:val="20"/>
              </w:rPr>
            </w:pPr>
            <w:r w:rsidRPr="00096E68">
              <w:rPr>
                <w:sz w:val="20"/>
                <w:szCs w:val="20"/>
              </w:rPr>
              <w:t>M</w:t>
            </w:r>
            <w:r w:rsidRPr="00096E68">
              <w:rPr>
                <w:sz w:val="20"/>
                <w:szCs w:val="20"/>
                <w:vertAlign w:val="superscript"/>
              </w:rPr>
              <w:t>me</w:t>
            </w:r>
            <w:r>
              <w:rPr>
                <w:sz w:val="20"/>
                <w:szCs w:val="20"/>
              </w:rPr>
              <w:t xml:space="preserve"> </w:t>
            </w:r>
            <w:r w:rsidR="000E749C">
              <w:rPr>
                <w:sz w:val="20"/>
                <w:szCs w:val="20"/>
              </w:rPr>
              <w:t>I</w:t>
            </w:r>
          </w:p>
        </w:tc>
        <w:tc>
          <w:tcPr>
            <w:tcW w:w="1842" w:type="dxa"/>
            <w:shd w:val="clear" w:color="auto" w:fill="auto"/>
            <w:vAlign w:val="center"/>
          </w:tcPr>
          <w:p w:rsidR="00E62FD3" w:rsidRPr="009753B2" w:rsidRDefault="00225177" w:rsidP="00096E68">
            <w:pPr>
              <w:pStyle w:val="Tableau"/>
              <w:ind w:left="0"/>
              <w:jc w:val="center"/>
              <w:rPr>
                <w:sz w:val="20"/>
                <w:szCs w:val="20"/>
              </w:rPr>
            </w:pPr>
            <w:r>
              <w:rPr>
                <w:sz w:val="20"/>
                <w:szCs w:val="20"/>
              </w:rPr>
              <w:t>n</w:t>
            </w:r>
            <w:r w:rsidR="00E62FD3" w:rsidRPr="009753B2">
              <w:rPr>
                <w:sz w:val="20"/>
                <w:szCs w:val="20"/>
              </w:rPr>
              <w:t>° 304 du 22/04/08</w:t>
            </w:r>
          </w:p>
        </w:tc>
        <w:tc>
          <w:tcPr>
            <w:tcW w:w="2127" w:type="dxa"/>
            <w:shd w:val="clear" w:color="auto" w:fill="auto"/>
            <w:vAlign w:val="center"/>
          </w:tcPr>
          <w:p w:rsidR="00E62FD3" w:rsidRPr="009753B2" w:rsidRDefault="00E62FD3" w:rsidP="00096E68">
            <w:pPr>
              <w:pStyle w:val="Tableau"/>
              <w:ind w:left="35"/>
              <w:jc w:val="center"/>
              <w:rPr>
                <w:sz w:val="20"/>
                <w:szCs w:val="20"/>
              </w:rPr>
            </w:pPr>
            <w:r w:rsidRPr="009753B2">
              <w:rPr>
                <w:sz w:val="20"/>
                <w:szCs w:val="20"/>
              </w:rPr>
              <w:t>3 929,01 €</w:t>
            </w:r>
          </w:p>
        </w:tc>
        <w:tc>
          <w:tcPr>
            <w:tcW w:w="1985" w:type="dxa"/>
            <w:shd w:val="clear" w:color="auto" w:fill="auto"/>
            <w:vAlign w:val="center"/>
          </w:tcPr>
          <w:p w:rsidR="00E62FD3" w:rsidRPr="009753B2" w:rsidRDefault="00E62FD3" w:rsidP="00096E68">
            <w:pPr>
              <w:pStyle w:val="Tableau"/>
              <w:ind w:left="76"/>
              <w:jc w:val="center"/>
              <w:rPr>
                <w:sz w:val="20"/>
                <w:szCs w:val="20"/>
              </w:rPr>
            </w:pPr>
            <w:r w:rsidRPr="009753B2">
              <w:rPr>
                <w:sz w:val="20"/>
                <w:szCs w:val="20"/>
              </w:rPr>
              <w:t>2 000 €</w:t>
            </w:r>
          </w:p>
        </w:tc>
      </w:tr>
      <w:tr w:rsidR="009753B2" w:rsidRPr="00E62FD3" w:rsidTr="00096E68">
        <w:tc>
          <w:tcPr>
            <w:tcW w:w="2552" w:type="dxa"/>
            <w:shd w:val="clear" w:color="auto" w:fill="auto"/>
            <w:vAlign w:val="center"/>
          </w:tcPr>
          <w:p w:rsidR="00E62FD3" w:rsidRPr="009753B2" w:rsidRDefault="00E62FD3" w:rsidP="009753B2">
            <w:pPr>
              <w:pStyle w:val="Tableau"/>
              <w:ind w:left="0"/>
              <w:jc w:val="left"/>
              <w:rPr>
                <w:sz w:val="20"/>
                <w:szCs w:val="20"/>
              </w:rPr>
            </w:pPr>
            <w:r w:rsidRPr="009753B2">
              <w:rPr>
                <w:sz w:val="20"/>
                <w:szCs w:val="20"/>
              </w:rPr>
              <w:t>M. </w:t>
            </w:r>
            <w:r w:rsidR="000E749C">
              <w:rPr>
                <w:sz w:val="20"/>
                <w:szCs w:val="20"/>
              </w:rPr>
              <w:t>J</w:t>
            </w:r>
          </w:p>
        </w:tc>
        <w:tc>
          <w:tcPr>
            <w:tcW w:w="1842" w:type="dxa"/>
            <w:shd w:val="clear" w:color="auto" w:fill="auto"/>
            <w:vAlign w:val="center"/>
          </w:tcPr>
          <w:p w:rsidR="00E62FD3" w:rsidRPr="009753B2" w:rsidRDefault="00225177" w:rsidP="00096E68">
            <w:pPr>
              <w:pStyle w:val="Tableau"/>
              <w:ind w:left="0"/>
              <w:jc w:val="center"/>
              <w:rPr>
                <w:sz w:val="20"/>
                <w:szCs w:val="20"/>
              </w:rPr>
            </w:pPr>
            <w:r>
              <w:rPr>
                <w:sz w:val="20"/>
                <w:szCs w:val="20"/>
              </w:rPr>
              <w:t>n</w:t>
            </w:r>
            <w:r w:rsidR="00E62FD3" w:rsidRPr="009753B2">
              <w:rPr>
                <w:sz w:val="20"/>
                <w:szCs w:val="20"/>
              </w:rPr>
              <w:t>° 305 du 22/04/08</w:t>
            </w:r>
          </w:p>
        </w:tc>
        <w:tc>
          <w:tcPr>
            <w:tcW w:w="2127" w:type="dxa"/>
            <w:shd w:val="clear" w:color="auto" w:fill="auto"/>
            <w:vAlign w:val="center"/>
          </w:tcPr>
          <w:p w:rsidR="00E62FD3" w:rsidRPr="009753B2" w:rsidRDefault="00E62FD3" w:rsidP="00096E68">
            <w:pPr>
              <w:pStyle w:val="Tableau"/>
              <w:ind w:left="35"/>
              <w:jc w:val="center"/>
              <w:rPr>
                <w:sz w:val="20"/>
                <w:szCs w:val="20"/>
              </w:rPr>
            </w:pPr>
            <w:r w:rsidRPr="009753B2">
              <w:rPr>
                <w:sz w:val="20"/>
                <w:szCs w:val="20"/>
              </w:rPr>
              <w:t>3 003,90 €</w:t>
            </w:r>
          </w:p>
        </w:tc>
        <w:tc>
          <w:tcPr>
            <w:tcW w:w="1985" w:type="dxa"/>
            <w:shd w:val="clear" w:color="auto" w:fill="auto"/>
            <w:vAlign w:val="center"/>
          </w:tcPr>
          <w:p w:rsidR="00E62FD3" w:rsidRPr="009753B2" w:rsidRDefault="00E62FD3" w:rsidP="00096E68">
            <w:pPr>
              <w:pStyle w:val="Tableau"/>
              <w:ind w:left="76"/>
              <w:jc w:val="center"/>
              <w:rPr>
                <w:sz w:val="20"/>
                <w:szCs w:val="20"/>
              </w:rPr>
            </w:pPr>
            <w:r w:rsidRPr="009753B2">
              <w:rPr>
                <w:sz w:val="20"/>
                <w:szCs w:val="20"/>
              </w:rPr>
              <w:t>1 000 €</w:t>
            </w:r>
          </w:p>
        </w:tc>
      </w:tr>
    </w:tbl>
    <w:p w:rsidR="00E62FD3" w:rsidRPr="009753B2" w:rsidRDefault="00E62FD3" w:rsidP="009753B2">
      <w:pPr>
        <w:pStyle w:val="Corpsdetexte"/>
        <w:spacing w:before="0"/>
        <w:ind w:firstLine="0"/>
        <w:rPr>
          <w:i/>
          <w:sz w:val="18"/>
          <w:szCs w:val="18"/>
        </w:rPr>
      </w:pPr>
      <w:r w:rsidRPr="009753B2">
        <w:rPr>
          <w:i/>
          <w:sz w:val="18"/>
          <w:szCs w:val="18"/>
        </w:rPr>
        <w:t>Source : ministère public, à partir des mandats de paiement.</w:t>
      </w:r>
    </w:p>
    <w:p w:rsidR="00CE1C38" w:rsidRDefault="00A7074C" w:rsidP="00CE1C38">
      <w:pPr>
        <w:pStyle w:val="Corpsdetexte"/>
      </w:pPr>
      <w:r>
        <w:lastRenderedPageBreak/>
        <w:t xml:space="preserve">Considérant </w:t>
      </w:r>
      <w:r w:rsidR="00A24F3F" w:rsidRPr="00810823">
        <w:t xml:space="preserve">que par réquisitoire </w:t>
      </w:r>
      <w:r w:rsidR="00A24F3F">
        <w:t>n° 2011</w:t>
      </w:r>
      <w:r w:rsidR="00F63B29">
        <w:t>-</w:t>
      </w:r>
      <w:r w:rsidR="00A24F3F">
        <w:t>65 RQ-</w:t>
      </w:r>
      <w:r w:rsidR="00A24F3F" w:rsidRPr="00A24F3F">
        <w:t xml:space="preserve">DB </w:t>
      </w:r>
      <w:r w:rsidR="00A24F3F" w:rsidRPr="00810823">
        <w:t>susvisé</w:t>
      </w:r>
      <w:r w:rsidR="00C15DD9" w:rsidRPr="00CE1C38">
        <w:t>, le Procureur général a relevé que</w:t>
      </w:r>
      <w:r w:rsidR="00CE1C38" w:rsidRPr="00CE1C38">
        <w:t xml:space="preserve"> la responsabilité personnelle et pécuniaire de M. </w:t>
      </w:r>
      <w:r w:rsidR="000E749C">
        <w:t>Y</w:t>
      </w:r>
      <w:r w:rsidR="00CE1C38" w:rsidRPr="00CE1C38">
        <w:t xml:space="preserve"> paraît engagée, au titre de l’exercice</w:t>
      </w:r>
      <w:r w:rsidR="00096E68">
        <w:t xml:space="preserve"> </w:t>
      </w:r>
      <w:r w:rsidR="00CE1C38" w:rsidRPr="00CE1C38">
        <w:t>2008, d’une part, pour n’avoir pas suspendu le paiement des primes après avoir constaté que l’ordonnateur n’avait pas compétence pour mettre en place, au profit de ceux des bénéficiaires qui avaient le statut de fonctionnaire, un régime indemnitaire non prévu par un texte législatif ou réglementaire et, d’autre part, pour avoir payé les primes irrégulières alors qu’il ne disposait d’aucune délibération du conseil d’administration de l’</w:t>
      </w:r>
      <w:r w:rsidR="00CE1C38">
        <w:t>établissement</w:t>
      </w:r>
      <w:r w:rsidR="00CE1C38" w:rsidRPr="00CE1C38">
        <w:t> ;</w:t>
      </w:r>
    </w:p>
    <w:p w:rsidR="00302F7A" w:rsidRPr="00064B94" w:rsidRDefault="002705A4" w:rsidP="00302F7A">
      <w:pPr>
        <w:pStyle w:val="Corpsdetexte"/>
      </w:pPr>
      <w:r>
        <w:t xml:space="preserve">Considérant </w:t>
      </w:r>
      <w:r w:rsidR="00302F7A" w:rsidRPr="00064B94">
        <w:t xml:space="preserve">que le comptable soutient </w:t>
      </w:r>
      <w:r w:rsidR="00302F7A">
        <w:t xml:space="preserve">d’une part </w:t>
      </w:r>
      <w:r w:rsidR="00302F7A" w:rsidRPr="00064B94">
        <w:t>qu’il ne s’agit pas de l’attribution d’une indemnité nouvelle, mais de la revalorisation individuelle du contrat de recrutement de dix agents « </w:t>
      </w:r>
      <w:r w:rsidR="00302F7A" w:rsidRPr="00064B94">
        <w:rPr>
          <w:i/>
        </w:rPr>
        <w:t>afin de tenir compte de certaines charges et circonstances exceptionnelles </w:t>
      </w:r>
      <w:r w:rsidR="00302F7A" w:rsidRPr="00064B94">
        <w:t xml:space="preserve">» ; </w:t>
      </w:r>
      <w:r w:rsidR="00302F7A">
        <w:t xml:space="preserve">que, </w:t>
      </w:r>
      <w:r w:rsidR="00302F7A" w:rsidRPr="00064B94">
        <w:t>d’</w:t>
      </w:r>
      <w:r w:rsidR="00302F7A">
        <w:t>autre part, il</w:t>
      </w:r>
      <w:r w:rsidR="00302F7A" w:rsidRPr="00064B94">
        <w:t xml:space="preserve"> avance que les agents sont dans une relation contractuelle avec l’établissement</w:t>
      </w:r>
      <w:r w:rsidR="00302F7A">
        <w:t> ;</w:t>
      </w:r>
    </w:p>
    <w:p w:rsidR="00CE1C38" w:rsidRPr="00064B94" w:rsidRDefault="00CE1C38" w:rsidP="00064B94">
      <w:pPr>
        <w:pStyle w:val="Corpsdetexte"/>
      </w:pPr>
      <w:r w:rsidRPr="00064B94">
        <w:t xml:space="preserve">Considérant que </w:t>
      </w:r>
      <w:r w:rsidR="00C15DD9" w:rsidRPr="00064B94">
        <w:t>l’article 20 de la loi n° 83-634 du 13 juillet 1983 portant droits et obligations des fonctionnaires</w:t>
      </w:r>
      <w:r w:rsidRPr="00064B94">
        <w:t xml:space="preserve"> dispose que </w:t>
      </w:r>
      <w:r w:rsidR="00810823" w:rsidRPr="00064B94">
        <w:t>« </w:t>
      </w:r>
      <w:r w:rsidR="00810823" w:rsidRPr="00AD130C">
        <w:rPr>
          <w:i/>
        </w:rPr>
        <w:t>les fonctionnaires ont droit, après service fait, à une rémunération comprenant le traitement, l'indemnité de résidence, le supplément familial de traitement ainsi que les indemnités instituées par un texte législatif ou réglementaire </w:t>
      </w:r>
      <w:r w:rsidR="00810823" w:rsidRPr="00064B94">
        <w:t>» ;</w:t>
      </w:r>
    </w:p>
    <w:p w:rsidR="00C15DD9" w:rsidRPr="00064B94" w:rsidRDefault="002705A4" w:rsidP="00A24F3F">
      <w:pPr>
        <w:pStyle w:val="Corpsdetexte"/>
        <w:keepNext/>
        <w:keepLines/>
      </w:pPr>
      <w:r>
        <w:t xml:space="preserve">Considérant </w:t>
      </w:r>
      <w:r w:rsidR="00810823" w:rsidRPr="00064B94">
        <w:t>que les</w:t>
      </w:r>
      <w:r w:rsidR="00C15DD9" w:rsidRPr="00064B94">
        <w:t xml:space="preserve"> avenants aux contrats de recrutement </w:t>
      </w:r>
      <w:r w:rsidR="00064B94">
        <w:t>précisent qu’il s’agit bien d’une</w:t>
      </w:r>
      <w:r w:rsidR="00C15DD9" w:rsidRPr="00064B94">
        <w:t xml:space="preserve"> « </w:t>
      </w:r>
      <w:r w:rsidR="00C15DD9" w:rsidRPr="00064B94">
        <w:rPr>
          <w:i/>
        </w:rPr>
        <w:t>prime</w:t>
      </w:r>
      <w:r w:rsidR="00810823" w:rsidRPr="00064B94">
        <w:t> » f</w:t>
      </w:r>
      <w:r w:rsidR="00096E68">
        <w:t>û</w:t>
      </w:r>
      <w:r w:rsidR="00810823" w:rsidRPr="00064B94">
        <w:t>t-elle « </w:t>
      </w:r>
      <w:r w:rsidR="00C15DD9" w:rsidRPr="00064B94">
        <w:rPr>
          <w:i/>
        </w:rPr>
        <w:t>exceptionnelle</w:t>
      </w:r>
      <w:r w:rsidR="00064B94">
        <w:t> » ; que de ce fait l’</w:t>
      </w:r>
      <w:r w:rsidR="00064B94" w:rsidRPr="00064B94">
        <w:t>indemnité</w:t>
      </w:r>
      <w:r w:rsidR="00064B94">
        <w:t xml:space="preserve"> devait être</w:t>
      </w:r>
      <w:r w:rsidR="00064B94" w:rsidRPr="00064B94">
        <w:t xml:space="preserve"> instituée par un texte législatif ou réglementaire</w:t>
      </w:r>
      <w:r w:rsidR="00064B94">
        <w:t> ; qu’au surplus, étant « exceptionnelle »</w:t>
      </w:r>
      <w:r w:rsidR="00E44901">
        <w:t>,</w:t>
      </w:r>
      <w:r w:rsidR="00064B94">
        <w:t xml:space="preserve"> elle </w:t>
      </w:r>
      <w:r w:rsidR="00C15DD9" w:rsidRPr="00064B94">
        <w:t>n’ava</w:t>
      </w:r>
      <w:r w:rsidR="00064B94">
        <w:t>it pas vocation à se pérenniser ;</w:t>
      </w:r>
    </w:p>
    <w:p w:rsidR="00064B94" w:rsidRDefault="002705A4" w:rsidP="00225177">
      <w:pPr>
        <w:pStyle w:val="Corpsdetexte"/>
      </w:pPr>
      <w:r>
        <w:t xml:space="preserve">Considérant </w:t>
      </w:r>
      <w:r w:rsidR="00064B94" w:rsidRPr="00225177">
        <w:t xml:space="preserve">que la relation contractuelle des </w:t>
      </w:r>
      <w:r w:rsidR="00C15DD9" w:rsidRPr="00225177">
        <w:t>agents</w:t>
      </w:r>
      <w:r w:rsidR="00064B94" w:rsidRPr="00225177">
        <w:t xml:space="preserve"> fonctionnaires</w:t>
      </w:r>
      <w:r w:rsidR="00C15DD9" w:rsidRPr="00225177">
        <w:t xml:space="preserve"> </w:t>
      </w:r>
      <w:r w:rsidR="00064B94" w:rsidRPr="00225177">
        <w:t xml:space="preserve">avec l’établissement </w:t>
      </w:r>
      <w:r w:rsidR="00C15DD9" w:rsidRPr="00225177">
        <w:t xml:space="preserve">n’écarte pas les exigences relatives au fondement </w:t>
      </w:r>
      <w:r w:rsidR="00064B94" w:rsidRPr="00225177">
        <w:t>législatif ou réglementaire des indemnités ;</w:t>
      </w:r>
    </w:p>
    <w:p w:rsidR="00225177" w:rsidRDefault="002705A4" w:rsidP="00225177">
      <w:pPr>
        <w:pStyle w:val="Corpsdetexte"/>
      </w:pPr>
      <w:r>
        <w:t xml:space="preserve">Considérant </w:t>
      </w:r>
      <w:r w:rsidR="00225177" w:rsidRPr="00B668E5">
        <w:t>que pour</w:t>
      </w:r>
      <w:r w:rsidR="0008229A">
        <w:t xml:space="preserve"> verser une telle indemnité à</w:t>
      </w:r>
      <w:r w:rsidR="00225177" w:rsidRPr="00B668E5">
        <w:t xml:space="preserve"> l’agent contractuel</w:t>
      </w:r>
      <w:r w:rsidR="0008229A">
        <w:t xml:space="preserve"> concerné</w:t>
      </w:r>
      <w:r w:rsidR="00B668E5" w:rsidRPr="00B668E5">
        <w:t xml:space="preserve">, </w:t>
      </w:r>
      <w:r w:rsidR="00AD130C" w:rsidRPr="00B668E5">
        <w:t>le comptable</w:t>
      </w:r>
      <w:r w:rsidR="00B668E5" w:rsidRPr="00B668E5">
        <w:t xml:space="preserve"> devait disposer d’une décision</w:t>
      </w:r>
      <w:r w:rsidR="00225177" w:rsidRPr="00B668E5">
        <w:t>,</w:t>
      </w:r>
      <w:r w:rsidR="00B668E5" w:rsidRPr="00B668E5">
        <w:t xml:space="preserve"> d’un accord contractuel ou </w:t>
      </w:r>
      <w:r w:rsidR="00225177" w:rsidRPr="00B668E5">
        <w:t xml:space="preserve">d’une délibération </w:t>
      </w:r>
      <w:r w:rsidR="00B668E5" w:rsidRPr="00B668E5">
        <w:t>du conseil d’administration sur les conditions générales d’emploi et de rémunération du personnel contractuel ;</w:t>
      </w:r>
    </w:p>
    <w:p w:rsidR="00E62C98" w:rsidRDefault="002705A4" w:rsidP="00E62C98">
      <w:pPr>
        <w:pStyle w:val="Corpsdetexte"/>
        <w:rPr>
          <w:szCs w:val="20"/>
        </w:rPr>
      </w:pPr>
      <w:r>
        <w:t xml:space="preserve">Considérant </w:t>
      </w:r>
      <w:r w:rsidR="00E62C98">
        <w:t xml:space="preserve">que </w:t>
      </w:r>
      <w:r w:rsidR="00E62C98" w:rsidRPr="00E62C98">
        <w:t xml:space="preserve">le comptable doit </w:t>
      </w:r>
      <w:r w:rsidR="00E62C98">
        <w:t xml:space="preserve">disposer des </w:t>
      </w:r>
      <w:r w:rsidR="00E62C98" w:rsidRPr="00E62C98">
        <w:t>pièces justificatives de nature à lui permettre d’exercer les contrôl</w:t>
      </w:r>
      <w:r w:rsidR="00E62C98">
        <w:t>es auxquels il est tenu</w:t>
      </w:r>
      <w:r w:rsidR="0008229A">
        <w:t xml:space="preserve"> en matière de dépenses</w:t>
      </w:r>
      <w:r w:rsidR="00E62C98">
        <w:t xml:space="preserve"> ; que faute de disposer d’une nomenclature spécifique à l’établissement il pouvait se référer à celle relative aux </w:t>
      </w:r>
      <w:r w:rsidR="003800A4" w:rsidRPr="003800A4">
        <w:rPr>
          <w:szCs w:val="20"/>
        </w:rPr>
        <w:t>pièces justificatives des dépenses de l'</w:t>
      </w:r>
      <w:r w:rsidR="00B668E5" w:rsidRPr="003800A4">
        <w:rPr>
          <w:szCs w:val="20"/>
        </w:rPr>
        <w:t>État</w:t>
      </w:r>
      <w:r w:rsidR="00E62C98">
        <w:rPr>
          <w:szCs w:val="20"/>
        </w:rPr>
        <w:t xml:space="preserve"> qui </w:t>
      </w:r>
      <w:r w:rsidR="003800A4" w:rsidRPr="003800A4">
        <w:rPr>
          <w:szCs w:val="20"/>
        </w:rPr>
        <w:t xml:space="preserve">prévoit, dans le cas général d’indemnités </w:t>
      </w:r>
      <w:r w:rsidR="00E62C98">
        <w:rPr>
          <w:szCs w:val="20"/>
        </w:rPr>
        <w:t xml:space="preserve">forfaitaires, </w:t>
      </w:r>
      <w:r w:rsidR="003800A4" w:rsidRPr="003800A4">
        <w:rPr>
          <w:szCs w:val="20"/>
        </w:rPr>
        <w:t xml:space="preserve">la production par l’ordonnateur, d’une part, d’une décision d’attribution et, d’autre part, d’un état liquidatif et nominatif faisant référence au texte </w:t>
      </w:r>
      <w:proofErr w:type="spellStart"/>
      <w:r w:rsidR="003800A4" w:rsidRPr="003800A4">
        <w:rPr>
          <w:szCs w:val="20"/>
        </w:rPr>
        <w:t>institutif</w:t>
      </w:r>
      <w:proofErr w:type="spellEnd"/>
      <w:r w:rsidR="003800A4" w:rsidRPr="003800A4">
        <w:rPr>
          <w:szCs w:val="20"/>
        </w:rPr>
        <w:t xml:space="preserve"> de l’indemnité</w:t>
      </w:r>
      <w:r w:rsidR="00E44901">
        <w:rPr>
          <w:szCs w:val="20"/>
        </w:rPr>
        <w:t> ;</w:t>
      </w:r>
    </w:p>
    <w:p w:rsidR="003800A4" w:rsidRDefault="002705A4" w:rsidP="00AD130C">
      <w:pPr>
        <w:pStyle w:val="Corpsdetexte"/>
      </w:pPr>
      <w:r>
        <w:rPr>
          <w:szCs w:val="20"/>
        </w:rPr>
        <w:t xml:space="preserve">Considérant </w:t>
      </w:r>
      <w:r w:rsidR="00E62C98">
        <w:rPr>
          <w:szCs w:val="20"/>
        </w:rPr>
        <w:t>que d</w:t>
      </w:r>
      <w:r w:rsidR="003800A4" w:rsidRPr="003800A4">
        <w:rPr>
          <w:szCs w:val="20"/>
        </w:rPr>
        <w:t>’une manière générale, la décision d’octroi d’une indemnité apparaît comme une pièce indispensable pour permettre au c</w:t>
      </w:r>
      <w:r w:rsidR="00E62C98">
        <w:rPr>
          <w:szCs w:val="20"/>
        </w:rPr>
        <w:t xml:space="preserve">omptable d’exercer son contrôle ; </w:t>
      </w:r>
      <w:r w:rsidR="003800A4">
        <w:t xml:space="preserve">qu’au moment de la mise en paiement, le comptable, ne disposant que des </w:t>
      </w:r>
      <w:r w:rsidR="003800A4" w:rsidRPr="003800A4">
        <w:t>bulletins de salaire</w:t>
      </w:r>
      <w:r w:rsidR="003800A4">
        <w:t xml:space="preserve">, </w:t>
      </w:r>
      <w:r w:rsidR="003800A4" w:rsidRPr="003800A4">
        <w:t xml:space="preserve">n’était pas en mesure de s’assurer de l’exactitude </w:t>
      </w:r>
      <w:proofErr w:type="gramStart"/>
      <w:r w:rsidR="003800A4" w:rsidRPr="003800A4">
        <w:t>des</w:t>
      </w:r>
      <w:proofErr w:type="gramEnd"/>
      <w:r w:rsidR="003800A4" w:rsidRPr="003800A4">
        <w:t xml:space="preserve"> calculs de liquidation au vu de</w:t>
      </w:r>
      <w:r w:rsidR="003800A4">
        <w:t xml:space="preserve"> ces</w:t>
      </w:r>
      <w:r w:rsidR="003800A4" w:rsidRPr="003800A4">
        <w:t xml:space="preserve"> seules pièces</w:t>
      </w:r>
      <w:r w:rsidR="003800A4">
        <w:t> ;</w:t>
      </w:r>
    </w:p>
    <w:p w:rsidR="00AD130C" w:rsidRPr="00AD130C" w:rsidRDefault="00AD130C" w:rsidP="00AD130C">
      <w:pPr>
        <w:pStyle w:val="Corpsdetexte"/>
      </w:pPr>
      <w:r w:rsidRPr="00AD130C">
        <w:t>Considérant qu’aux termes de l’article</w:t>
      </w:r>
      <w:r w:rsidR="00E44901">
        <w:t xml:space="preserve"> </w:t>
      </w:r>
      <w:r w:rsidRPr="00AD130C">
        <w:t>12</w:t>
      </w:r>
      <w:r w:rsidR="00E44901">
        <w:t xml:space="preserve"> </w:t>
      </w:r>
      <w:r w:rsidRPr="00AD130C">
        <w:t xml:space="preserve">B du </w:t>
      </w:r>
      <w:r>
        <w:t>décret n°62-1587 du 29</w:t>
      </w:r>
      <w:r w:rsidR="00E44901">
        <w:t xml:space="preserve"> </w:t>
      </w:r>
      <w:r w:rsidRPr="00AD130C">
        <w:t xml:space="preserve">décembre 1962 portant règlement général sur la comptabilité publique, les comptables sont tenus d’exercer </w:t>
      </w:r>
      <w:r w:rsidRPr="00E44901">
        <w:t>« </w:t>
      </w:r>
      <w:r w:rsidRPr="00AD130C">
        <w:rPr>
          <w:i/>
        </w:rPr>
        <w:t xml:space="preserve">en matière de dépenses, le contrôle […] de la validité de la </w:t>
      </w:r>
      <w:r w:rsidRPr="00AD130C">
        <w:rPr>
          <w:i/>
        </w:rPr>
        <w:lastRenderedPageBreak/>
        <w:t>créance dans les conditions prévues à l’article 13 […]</w:t>
      </w:r>
      <w:r w:rsidRPr="00E44901">
        <w:t> »</w:t>
      </w:r>
      <w:r w:rsidRPr="00AD130C">
        <w:rPr>
          <w:i/>
        </w:rPr>
        <w:t xml:space="preserve"> ; </w:t>
      </w:r>
      <w:r w:rsidRPr="005521BA">
        <w:t xml:space="preserve">qu’aux termes de l’article 13, </w:t>
      </w:r>
      <w:r w:rsidRPr="00E44901">
        <w:t>« </w:t>
      </w:r>
      <w:r w:rsidRPr="00AD130C">
        <w:rPr>
          <w:i/>
        </w:rPr>
        <w:t>en ce qui concerne la validité de la créance, le contrôle porte sur […] la production des justifications</w:t>
      </w:r>
      <w:r w:rsidRPr="00E44901">
        <w:t> »</w:t>
      </w:r>
      <w:r w:rsidRPr="00AD130C">
        <w:t> ;</w:t>
      </w:r>
    </w:p>
    <w:p w:rsidR="00AD130C" w:rsidRPr="00AD130C" w:rsidRDefault="00AD130C" w:rsidP="00AD130C">
      <w:pPr>
        <w:pStyle w:val="Corpsdetexte"/>
      </w:pPr>
      <w:r w:rsidRPr="00AD130C">
        <w:t>Considérant qu’aux termes de l’article</w:t>
      </w:r>
      <w:r w:rsidR="00E44901">
        <w:t xml:space="preserve"> </w:t>
      </w:r>
      <w:r w:rsidRPr="00AD130C">
        <w:t xml:space="preserve">12 du décret n° 2006-1543 du 7 décembre 2006 relatif au statut de l’établissement public du campus de Jussieu, </w:t>
      </w:r>
      <w:r w:rsidRPr="00E44901">
        <w:t>«</w:t>
      </w:r>
      <w:r w:rsidRPr="00AD130C">
        <w:rPr>
          <w:i/>
        </w:rPr>
        <w:t xml:space="preserve"> le conseil d’administration délibère sur </w:t>
      </w:r>
      <w:r w:rsidRPr="00AD130C">
        <w:t>[…]</w:t>
      </w:r>
      <w:r w:rsidRPr="00AD130C">
        <w:rPr>
          <w:i/>
        </w:rPr>
        <w:t xml:space="preserve"> 4° les conditions générales d’emploi et de rémunération du personnel </w:t>
      </w:r>
      <w:r w:rsidRPr="00E44901">
        <w:t>» </w:t>
      </w:r>
      <w:r w:rsidRPr="00AD130C">
        <w:t>;</w:t>
      </w:r>
    </w:p>
    <w:p w:rsidR="00AD130C" w:rsidRPr="00B333F1" w:rsidRDefault="00AD130C" w:rsidP="00AD130C">
      <w:pPr>
        <w:pStyle w:val="Corpsdetexte"/>
      </w:pPr>
      <w:r w:rsidRPr="00B333F1">
        <w:t>Considérant qu’aux termes de l’article</w:t>
      </w:r>
      <w:r w:rsidR="00E44901">
        <w:t xml:space="preserve"> </w:t>
      </w:r>
      <w:r w:rsidRPr="00B333F1">
        <w:t>60</w:t>
      </w:r>
      <w:r>
        <w:t>-I</w:t>
      </w:r>
      <w:r w:rsidRPr="00B333F1">
        <w:t xml:space="preserve"> de la loi du 23</w:t>
      </w:r>
      <w:r w:rsidR="00E44901">
        <w:t xml:space="preserve"> </w:t>
      </w:r>
      <w:r w:rsidRPr="00B333F1">
        <w:t>février 1963, « </w:t>
      </w:r>
      <w:r w:rsidRPr="00B333F1">
        <w:rPr>
          <w:i/>
        </w:rPr>
        <w:t>les comptables publics sont personnellement et pécuniairement responsables […] du paiement des dépenses […]. [Leur] responsabilité personnelle et pécuniaire […] se trouve engagée dès lors […] qu’une dépense a été irrégulièrement payée</w:t>
      </w:r>
      <w:r w:rsidRPr="00B333F1">
        <w:t> » ;</w:t>
      </w:r>
    </w:p>
    <w:p w:rsidR="002372F2" w:rsidRDefault="002372F2" w:rsidP="002372F2">
      <w:pPr>
        <w:pStyle w:val="Corpsdetexte"/>
      </w:pPr>
      <w:r>
        <w:t>Par ces motifs,</w:t>
      </w:r>
    </w:p>
    <w:p w:rsidR="00CE1C38" w:rsidRDefault="006A52C9" w:rsidP="00302F7A">
      <w:pPr>
        <w:pStyle w:val="Corpsdetexte"/>
      </w:pPr>
      <w:r>
        <w:t>- M. </w:t>
      </w:r>
      <w:r w:rsidR="000E749C">
        <w:t>Y</w:t>
      </w:r>
      <w:r>
        <w:t xml:space="preserve">, </w:t>
      </w:r>
      <w:r w:rsidRPr="006A52C9">
        <w:t>agent comptable</w:t>
      </w:r>
      <w:r>
        <w:t xml:space="preserve">, </w:t>
      </w:r>
      <w:r w:rsidR="00CE1C38" w:rsidRPr="00302F7A">
        <w:t>est constitué débiteur envers l’établissement public du campus de Jussieu (EPCJ), devenu l’établissement public d’aménagement universitaire de la région Ile</w:t>
      </w:r>
      <w:r w:rsidR="00E44901">
        <w:t>-</w:t>
      </w:r>
      <w:r w:rsidR="00CE1C38" w:rsidRPr="00302F7A">
        <w:t>de</w:t>
      </w:r>
      <w:r w:rsidR="00E44901">
        <w:t>-</w:t>
      </w:r>
      <w:r w:rsidR="00CE1C38" w:rsidRPr="00302F7A">
        <w:t xml:space="preserve">France (EPAURIF), au titre de l’année 2008, de la somme de </w:t>
      </w:r>
      <w:r w:rsidR="00BD5D9D">
        <w:t>quinze mille euros (</w:t>
      </w:r>
      <w:r w:rsidR="00CE1C38" w:rsidRPr="00302F7A">
        <w:t>15 000 €</w:t>
      </w:r>
      <w:r w:rsidR="00BD5D9D">
        <w:t>)</w:t>
      </w:r>
      <w:r w:rsidR="00CE1C38" w:rsidRPr="00302F7A">
        <w:t xml:space="preserve"> augmentée des intérêts de droit à compter </w:t>
      </w:r>
      <w:r w:rsidR="00CE1C38" w:rsidRPr="00A24F3F">
        <w:t xml:space="preserve">du </w:t>
      </w:r>
      <w:r w:rsidR="00302F7A" w:rsidRPr="00A24F3F">
        <w:t>21 juillet 2011</w:t>
      </w:r>
      <w:r w:rsidR="00CE1C38" w:rsidRPr="00302F7A">
        <w:t>, date de la réception par le comptable du réquisitoire</w:t>
      </w:r>
      <w:r w:rsidR="002705A4">
        <w:t xml:space="preserve"> susvisé</w:t>
      </w:r>
      <w:r w:rsidR="00CE1C38" w:rsidRPr="00302F7A">
        <w:t> ;</w:t>
      </w:r>
    </w:p>
    <w:p w:rsidR="00983EFA" w:rsidRDefault="00983EFA" w:rsidP="00983EFA">
      <w:pPr>
        <w:spacing w:after="120"/>
        <w:ind w:firstLine="0"/>
        <w:jc w:val="center"/>
        <w:rPr>
          <w:b/>
        </w:rPr>
      </w:pPr>
      <w:r w:rsidRPr="00983EFA">
        <w:rPr>
          <w:b/>
        </w:rPr>
        <w:t>----------</w:t>
      </w:r>
    </w:p>
    <w:p w:rsidR="00743A56" w:rsidRPr="00743A56" w:rsidRDefault="00743A56" w:rsidP="00743A56">
      <w:pPr>
        <w:pStyle w:val="Corpsdetexte"/>
      </w:pPr>
    </w:p>
    <w:p w:rsidR="00983EFA" w:rsidRPr="00743A56" w:rsidRDefault="00983EFA" w:rsidP="00B668E5">
      <w:pPr>
        <w:keepNext/>
        <w:spacing w:after="120"/>
        <w:rPr>
          <w:i/>
          <w:u w:val="single"/>
        </w:rPr>
      </w:pPr>
      <w:r w:rsidRPr="00743A56">
        <w:rPr>
          <w:i/>
          <w:u w:val="single"/>
        </w:rPr>
        <w:t>Décharge</w:t>
      </w:r>
    </w:p>
    <w:p w:rsidR="00983EFA" w:rsidRPr="00983EFA" w:rsidRDefault="002705A4" w:rsidP="00B668E5">
      <w:pPr>
        <w:keepNext/>
        <w:spacing w:after="120"/>
      </w:pPr>
      <w:r>
        <w:t xml:space="preserve">Considérant </w:t>
      </w:r>
      <w:r w:rsidR="00983EFA" w:rsidRPr="00983EFA">
        <w:t xml:space="preserve">qu’il n’a pas été constaté de charge sur la gestion </w:t>
      </w:r>
      <w:r w:rsidR="0042795F">
        <w:t xml:space="preserve">2006 </w:t>
      </w:r>
      <w:r w:rsidR="00983EFA" w:rsidRPr="00983EFA">
        <w:t>de M. </w:t>
      </w:r>
      <w:r w:rsidR="000E749C">
        <w:t>Y</w:t>
      </w:r>
      <w:r w:rsidR="0042795F">
        <w:t xml:space="preserve">; </w:t>
      </w:r>
      <w:r w:rsidR="00983EFA" w:rsidRPr="00983EFA">
        <w:t xml:space="preserve">qu’il y a ainsi lieu de </w:t>
      </w:r>
      <w:r>
        <w:t xml:space="preserve">prononcer la décharge de </w:t>
      </w:r>
      <w:r w:rsidR="006049C2">
        <w:t xml:space="preserve">sa gestion </w:t>
      </w:r>
      <w:r w:rsidR="00983EFA" w:rsidRPr="00983EFA">
        <w:t>pour cette période ;</w:t>
      </w:r>
    </w:p>
    <w:p w:rsidR="00983EFA" w:rsidRPr="00983EFA" w:rsidRDefault="00983EFA" w:rsidP="00983EFA">
      <w:pPr>
        <w:spacing w:after="120"/>
      </w:pPr>
      <w:r w:rsidRPr="00983EFA">
        <w:t>Par ces motifs,</w:t>
      </w:r>
    </w:p>
    <w:p w:rsidR="00983EFA" w:rsidRPr="00983EFA" w:rsidRDefault="00983EFA" w:rsidP="00983EFA">
      <w:pPr>
        <w:spacing w:after="120"/>
        <w:ind w:left="992" w:firstLine="709"/>
      </w:pPr>
      <w:r w:rsidRPr="00983EFA">
        <w:t>- M.</w:t>
      </w:r>
      <w:r w:rsidR="0042795F">
        <w:t> </w:t>
      </w:r>
      <w:r w:rsidR="000E749C">
        <w:t>Y</w:t>
      </w:r>
      <w:r w:rsidRPr="00983EFA">
        <w:t xml:space="preserve"> est déchargé de sa gestion pour l’exercice 200</w:t>
      </w:r>
      <w:r w:rsidR="0042795F">
        <w:t>6</w:t>
      </w:r>
      <w:r w:rsidRPr="00983EFA">
        <w:t> ;</w:t>
      </w:r>
    </w:p>
    <w:p w:rsidR="00983EFA" w:rsidRPr="00983EFA" w:rsidRDefault="00983EFA" w:rsidP="00983EFA">
      <w:pPr>
        <w:spacing w:after="120"/>
        <w:ind w:firstLine="0"/>
        <w:jc w:val="center"/>
        <w:rPr>
          <w:b/>
        </w:rPr>
      </w:pPr>
      <w:r w:rsidRPr="00983EFA">
        <w:rPr>
          <w:b/>
        </w:rPr>
        <w:t>----------</w:t>
      </w:r>
    </w:p>
    <w:p w:rsidR="00E354DC" w:rsidRDefault="00E354DC" w:rsidP="00E354DC">
      <w:pPr>
        <w:pStyle w:val="Corpsdetexte"/>
      </w:pPr>
      <w:r>
        <w:t>Fait et jugé en la Cour des comptes, troisième chambre, qu</w:t>
      </w:r>
      <w:r w:rsidR="00BB1A42">
        <w:t>a</w:t>
      </w:r>
      <w:r>
        <w:t xml:space="preserve">trième section, le </w:t>
      </w:r>
      <w:r w:rsidR="007F661D" w:rsidRPr="007F661D">
        <w:t xml:space="preserve">vingt-neuf novembre deux mil treize, </w:t>
      </w:r>
      <w:r>
        <w:t>présents</w:t>
      </w:r>
      <w:r w:rsidR="006C105E">
        <w:t> </w:t>
      </w:r>
      <w:bookmarkStart w:id="0" w:name="_GoBack"/>
      <w:bookmarkEnd w:id="0"/>
      <w:r>
        <w:t xml:space="preserve">: </w:t>
      </w:r>
      <w:r w:rsidR="00E44901" w:rsidRPr="00934033">
        <w:t>M</w:t>
      </w:r>
      <w:r w:rsidR="00E44901" w:rsidRPr="00934033">
        <w:rPr>
          <w:vertAlign w:val="superscript"/>
        </w:rPr>
        <w:t>me</w:t>
      </w:r>
      <w:r w:rsidR="00E44901">
        <w:t xml:space="preserve"> </w:t>
      </w:r>
      <w:proofErr w:type="spellStart"/>
      <w:r w:rsidR="009E5CC8">
        <w:t>Moati</w:t>
      </w:r>
      <w:proofErr w:type="spellEnd"/>
      <w:r w:rsidR="009E5CC8">
        <w:t>, président</w:t>
      </w:r>
      <w:r w:rsidR="00AD0FDD">
        <w:t>e</w:t>
      </w:r>
      <w:r w:rsidR="009E5CC8">
        <w:t xml:space="preserve"> de section,</w:t>
      </w:r>
      <w:r w:rsidR="006C1122">
        <w:t xml:space="preserve"> </w:t>
      </w:r>
      <w:r w:rsidR="00D96204">
        <w:t>MM. </w:t>
      </w:r>
      <w:proofErr w:type="spellStart"/>
      <w:r w:rsidR="00966745">
        <w:t>Sabbe</w:t>
      </w:r>
      <w:proofErr w:type="spellEnd"/>
      <w:r w:rsidR="00966745">
        <w:t xml:space="preserve">, </w:t>
      </w:r>
      <w:proofErr w:type="spellStart"/>
      <w:r w:rsidR="00966745">
        <w:t>Senhaji</w:t>
      </w:r>
      <w:proofErr w:type="spellEnd"/>
      <w:r w:rsidR="00966745">
        <w:t xml:space="preserve">, </w:t>
      </w:r>
      <w:r>
        <w:t>conseillers maîtres.</w:t>
      </w:r>
    </w:p>
    <w:tbl>
      <w:tblPr>
        <w:tblW w:w="0" w:type="auto"/>
        <w:tblInd w:w="567" w:type="dxa"/>
        <w:tblLook w:val="04A0" w:firstRow="1" w:lastRow="0" w:firstColumn="1" w:lastColumn="0" w:noHBand="0" w:noVBand="1"/>
      </w:tblPr>
      <w:tblGrid>
        <w:gridCol w:w="4360"/>
        <w:gridCol w:w="4359"/>
      </w:tblGrid>
      <w:tr w:rsidR="003A4CE6" w:rsidTr="00BB152B">
        <w:tc>
          <w:tcPr>
            <w:tcW w:w="4605" w:type="dxa"/>
            <w:shd w:val="clear" w:color="auto" w:fill="auto"/>
          </w:tcPr>
          <w:p w:rsidR="003A4CE6" w:rsidRDefault="003A4CE6" w:rsidP="00BB152B">
            <w:pPr>
              <w:pStyle w:val="Corpsdetexte"/>
              <w:ind w:left="0" w:firstLine="0"/>
              <w:jc w:val="center"/>
            </w:pPr>
          </w:p>
        </w:tc>
        <w:tc>
          <w:tcPr>
            <w:tcW w:w="4605" w:type="dxa"/>
            <w:shd w:val="clear" w:color="auto" w:fill="auto"/>
          </w:tcPr>
          <w:p w:rsidR="003A4CE6" w:rsidRDefault="003A4CE6" w:rsidP="00BB152B">
            <w:pPr>
              <w:pStyle w:val="Corpsdetexte"/>
              <w:ind w:left="0" w:firstLine="0"/>
            </w:pPr>
          </w:p>
        </w:tc>
      </w:tr>
    </w:tbl>
    <w:p w:rsidR="00E354DC" w:rsidRDefault="00E354DC" w:rsidP="00E354DC">
      <w:pPr>
        <w:pStyle w:val="Corpsdetexte"/>
      </w:pPr>
      <w:r>
        <w:t xml:space="preserve">Signé : </w:t>
      </w:r>
      <w:r w:rsidR="00F63B29">
        <w:t xml:space="preserve">Mme </w:t>
      </w:r>
      <w:proofErr w:type="spellStart"/>
      <w:r w:rsidR="00F63B29">
        <w:t>Moati</w:t>
      </w:r>
      <w:proofErr w:type="spellEnd"/>
      <w:r>
        <w:t>, président</w:t>
      </w:r>
      <w:r w:rsidR="00F63B29">
        <w:t>e</w:t>
      </w:r>
      <w:r>
        <w:t xml:space="preserve">, et </w:t>
      </w:r>
      <w:r w:rsidR="00F63B29">
        <w:t>Le Baron</w:t>
      </w:r>
      <w:r>
        <w:t>, greffier.</w:t>
      </w:r>
    </w:p>
    <w:p w:rsidR="003967D1" w:rsidRDefault="003967D1" w:rsidP="00E354DC">
      <w:pPr>
        <w:pStyle w:val="Corpsdetexte"/>
      </w:pPr>
    </w:p>
    <w:p w:rsidR="00E354DC" w:rsidRDefault="00E354DC" w:rsidP="00E354DC">
      <w:pPr>
        <w:pStyle w:val="Corpsdetexte"/>
      </w:pPr>
      <w:r>
        <w:t>Collationné, certifié conforme à la minute étant au greffe de la Cour des comptes.</w:t>
      </w:r>
    </w:p>
    <w:p w:rsidR="00E354DC" w:rsidRDefault="00E354DC" w:rsidP="00E354DC">
      <w:pPr>
        <w:pStyle w:val="Corpsdetexte"/>
      </w:pPr>
      <w:r>
        <w:t xml:space="preserve">En conséquence, la République </w:t>
      </w:r>
      <w:r w:rsidR="00F63B29">
        <w:t xml:space="preserve">française </w:t>
      </w:r>
      <w:r>
        <w:t xml:space="preserve">mande et ordonne à tous les huissiers de justice, sur ce requis, de mettre ledit arrêt à exécution, aux procureurs généraux et aux procureurs de la République près des tribunaux de grande instance d’y </w:t>
      </w:r>
      <w:r>
        <w:lastRenderedPageBreak/>
        <w:t>tenir la main, à tous commandants et officiers de la force publique de prêter main-forte, lorsqu’ils en sont légalement requis.</w:t>
      </w:r>
    </w:p>
    <w:p w:rsidR="00E354DC" w:rsidRDefault="00E354DC" w:rsidP="00E354DC">
      <w:pPr>
        <w:pStyle w:val="Corpsdetexte"/>
      </w:pPr>
      <w:r>
        <w:t>Délivré par moi, secrétaire général.</w:t>
      </w:r>
    </w:p>
    <w:p w:rsidR="00C44420" w:rsidRDefault="00C44420" w:rsidP="00C44420">
      <w:pPr>
        <w:pStyle w:val="Retraitcorpsdetexte"/>
      </w:pPr>
    </w:p>
    <w:p w:rsidR="00C44420" w:rsidRDefault="00C44420" w:rsidP="00C44420">
      <w:pPr>
        <w:pStyle w:val="Retraitcorpsdetexte"/>
      </w:pPr>
    </w:p>
    <w:p w:rsidR="00C44420" w:rsidRDefault="00C44420" w:rsidP="00C44420">
      <w:pPr>
        <w:pStyle w:val="PS"/>
        <w:spacing w:after="0"/>
        <w:ind w:firstLine="3119"/>
        <w:jc w:val="center"/>
        <w:rPr>
          <w:b/>
          <w:bCs/>
        </w:rPr>
      </w:pPr>
      <w:r>
        <w:rPr>
          <w:b/>
          <w:bCs/>
        </w:rPr>
        <w:t>Pour le secrétaire général</w:t>
      </w:r>
    </w:p>
    <w:p w:rsidR="00C44420" w:rsidRDefault="00C44420" w:rsidP="00C44420">
      <w:pPr>
        <w:pStyle w:val="PS"/>
        <w:spacing w:after="0"/>
        <w:ind w:firstLine="3119"/>
        <w:jc w:val="center"/>
        <w:rPr>
          <w:b/>
          <w:bCs/>
        </w:rPr>
      </w:pPr>
      <w:proofErr w:type="gramStart"/>
      <w:r>
        <w:rPr>
          <w:b/>
          <w:bCs/>
        </w:rPr>
        <w:t>et</w:t>
      </w:r>
      <w:proofErr w:type="gramEnd"/>
      <w:r>
        <w:rPr>
          <w:b/>
          <w:bCs/>
        </w:rPr>
        <w:t xml:space="preserve"> par délégation, la greffière principale,</w:t>
      </w:r>
    </w:p>
    <w:p w:rsidR="00C44420" w:rsidRDefault="00C44420" w:rsidP="00C44420">
      <w:pPr>
        <w:pStyle w:val="PS"/>
        <w:spacing w:after="1320"/>
        <w:ind w:firstLine="3119"/>
        <w:jc w:val="center"/>
        <w:rPr>
          <w:b/>
          <w:bCs/>
        </w:rPr>
      </w:pPr>
      <w:r>
        <w:rPr>
          <w:b/>
          <w:bCs/>
        </w:rPr>
        <w:t>Chef du greffe de la Cour des comptes</w:t>
      </w:r>
    </w:p>
    <w:p w:rsidR="00C44420" w:rsidRDefault="00C44420" w:rsidP="00C44420">
      <w:pPr>
        <w:pStyle w:val="PS"/>
        <w:spacing w:after="600"/>
        <w:ind w:firstLine="3261"/>
        <w:jc w:val="center"/>
        <w:rPr>
          <w:b/>
          <w:bCs/>
        </w:rPr>
      </w:pPr>
      <w:r>
        <w:rPr>
          <w:b/>
          <w:bCs/>
        </w:rPr>
        <w:t>Florence BIOT</w:t>
      </w:r>
    </w:p>
    <w:p w:rsidR="00C44420" w:rsidRPr="00E354DC" w:rsidRDefault="00C44420" w:rsidP="00E354DC">
      <w:pPr>
        <w:pStyle w:val="Corpsdetexte"/>
      </w:pPr>
    </w:p>
    <w:sectPr w:rsidR="00C44420" w:rsidRPr="00E354DC" w:rsidSect="004E2EEC">
      <w:footerReference w:type="even" r:id="rId9"/>
      <w:footerReference w:type="default" r:id="rId10"/>
      <w:pgSz w:w="11906" w:h="16838" w:code="9"/>
      <w:pgMar w:top="1418" w:right="1418" w:bottom="1418"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D84" w:rsidRDefault="000B4D84">
      <w:pPr>
        <w:spacing w:before="0" w:after="0"/>
      </w:pPr>
      <w:r>
        <w:separator/>
      </w:r>
    </w:p>
  </w:endnote>
  <w:endnote w:type="continuationSeparator" w:id="0">
    <w:p w:rsidR="000B4D84" w:rsidRDefault="000B4D8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046" w:rsidRDefault="0083504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835046" w:rsidRDefault="00835046">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046" w:rsidRDefault="00835046" w:rsidP="00A22CC3">
    <w:pPr>
      <w:pStyle w:val="Pieddepage"/>
      <w:ind w:right="-2" w:firstLine="0"/>
    </w:pPr>
    <w:r>
      <w:rPr>
        <w:rStyle w:val="Numrodepage"/>
      </w:rPr>
      <w:fldChar w:fldCharType="begin"/>
    </w:r>
    <w:r>
      <w:rPr>
        <w:rStyle w:val="Numrodepage"/>
      </w:rPr>
      <w:instrText xml:space="preserve"> PAGE </w:instrText>
    </w:r>
    <w:r>
      <w:rPr>
        <w:rStyle w:val="Numrodepage"/>
      </w:rPr>
      <w:fldChar w:fldCharType="separate"/>
    </w:r>
    <w:r w:rsidR="006C105E">
      <w:rPr>
        <w:rStyle w:val="Numrodepage"/>
        <w:noProof/>
      </w:rPr>
      <w:t>9</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D84" w:rsidRDefault="000B4D84">
      <w:pPr>
        <w:spacing w:before="0" w:after="0"/>
      </w:pPr>
      <w:r>
        <w:separator/>
      </w:r>
    </w:p>
  </w:footnote>
  <w:footnote w:type="continuationSeparator" w:id="0">
    <w:p w:rsidR="000B4D84" w:rsidRDefault="000B4D8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F22ED"/>
    <w:multiLevelType w:val="hybridMultilevel"/>
    <w:tmpl w:val="14C4EAAC"/>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1">
    <w:nsid w:val="12494042"/>
    <w:multiLevelType w:val="hybridMultilevel"/>
    <w:tmpl w:val="49CEE2DC"/>
    <w:lvl w:ilvl="0" w:tplc="848A27F4">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2">
    <w:nsid w:val="267939EC"/>
    <w:multiLevelType w:val="hybridMultilevel"/>
    <w:tmpl w:val="2494CAA4"/>
    <w:lvl w:ilvl="0" w:tplc="2EB2EDE6">
      <w:start w:val="13"/>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3">
    <w:nsid w:val="291416A6"/>
    <w:multiLevelType w:val="hybridMultilevel"/>
    <w:tmpl w:val="DA0447AA"/>
    <w:lvl w:ilvl="0" w:tplc="428C7632">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4">
    <w:nsid w:val="2AB5108D"/>
    <w:multiLevelType w:val="multilevel"/>
    <w:tmpl w:val="23FCECD8"/>
    <w:lvl w:ilvl="0">
      <w:start w:val="1"/>
      <w:numFmt w:val="upperRoman"/>
      <w:suff w:val="nothing"/>
      <w:lvlText w:val="PARTIE %1 : "/>
      <w:lvlJc w:val="left"/>
      <w:pPr>
        <w:ind w:left="1985" w:hanging="284"/>
      </w:pPr>
      <w:rPr>
        <w:rFonts w:ascii="Times New Roman" w:hAnsi="Times New Roman" w:hint="default"/>
        <w:b/>
        <w:i w:val="0"/>
        <w:sz w:val="28"/>
      </w:rPr>
    </w:lvl>
    <w:lvl w:ilvl="1">
      <w:start w:val="1"/>
      <w:numFmt w:val="upperRoman"/>
      <w:suff w:val="space"/>
      <w:lvlText w:val="%2."/>
      <w:lvlJc w:val="left"/>
      <w:pPr>
        <w:ind w:left="510" w:hanging="510"/>
      </w:pPr>
    </w:lvl>
    <w:lvl w:ilvl="2">
      <w:start w:val="1"/>
      <w:numFmt w:val="upperLetter"/>
      <w:suff w:val="space"/>
      <w:lvlText w:val="%3."/>
      <w:lvlJc w:val="left"/>
      <w:pPr>
        <w:ind w:left="851" w:hanging="851"/>
      </w:pPr>
    </w:lvl>
    <w:lvl w:ilvl="3">
      <w:start w:val="1"/>
      <w:numFmt w:val="decimal"/>
      <w:suff w:val="space"/>
      <w:lvlText w:val="%4."/>
      <w:lvlJc w:val="left"/>
      <w:pPr>
        <w:ind w:left="879" w:hanging="879"/>
      </w:pPr>
      <w:rPr>
        <w:u w:val="none"/>
      </w:rPr>
    </w:lvl>
    <w:lvl w:ilvl="4">
      <w:start w:val="1"/>
      <w:numFmt w:val="lowerLetter"/>
      <w:suff w:val="space"/>
      <w:lvlText w:val="%5."/>
      <w:lvlJc w:val="left"/>
      <w:pPr>
        <w:ind w:left="992" w:hanging="992"/>
      </w:pPr>
      <w:rPr>
        <w:u w:val="none"/>
      </w:rPr>
    </w:lvl>
    <w:lvl w:ilvl="5">
      <w:start w:val="1"/>
      <w:numFmt w:val="decimal"/>
      <w:suff w:val="space"/>
      <w:lvlText w:val="%6)."/>
      <w:lvlJc w:val="left"/>
      <w:pPr>
        <w:ind w:left="709" w:firstLine="0"/>
      </w:pPr>
    </w:lvl>
    <w:lvl w:ilvl="6">
      <w:start w:val="1"/>
      <w:numFmt w:val="lowerLetter"/>
      <w:pStyle w:val="Titre7"/>
      <w:suff w:val="space"/>
      <w:lvlText w:val="%7)."/>
      <w:lvlJc w:val="left"/>
      <w:pPr>
        <w:ind w:left="709" w:hanging="142"/>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0DD5033"/>
    <w:multiLevelType w:val="hybridMultilevel"/>
    <w:tmpl w:val="CCC8A84A"/>
    <w:lvl w:ilvl="0" w:tplc="79FAE834">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6">
    <w:nsid w:val="3B26513F"/>
    <w:multiLevelType w:val="multilevel"/>
    <w:tmpl w:val="60ECB5A8"/>
    <w:lvl w:ilvl="0">
      <w:start w:val="1"/>
      <w:numFmt w:val="upperRoman"/>
      <w:pStyle w:val="Titre1"/>
      <w:suff w:val="space"/>
      <w:lvlText w:val="PARTIE %1 : "/>
      <w:lvlJc w:val="center"/>
      <w:pPr>
        <w:ind w:left="851" w:firstLine="283"/>
      </w:pPr>
      <w:rPr>
        <w:rFonts w:ascii="Times New Roman" w:hAnsi="Times New Roman" w:hint="default"/>
        <w:b/>
        <w:i w:val="0"/>
        <w:sz w:val="28"/>
      </w:rPr>
    </w:lvl>
    <w:lvl w:ilvl="1">
      <w:start w:val="1"/>
      <w:numFmt w:val="upperRoman"/>
      <w:pStyle w:val="Titre2"/>
      <w:suff w:val="space"/>
      <w:lvlText w:val="%2."/>
      <w:lvlJc w:val="left"/>
      <w:pPr>
        <w:ind w:left="510" w:hanging="510"/>
      </w:pPr>
    </w:lvl>
    <w:lvl w:ilvl="2">
      <w:start w:val="1"/>
      <w:numFmt w:val="upperLetter"/>
      <w:pStyle w:val="Titre3"/>
      <w:suff w:val="space"/>
      <w:lvlText w:val="%3."/>
      <w:lvlJc w:val="left"/>
      <w:pPr>
        <w:ind w:left="851" w:hanging="851"/>
      </w:pPr>
    </w:lvl>
    <w:lvl w:ilvl="3">
      <w:start w:val="1"/>
      <w:numFmt w:val="decimal"/>
      <w:pStyle w:val="Titre4"/>
      <w:suff w:val="space"/>
      <w:lvlText w:val="%4."/>
      <w:lvlJc w:val="left"/>
      <w:pPr>
        <w:ind w:left="879" w:hanging="879"/>
      </w:pPr>
      <w:rPr>
        <w:u w:val="none"/>
      </w:rPr>
    </w:lvl>
    <w:lvl w:ilvl="4">
      <w:start w:val="1"/>
      <w:numFmt w:val="lowerLetter"/>
      <w:pStyle w:val="Titre5"/>
      <w:suff w:val="space"/>
      <w:lvlText w:val="%5."/>
      <w:lvlJc w:val="left"/>
      <w:pPr>
        <w:ind w:left="992" w:hanging="992"/>
      </w:pPr>
      <w:rPr>
        <w:u w:val="none"/>
      </w:rPr>
    </w:lvl>
    <w:lvl w:ilvl="5">
      <w:start w:val="1"/>
      <w:numFmt w:val="decimal"/>
      <w:pStyle w:val="Titre6"/>
      <w:suff w:val="space"/>
      <w:lvlText w:val="%6)."/>
      <w:lvlJc w:val="left"/>
      <w:pPr>
        <w:ind w:left="709" w:hanging="142"/>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4A427C58"/>
    <w:multiLevelType w:val="hybridMultilevel"/>
    <w:tmpl w:val="DC369558"/>
    <w:lvl w:ilvl="0" w:tplc="0DC20A98">
      <w:numFmt w:val="bullet"/>
      <w:lvlText w:val="−"/>
      <w:lvlJc w:val="left"/>
      <w:pPr>
        <w:ind w:left="3261" w:hanging="15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8">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52B9448C"/>
    <w:multiLevelType w:val="singleLevel"/>
    <w:tmpl w:val="5FDE4ADE"/>
    <w:lvl w:ilvl="0">
      <w:start w:val="1"/>
      <w:numFmt w:val="decimal"/>
      <w:pStyle w:val="Titreobservations"/>
      <w:lvlText w:val="Obs n°%1."/>
      <w:lvlJc w:val="left"/>
      <w:pPr>
        <w:tabs>
          <w:tab w:val="num" w:pos="0"/>
        </w:tabs>
        <w:ind w:left="1021" w:hanging="1361"/>
      </w:pPr>
      <w:rPr>
        <w:rFonts w:hint="default"/>
      </w:rPr>
    </w:lvl>
  </w:abstractNum>
  <w:abstractNum w:abstractNumId="10">
    <w:nsid w:val="66B166A2"/>
    <w:multiLevelType w:val="singleLevel"/>
    <w:tmpl w:val="5DBA24BA"/>
    <w:lvl w:ilvl="0">
      <w:start w:val="1"/>
      <w:numFmt w:val="decimal"/>
      <w:pStyle w:val="Tableautitrecolonnes"/>
      <w:lvlText w:val="%1."/>
      <w:lvlJc w:val="left"/>
      <w:pPr>
        <w:tabs>
          <w:tab w:val="num" w:pos="927"/>
        </w:tabs>
        <w:ind w:left="907" w:hanging="340"/>
      </w:pPr>
    </w:lvl>
  </w:abstractNum>
  <w:num w:numId="1">
    <w:abstractNumId w:val="8"/>
  </w:num>
  <w:num w:numId="2">
    <w:abstractNumId w:val="6"/>
  </w:num>
  <w:num w:numId="3">
    <w:abstractNumId w:val="4"/>
  </w:num>
  <w:num w:numId="4">
    <w:abstractNumId w:val="9"/>
  </w:num>
  <w:num w:numId="5">
    <w:abstractNumId w:val="2"/>
  </w:num>
  <w:num w:numId="6">
    <w:abstractNumId w:val="0"/>
  </w:num>
  <w:num w:numId="7">
    <w:abstractNumId w:val="7"/>
  </w:num>
  <w:num w:numId="8">
    <w:abstractNumId w:val="3"/>
  </w:num>
  <w:num w:numId="9">
    <w:abstractNumId w:val="1"/>
  </w:num>
  <w:num w:numId="10">
    <w:abstractNumId w:val="5"/>
  </w:num>
  <w:num w:numId="1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activeWritingStyle w:appName="MSWord" w:lang="fr-FR" w:vendorID="9" w:dllVersion="512" w:checkStyle="1"/>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revisionView w:inkAnnotation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5992"/>
    <w:rsid w:val="00000B86"/>
    <w:rsid w:val="000014D9"/>
    <w:rsid w:val="00003195"/>
    <w:rsid w:val="00006A4C"/>
    <w:rsid w:val="00041EDB"/>
    <w:rsid w:val="00042BAF"/>
    <w:rsid w:val="00043E0F"/>
    <w:rsid w:val="000533C7"/>
    <w:rsid w:val="00064B94"/>
    <w:rsid w:val="00066244"/>
    <w:rsid w:val="00067F87"/>
    <w:rsid w:val="0008229A"/>
    <w:rsid w:val="00085149"/>
    <w:rsid w:val="00085992"/>
    <w:rsid w:val="00087E49"/>
    <w:rsid w:val="0009090C"/>
    <w:rsid w:val="00092B96"/>
    <w:rsid w:val="000933AC"/>
    <w:rsid w:val="000939C1"/>
    <w:rsid w:val="00096E68"/>
    <w:rsid w:val="00097100"/>
    <w:rsid w:val="00097D11"/>
    <w:rsid w:val="000A2D3D"/>
    <w:rsid w:val="000A37A5"/>
    <w:rsid w:val="000A53B5"/>
    <w:rsid w:val="000A760C"/>
    <w:rsid w:val="000B022A"/>
    <w:rsid w:val="000B4D84"/>
    <w:rsid w:val="000B7931"/>
    <w:rsid w:val="000C31C2"/>
    <w:rsid w:val="000D2E32"/>
    <w:rsid w:val="000D3183"/>
    <w:rsid w:val="000D4AC6"/>
    <w:rsid w:val="000E2FFC"/>
    <w:rsid w:val="000E749C"/>
    <w:rsid w:val="000F4A42"/>
    <w:rsid w:val="000F5B2C"/>
    <w:rsid w:val="00101DB5"/>
    <w:rsid w:val="001210F2"/>
    <w:rsid w:val="00122929"/>
    <w:rsid w:val="00130CB5"/>
    <w:rsid w:val="001549E6"/>
    <w:rsid w:val="0016102A"/>
    <w:rsid w:val="00167F20"/>
    <w:rsid w:val="001732E8"/>
    <w:rsid w:val="00180307"/>
    <w:rsid w:val="001808E2"/>
    <w:rsid w:val="001867C1"/>
    <w:rsid w:val="00193D18"/>
    <w:rsid w:val="00195205"/>
    <w:rsid w:val="001975AA"/>
    <w:rsid w:val="001A5894"/>
    <w:rsid w:val="001B45F5"/>
    <w:rsid w:val="001D185F"/>
    <w:rsid w:val="001D48D4"/>
    <w:rsid w:val="001D685B"/>
    <w:rsid w:val="001E7BDA"/>
    <w:rsid w:val="001F2D4A"/>
    <w:rsid w:val="001F4841"/>
    <w:rsid w:val="001F5238"/>
    <w:rsid w:val="0021160E"/>
    <w:rsid w:val="0021488B"/>
    <w:rsid w:val="00216481"/>
    <w:rsid w:val="00217DB3"/>
    <w:rsid w:val="002203E2"/>
    <w:rsid w:val="0022234F"/>
    <w:rsid w:val="00224D0F"/>
    <w:rsid w:val="00225177"/>
    <w:rsid w:val="00230538"/>
    <w:rsid w:val="002372F2"/>
    <w:rsid w:val="0024422B"/>
    <w:rsid w:val="002523FC"/>
    <w:rsid w:val="00266440"/>
    <w:rsid w:val="002705A4"/>
    <w:rsid w:val="00275C12"/>
    <w:rsid w:val="00276598"/>
    <w:rsid w:val="002767F7"/>
    <w:rsid w:val="002768F1"/>
    <w:rsid w:val="002846CD"/>
    <w:rsid w:val="00285C10"/>
    <w:rsid w:val="002920A1"/>
    <w:rsid w:val="002952FD"/>
    <w:rsid w:val="00296DAD"/>
    <w:rsid w:val="002A19CD"/>
    <w:rsid w:val="002A1F36"/>
    <w:rsid w:val="002A3835"/>
    <w:rsid w:val="002B01CF"/>
    <w:rsid w:val="002B4EB0"/>
    <w:rsid w:val="002B756D"/>
    <w:rsid w:val="002B79AA"/>
    <w:rsid w:val="002C3915"/>
    <w:rsid w:val="002D1F9A"/>
    <w:rsid w:val="002D54D5"/>
    <w:rsid w:val="002E0349"/>
    <w:rsid w:val="002E31A7"/>
    <w:rsid w:val="002E4705"/>
    <w:rsid w:val="002E5C5B"/>
    <w:rsid w:val="002F1F15"/>
    <w:rsid w:val="00302A1F"/>
    <w:rsid w:val="00302F7A"/>
    <w:rsid w:val="003057E5"/>
    <w:rsid w:val="00311F01"/>
    <w:rsid w:val="003176B4"/>
    <w:rsid w:val="00320787"/>
    <w:rsid w:val="00327FBA"/>
    <w:rsid w:val="00332511"/>
    <w:rsid w:val="0034389B"/>
    <w:rsid w:val="00351D53"/>
    <w:rsid w:val="003532A8"/>
    <w:rsid w:val="003546F3"/>
    <w:rsid w:val="003567EB"/>
    <w:rsid w:val="00376993"/>
    <w:rsid w:val="003800A4"/>
    <w:rsid w:val="003804A4"/>
    <w:rsid w:val="0039467C"/>
    <w:rsid w:val="003967D1"/>
    <w:rsid w:val="003969AE"/>
    <w:rsid w:val="003A19BD"/>
    <w:rsid w:val="003A4CE6"/>
    <w:rsid w:val="003B08CD"/>
    <w:rsid w:val="003B3BCE"/>
    <w:rsid w:val="003F1A9D"/>
    <w:rsid w:val="00407DDB"/>
    <w:rsid w:val="00411486"/>
    <w:rsid w:val="00424E35"/>
    <w:rsid w:val="0042795F"/>
    <w:rsid w:val="004319A8"/>
    <w:rsid w:val="00442740"/>
    <w:rsid w:val="00454260"/>
    <w:rsid w:val="00455CC1"/>
    <w:rsid w:val="00463F1A"/>
    <w:rsid w:val="00467F0E"/>
    <w:rsid w:val="00474833"/>
    <w:rsid w:val="0047598D"/>
    <w:rsid w:val="00480568"/>
    <w:rsid w:val="00484FB9"/>
    <w:rsid w:val="00485FDC"/>
    <w:rsid w:val="0048642E"/>
    <w:rsid w:val="004879D3"/>
    <w:rsid w:val="00496847"/>
    <w:rsid w:val="004A0899"/>
    <w:rsid w:val="004A292D"/>
    <w:rsid w:val="004A6549"/>
    <w:rsid w:val="004B7489"/>
    <w:rsid w:val="004C0300"/>
    <w:rsid w:val="004C2CD5"/>
    <w:rsid w:val="004C6274"/>
    <w:rsid w:val="004D2AD9"/>
    <w:rsid w:val="004D4A11"/>
    <w:rsid w:val="004D74D2"/>
    <w:rsid w:val="004E14E3"/>
    <w:rsid w:val="004E2EEC"/>
    <w:rsid w:val="004F2C98"/>
    <w:rsid w:val="004F376A"/>
    <w:rsid w:val="004F5207"/>
    <w:rsid w:val="00502FB9"/>
    <w:rsid w:val="00510DE4"/>
    <w:rsid w:val="00521FF6"/>
    <w:rsid w:val="00524274"/>
    <w:rsid w:val="00542817"/>
    <w:rsid w:val="00545A7A"/>
    <w:rsid w:val="005521BA"/>
    <w:rsid w:val="00552213"/>
    <w:rsid w:val="00555985"/>
    <w:rsid w:val="0056364B"/>
    <w:rsid w:val="005671F6"/>
    <w:rsid w:val="005730AE"/>
    <w:rsid w:val="00586AFD"/>
    <w:rsid w:val="00591A98"/>
    <w:rsid w:val="0059335A"/>
    <w:rsid w:val="005951ED"/>
    <w:rsid w:val="00596BE6"/>
    <w:rsid w:val="005A6483"/>
    <w:rsid w:val="005A7CA3"/>
    <w:rsid w:val="005B0345"/>
    <w:rsid w:val="005B11D6"/>
    <w:rsid w:val="005B2294"/>
    <w:rsid w:val="005B284A"/>
    <w:rsid w:val="005C123C"/>
    <w:rsid w:val="005D4176"/>
    <w:rsid w:val="005E1D54"/>
    <w:rsid w:val="005E5571"/>
    <w:rsid w:val="005E6FA5"/>
    <w:rsid w:val="005E7199"/>
    <w:rsid w:val="005F1151"/>
    <w:rsid w:val="005F74A9"/>
    <w:rsid w:val="00600939"/>
    <w:rsid w:val="00601755"/>
    <w:rsid w:val="00602011"/>
    <w:rsid w:val="006049C2"/>
    <w:rsid w:val="00605CDE"/>
    <w:rsid w:val="0060627C"/>
    <w:rsid w:val="0062561B"/>
    <w:rsid w:val="00631F61"/>
    <w:rsid w:val="006411AC"/>
    <w:rsid w:val="0064552C"/>
    <w:rsid w:val="00655051"/>
    <w:rsid w:val="00660CF2"/>
    <w:rsid w:val="006626E5"/>
    <w:rsid w:val="00663DF7"/>
    <w:rsid w:val="00673057"/>
    <w:rsid w:val="00680490"/>
    <w:rsid w:val="0068368C"/>
    <w:rsid w:val="00686F99"/>
    <w:rsid w:val="00687C09"/>
    <w:rsid w:val="00692455"/>
    <w:rsid w:val="00694B4B"/>
    <w:rsid w:val="00695EED"/>
    <w:rsid w:val="006A52C9"/>
    <w:rsid w:val="006B350D"/>
    <w:rsid w:val="006B4B77"/>
    <w:rsid w:val="006C105E"/>
    <w:rsid w:val="006C1122"/>
    <w:rsid w:val="006C2155"/>
    <w:rsid w:val="006D12BD"/>
    <w:rsid w:val="006D1F4B"/>
    <w:rsid w:val="006D6A5A"/>
    <w:rsid w:val="006D6C11"/>
    <w:rsid w:val="006F2195"/>
    <w:rsid w:val="006F336A"/>
    <w:rsid w:val="007129E5"/>
    <w:rsid w:val="0073145D"/>
    <w:rsid w:val="00733F35"/>
    <w:rsid w:val="0073738E"/>
    <w:rsid w:val="007407B4"/>
    <w:rsid w:val="00740B14"/>
    <w:rsid w:val="00740B64"/>
    <w:rsid w:val="0074254C"/>
    <w:rsid w:val="00743A56"/>
    <w:rsid w:val="00746B1B"/>
    <w:rsid w:val="007512F6"/>
    <w:rsid w:val="0075763A"/>
    <w:rsid w:val="0076453C"/>
    <w:rsid w:val="00767A7E"/>
    <w:rsid w:val="00777E66"/>
    <w:rsid w:val="0078290A"/>
    <w:rsid w:val="00791D85"/>
    <w:rsid w:val="00793B7E"/>
    <w:rsid w:val="00795768"/>
    <w:rsid w:val="007A1491"/>
    <w:rsid w:val="007A678F"/>
    <w:rsid w:val="007A6CA2"/>
    <w:rsid w:val="007C16BF"/>
    <w:rsid w:val="007C448C"/>
    <w:rsid w:val="007C4623"/>
    <w:rsid w:val="007C512F"/>
    <w:rsid w:val="007D1BCA"/>
    <w:rsid w:val="007D3C4A"/>
    <w:rsid w:val="007D662C"/>
    <w:rsid w:val="007D7E72"/>
    <w:rsid w:val="007E6CD3"/>
    <w:rsid w:val="007F661D"/>
    <w:rsid w:val="007F6A68"/>
    <w:rsid w:val="008051E1"/>
    <w:rsid w:val="00810823"/>
    <w:rsid w:val="00813CC9"/>
    <w:rsid w:val="008151AC"/>
    <w:rsid w:val="00816BA9"/>
    <w:rsid w:val="00835046"/>
    <w:rsid w:val="00836DAF"/>
    <w:rsid w:val="008512F6"/>
    <w:rsid w:val="0085209E"/>
    <w:rsid w:val="00864B97"/>
    <w:rsid w:val="00874928"/>
    <w:rsid w:val="00876831"/>
    <w:rsid w:val="0088193B"/>
    <w:rsid w:val="008819DA"/>
    <w:rsid w:val="00885684"/>
    <w:rsid w:val="008864F6"/>
    <w:rsid w:val="008934A8"/>
    <w:rsid w:val="008953CE"/>
    <w:rsid w:val="008B1693"/>
    <w:rsid w:val="008B588E"/>
    <w:rsid w:val="008F0084"/>
    <w:rsid w:val="008F236C"/>
    <w:rsid w:val="00915493"/>
    <w:rsid w:val="00930DD8"/>
    <w:rsid w:val="0093160E"/>
    <w:rsid w:val="00942C10"/>
    <w:rsid w:val="00943AF7"/>
    <w:rsid w:val="0094790E"/>
    <w:rsid w:val="0095211A"/>
    <w:rsid w:val="0096136B"/>
    <w:rsid w:val="00966745"/>
    <w:rsid w:val="00966D28"/>
    <w:rsid w:val="00970086"/>
    <w:rsid w:val="00971B92"/>
    <w:rsid w:val="009753B2"/>
    <w:rsid w:val="00983EFA"/>
    <w:rsid w:val="009850E5"/>
    <w:rsid w:val="009B0304"/>
    <w:rsid w:val="009B472F"/>
    <w:rsid w:val="009B5183"/>
    <w:rsid w:val="009B5533"/>
    <w:rsid w:val="009C1FAD"/>
    <w:rsid w:val="009C36CA"/>
    <w:rsid w:val="009C5235"/>
    <w:rsid w:val="009D0DE3"/>
    <w:rsid w:val="009E4A35"/>
    <w:rsid w:val="009E5CC8"/>
    <w:rsid w:val="009E607D"/>
    <w:rsid w:val="00A11F5F"/>
    <w:rsid w:val="00A20764"/>
    <w:rsid w:val="00A21C44"/>
    <w:rsid w:val="00A22CC3"/>
    <w:rsid w:val="00A24F3F"/>
    <w:rsid w:val="00A271E5"/>
    <w:rsid w:val="00A35D6D"/>
    <w:rsid w:val="00A61F30"/>
    <w:rsid w:val="00A6208F"/>
    <w:rsid w:val="00A7074C"/>
    <w:rsid w:val="00A71663"/>
    <w:rsid w:val="00A80B76"/>
    <w:rsid w:val="00A86C07"/>
    <w:rsid w:val="00AA40E3"/>
    <w:rsid w:val="00AB16AE"/>
    <w:rsid w:val="00AB488B"/>
    <w:rsid w:val="00AC028A"/>
    <w:rsid w:val="00AC3B2A"/>
    <w:rsid w:val="00AD0FDD"/>
    <w:rsid w:val="00AD130C"/>
    <w:rsid w:val="00AD7F66"/>
    <w:rsid w:val="00AE6022"/>
    <w:rsid w:val="00AF012D"/>
    <w:rsid w:val="00B050D6"/>
    <w:rsid w:val="00B051E6"/>
    <w:rsid w:val="00B055FA"/>
    <w:rsid w:val="00B07E4C"/>
    <w:rsid w:val="00B273B9"/>
    <w:rsid w:val="00B31423"/>
    <w:rsid w:val="00B321EE"/>
    <w:rsid w:val="00B333F1"/>
    <w:rsid w:val="00B4397C"/>
    <w:rsid w:val="00B472EF"/>
    <w:rsid w:val="00B50C23"/>
    <w:rsid w:val="00B55A11"/>
    <w:rsid w:val="00B561D3"/>
    <w:rsid w:val="00B625DD"/>
    <w:rsid w:val="00B6395B"/>
    <w:rsid w:val="00B668E5"/>
    <w:rsid w:val="00B70A3F"/>
    <w:rsid w:val="00B7437B"/>
    <w:rsid w:val="00B75748"/>
    <w:rsid w:val="00B76405"/>
    <w:rsid w:val="00B82868"/>
    <w:rsid w:val="00B87008"/>
    <w:rsid w:val="00BA1F34"/>
    <w:rsid w:val="00BA4F26"/>
    <w:rsid w:val="00BA544D"/>
    <w:rsid w:val="00BA7285"/>
    <w:rsid w:val="00BB152B"/>
    <w:rsid w:val="00BB1A42"/>
    <w:rsid w:val="00BB4633"/>
    <w:rsid w:val="00BB47CC"/>
    <w:rsid w:val="00BB55E5"/>
    <w:rsid w:val="00BB65C8"/>
    <w:rsid w:val="00BC0C06"/>
    <w:rsid w:val="00BC2078"/>
    <w:rsid w:val="00BC4A94"/>
    <w:rsid w:val="00BD4373"/>
    <w:rsid w:val="00BD5D9D"/>
    <w:rsid w:val="00BE51C1"/>
    <w:rsid w:val="00BE53B6"/>
    <w:rsid w:val="00BE5875"/>
    <w:rsid w:val="00BE663D"/>
    <w:rsid w:val="00BE69A2"/>
    <w:rsid w:val="00BF1B3B"/>
    <w:rsid w:val="00C02E1F"/>
    <w:rsid w:val="00C15DD9"/>
    <w:rsid w:val="00C176ED"/>
    <w:rsid w:val="00C42290"/>
    <w:rsid w:val="00C44420"/>
    <w:rsid w:val="00C47A9E"/>
    <w:rsid w:val="00C53ECC"/>
    <w:rsid w:val="00C5465D"/>
    <w:rsid w:val="00C620BF"/>
    <w:rsid w:val="00C70883"/>
    <w:rsid w:val="00C72F0D"/>
    <w:rsid w:val="00C73832"/>
    <w:rsid w:val="00C73F9F"/>
    <w:rsid w:val="00C76468"/>
    <w:rsid w:val="00C817EA"/>
    <w:rsid w:val="00C87F7B"/>
    <w:rsid w:val="00C930E0"/>
    <w:rsid w:val="00C93935"/>
    <w:rsid w:val="00C947E1"/>
    <w:rsid w:val="00C9716A"/>
    <w:rsid w:val="00CA740D"/>
    <w:rsid w:val="00CB6D63"/>
    <w:rsid w:val="00CC54B8"/>
    <w:rsid w:val="00CD0316"/>
    <w:rsid w:val="00CD6483"/>
    <w:rsid w:val="00CE05F8"/>
    <w:rsid w:val="00CE0652"/>
    <w:rsid w:val="00CE1C38"/>
    <w:rsid w:val="00D0518E"/>
    <w:rsid w:val="00D068F9"/>
    <w:rsid w:val="00D120A1"/>
    <w:rsid w:val="00D120C1"/>
    <w:rsid w:val="00D211BB"/>
    <w:rsid w:val="00D26EF9"/>
    <w:rsid w:val="00D30EFD"/>
    <w:rsid w:val="00D34E4A"/>
    <w:rsid w:val="00D35997"/>
    <w:rsid w:val="00D36F6F"/>
    <w:rsid w:val="00D4514C"/>
    <w:rsid w:val="00D51DCD"/>
    <w:rsid w:val="00D54B47"/>
    <w:rsid w:val="00D574A4"/>
    <w:rsid w:val="00D62BD3"/>
    <w:rsid w:val="00D64C6D"/>
    <w:rsid w:val="00D72A7F"/>
    <w:rsid w:val="00D72C47"/>
    <w:rsid w:val="00D731CB"/>
    <w:rsid w:val="00D74415"/>
    <w:rsid w:val="00D76465"/>
    <w:rsid w:val="00D80AC6"/>
    <w:rsid w:val="00D95A88"/>
    <w:rsid w:val="00D96204"/>
    <w:rsid w:val="00DA1EDF"/>
    <w:rsid w:val="00DA6E59"/>
    <w:rsid w:val="00DB1136"/>
    <w:rsid w:val="00DB2454"/>
    <w:rsid w:val="00DB41BA"/>
    <w:rsid w:val="00DB5243"/>
    <w:rsid w:val="00DB5627"/>
    <w:rsid w:val="00DC4AF1"/>
    <w:rsid w:val="00DC57B4"/>
    <w:rsid w:val="00DD3493"/>
    <w:rsid w:val="00DD7183"/>
    <w:rsid w:val="00DD73AC"/>
    <w:rsid w:val="00DE169F"/>
    <w:rsid w:val="00DE5549"/>
    <w:rsid w:val="00E01570"/>
    <w:rsid w:val="00E02B81"/>
    <w:rsid w:val="00E23CDD"/>
    <w:rsid w:val="00E348B8"/>
    <w:rsid w:val="00E354DC"/>
    <w:rsid w:val="00E40E76"/>
    <w:rsid w:val="00E42395"/>
    <w:rsid w:val="00E44901"/>
    <w:rsid w:val="00E62C98"/>
    <w:rsid w:val="00E62FD3"/>
    <w:rsid w:val="00E67EC6"/>
    <w:rsid w:val="00E7093D"/>
    <w:rsid w:val="00E71565"/>
    <w:rsid w:val="00E74A1C"/>
    <w:rsid w:val="00E7528E"/>
    <w:rsid w:val="00E75F0B"/>
    <w:rsid w:val="00E812F5"/>
    <w:rsid w:val="00E831AD"/>
    <w:rsid w:val="00E83EF7"/>
    <w:rsid w:val="00EA38F2"/>
    <w:rsid w:val="00EA6FC5"/>
    <w:rsid w:val="00EC0E3C"/>
    <w:rsid w:val="00EC4A61"/>
    <w:rsid w:val="00ED606F"/>
    <w:rsid w:val="00ED7E65"/>
    <w:rsid w:val="00ED7F65"/>
    <w:rsid w:val="00EE392A"/>
    <w:rsid w:val="00EE5270"/>
    <w:rsid w:val="00EF23B5"/>
    <w:rsid w:val="00EF44B7"/>
    <w:rsid w:val="00F00307"/>
    <w:rsid w:val="00F01726"/>
    <w:rsid w:val="00F02070"/>
    <w:rsid w:val="00F14021"/>
    <w:rsid w:val="00F142F7"/>
    <w:rsid w:val="00F17767"/>
    <w:rsid w:val="00F24B8E"/>
    <w:rsid w:val="00F30C3C"/>
    <w:rsid w:val="00F31567"/>
    <w:rsid w:val="00F620E5"/>
    <w:rsid w:val="00F63B29"/>
    <w:rsid w:val="00F665FF"/>
    <w:rsid w:val="00F671C8"/>
    <w:rsid w:val="00F714E4"/>
    <w:rsid w:val="00F72312"/>
    <w:rsid w:val="00F81F70"/>
    <w:rsid w:val="00F85005"/>
    <w:rsid w:val="00F91D2B"/>
    <w:rsid w:val="00FA2BFF"/>
    <w:rsid w:val="00FA66EB"/>
    <w:rsid w:val="00FC083B"/>
    <w:rsid w:val="00FC2E66"/>
    <w:rsid w:val="00FC60F9"/>
    <w:rsid w:val="00FD2E16"/>
    <w:rsid w:val="00FE02E5"/>
    <w:rsid w:val="00FE2074"/>
    <w:rsid w:val="00FF2954"/>
    <w:rsid w:val="00FF508B"/>
    <w:rsid w:val="00FF6C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C15DD9"/>
    <w:pPr>
      <w:spacing w:before="200" w:after="200"/>
      <w:ind w:left="567" w:firstLine="1134"/>
      <w:jc w:val="both"/>
    </w:pPr>
    <w:rPr>
      <w:sz w:val="24"/>
      <w:szCs w:val="24"/>
    </w:rPr>
  </w:style>
  <w:style w:type="paragraph" w:styleId="Titre1">
    <w:name w:val="heading 1"/>
    <w:basedOn w:val="Normal"/>
    <w:next w:val="Corpsdetexte"/>
    <w:qFormat/>
    <w:pPr>
      <w:keepNext/>
      <w:numPr>
        <w:numId w:val="2"/>
      </w:numPr>
      <w:spacing w:before="480" w:after="480"/>
      <w:jc w:val="left"/>
      <w:outlineLvl w:val="0"/>
    </w:pPr>
    <w:rPr>
      <w:b/>
      <w:bCs/>
      <w:caps/>
      <w:kern w:val="28"/>
    </w:rPr>
  </w:style>
  <w:style w:type="paragraph" w:styleId="Titre2">
    <w:name w:val="heading 2"/>
    <w:basedOn w:val="Normal"/>
    <w:next w:val="Corpsdetexte"/>
    <w:qFormat/>
    <w:pPr>
      <w:keepNext/>
      <w:keepLines/>
      <w:numPr>
        <w:ilvl w:val="1"/>
        <w:numId w:val="2"/>
      </w:numPr>
      <w:spacing w:before="480"/>
      <w:jc w:val="left"/>
      <w:outlineLvl w:val="1"/>
    </w:pPr>
    <w:rPr>
      <w:b/>
      <w:bCs/>
      <w:caps/>
    </w:rPr>
  </w:style>
  <w:style w:type="paragraph" w:styleId="Titre3">
    <w:name w:val="heading 3"/>
    <w:basedOn w:val="Normal"/>
    <w:next w:val="Corpsdetexte"/>
    <w:qFormat/>
    <w:pPr>
      <w:keepNext/>
      <w:keepLines/>
      <w:numPr>
        <w:ilvl w:val="2"/>
        <w:numId w:val="2"/>
      </w:numPr>
      <w:spacing w:before="600"/>
      <w:jc w:val="left"/>
      <w:outlineLvl w:val="2"/>
    </w:pPr>
    <w:rPr>
      <w:b/>
      <w:bCs/>
      <w:smallCaps/>
    </w:rPr>
  </w:style>
  <w:style w:type="paragraph" w:styleId="Titre4">
    <w:name w:val="heading 4"/>
    <w:basedOn w:val="Normal"/>
    <w:next w:val="Corpsdetexte"/>
    <w:qFormat/>
    <w:pPr>
      <w:keepNext/>
      <w:keepLines/>
      <w:numPr>
        <w:ilvl w:val="3"/>
        <w:numId w:val="2"/>
      </w:numPr>
      <w:spacing w:before="480"/>
      <w:jc w:val="left"/>
      <w:outlineLvl w:val="3"/>
    </w:pPr>
    <w:rPr>
      <w:b/>
      <w:bCs/>
    </w:rPr>
  </w:style>
  <w:style w:type="paragraph" w:styleId="Titre5">
    <w:name w:val="heading 5"/>
    <w:basedOn w:val="Normal"/>
    <w:next w:val="Corpsdetexte"/>
    <w:qFormat/>
    <w:pPr>
      <w:keepNext/>
      <w:keepLines/>
      <w:numPr>
        <w:ilvl w:val="4"/>
        <w:numId w:val="2"/>
      </w:numPr>
      <w:spacing w:before="240"/>
      <w:jc w:val="left"/>
      <w:outlineLvl w:val="4"/>
    </w:pPr>
    <w:rPr>
      <w:u w:val="single"/>
    </w:rPr>
  </w:style>
  <w:style w:type="paragraph" w:styleId="Titre6">
    <w:name w:val="heading 6"/>
    <w:basedOn w:val="Corpsdetexte"/>
    <w:next w:val="Corpsdetexte"/>
    <w:qFormat/>
    <w:pPr>
      <w:keepNext/>
      <w:numPr>
        <w:ilvl w:val="5"/>
        <w:numId w:val="2"/>
      </w:numPr>
      <w:spacing w:before="240" w:after="60"/>
      <w:outlineLvl w:val="5"/>
    </w:pPr>
  </w:style>
  <w:style w:type="paragraph" w:styleId="Titre7">
    <w:name w:val="heading 7"/>
    <w:basedOn w:val="Normal"/>
    <w:next w:val="Corpsdetexte"/>
    <w:qFormat/>
    <w:pPr>
      <w:keepNext/>
      <w:numPr>
        <w:ilvl w:val="6"/>
        <w:numId w:val="3"/>
      </w:numPr>
      <w:jc w:val="left"/>
      <w:outlineLvl w:val="6"/>
    </w:pPr>
  </w:style>
  <w:style w:type="paragraph" w:styleId="Titre8">
    <w:name w:val="heading 8"/>
    <w:basedOn w:val="Normal"/>
    <w:next w:val="Normal"/>
    <w:qFormat/>
    <w:pPr>
      <w:keepNext/>
      <w:spacing w:before="0" w:after="0" w:line="400" w:lineRule="exact"/>
      <w:ind w:firstLine="0"/>
      <w:outlineLvl w:val="7"/>
    </w:pPr>
  </w:style>
  <w:style w:type="paragraph" w:styleId="Titre9">
    <w:name w:val="heading 9"/>
    <w:basedOn w:val="Normal"/>
    <w:next w:val="Normal"/>
    <w:qFormat/>
    <w:pPr>
      <w:keepNext/>
      <w:spacing w:before="0" w:after="0" w:line="400" w:lineRule="exact"/>
      <w:ind w:left="57" w:firstLine="0"/>
      <w:jc w:val="center"/>
      <w:outlineLvl w:val="8"/>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tyle>
  <w:style w:type="paragraph" w:styleId="En-tte">
    <w:name w:val="header"/>
    <w:basedOn w:val="Normal"/>
    <w:semiHidden/>
    <w:pPr>
      <w:tabs>
        <w:tab w:val="center" w:pos="4536"/>
        <w:tab w:val="right" w:pos="9072"/>
      </w:tabs>
      <w:jc w:val="center"/>
    </w:pPr>
  </w:style>
  <w:style w:type="paragraph" w:styleId="Pieddepage">
    <w:name w:val="footer"/>
    <w:basedOn w:val="Normal"/>
    <w:semiHidden/>
    <w:pPr>
      <w:tabs>
        <w:tab w:val="center" w:pos="4536"/>
        <w:tab w:val="right" w:pos="9072"/>
      </w:tabs>
      <w:jc w:val="center"/>
    </w:pPr>
  </w:style>
  <w:style w:type="character" w:styleId="Numrodepage">
    <w:name w:val="page number"/>
    <w:basedOn w:val="Policepardfaut"/>
    <w:semiHidden/>
  </w:style>
  <w:style w:type="paragraph" w:styleId="TM1">
    <w:name w:val="toc 1"/>
    <w:basedOn w:val="Normal"/>
    <w:next w:val="Corpsdetexte"/>
    <w:semiHidden/>
    <w:pPr>
      <w:spacing w:before="360" w:after="0"/>
      <w:jc w:val="left"/>
    </w:pPr>
    <w:rPr>
      <w:rFonts w:ascii="Arial" w:hAnsi="Arial" w:cs="Arial"/>
      <w:b/>
      <w:bCs/>
      <w:caps/>
    </w:rPr>
  </w:style>
  <w:style w:type="paragraph" w:customStyle="1" w:styleId="Titretableau">
    <w:name w:val="Titre tableau"/>
    <w:basedOn w:val="Corpsdetexte"/>
    <w:next w:val="Corpsdetexte"/>
    <w:semiHidden/>
    <w:pPr>
      <w:numPr>
        <w:numId w:val="1"/>
      </w:numPr>
      <w:spacing w:before="480" w:after="240"/>
      <w:jc w:val="center"/>
    </w:pPr>
    <w:rPr>
      <w:b/>
      <w:bCs/>
    </w:rPr>
  </w:style>
  <w:style w:type="character" w:styleId="Appelnotedebasdep">
    <w:name w:val="footnote reference"/>
    <w:rPr>
      <w:sz w:val="20"/>
      <w:szCs w:val="20"/>
      <w:vertAlign w:val="superscript"/>
    </w:rPr>
  </w:style>
  <w:style w:type="paragraph" w:customStyle="1" w:styleId="Tableau">
    <w:name w:val="Tableau"/>
    <w:basedOn w:val="Normal"/>
    <w:rsid w:val="00F714E4"/>
    <w:pPr>
      <w:widowControl w:val="0"/>
      <w:spacing w:before="0" w:after="0"/>
      <w:ind w:firstLine="0"/>
      <w:jc w:val="right"/>
    </w:pPr>
    <w:rPr>
      <w:color w:val="000000"/>
    </w:rPr>
  </w:style>
  <w:style w:type="paragraph" w:styleId="TM2">
    <w:name w:val="toc 2"/>
    <w:basedOn w:val="Normal"/>
    <w:next w:val="Corpsdetexte"/>
    <w:semiHidden/>
    <w:pPr>
      <w:spacing w:before="240" w:after="0"/>
      <w:jc w:val="left"/>
    </w:pPr>
    <w:rPr>
      <w:b/>
      <w:bCs/>
      <w:sz w:val="20"/>
      <w:szCs w:val="20"/>
    </w:rPr>
  </w:style>
  <w:style w:type="paragraph" w:styleId="TM3">
    <w:name w:val="toc 3"/>
    <w:basedOn w:val="Normal"/>
    <w:next w:val="Corpsdetexte"/>
    <w:semiHidden/>
    <w:pPr>
      <w:spacing w:before="0" w:after="0"/>
      <w:ind w:left="240"/>
      <w:jc w:val="left"/>
    </w:pPr>
    <w:rPr>
      <w:sz w:val="20"/>
      <w:szCs w:val="20"/>
    </w:rPr>
  </w:style>
  <w:style w:type="paragraph" w:styleId="TM4">
    <w:name w:val="toc 4"/>
    <w:basedOn w:val="Normal"/>
    <w:next w:val="Corpsdetexte"/>
    <w:semiHidden/>
    <w:pPr>
      <w:spacing w:before="0" w:after="0"/>
      <w:ind w:left="480"/>
      <w:jc w:val="left"/>
    </w:pPr>
    <w:rPr>
      <w:sz w:val="20"/>
      <w:szCs w:val="20"/>
    </w:rPr>
  </w:style>
  <w:style w:type="paragraph" w:styleId="TM5">
    <w:name w:val="toc 5"/>
    <w:basedOn w:val="Normal"/>
    <w:next w:val="Corpsdetexte"/>
    <w:autoRedefine/>
    <w:semiHidden/>
    <w:pPr>
      <w:spacing w:before="0" w:after="0"/>
      <w:ind w:left="720"/>
      <w:jc w:val="left"/>
    </w:pPr>
    <w:rPr>
      <w:sz w:val="20"/>
      <w:szCs w:val="20"/>
    </w:rPr>
  </w:style>
  <w:style w:type="paragraph" w:styleId="TM6">
    <w:name w:val="toc 6"/>
    <w:basedOn w:val="Normal"/>
    <w:next w:val="Corpsdetexte"/>
    <w:autoRedefine/>
    <w:semiHidden/>
    <w:pPr>
      <w:spacing w:before="0" w:after="0"/>
      <w:ind w:left="960"/>
      <w:jc w:val="left"/>
    </w:pPr>
    <w:rPr>
      <w:sz w:val="20"/>
      <w:szCs w:val="20"/>
    </w:rPr>
  </w:style>
  <w:style w:type="paragraph" w:styleId="TM7">
    <w:name w:val="toc 7"/>
    <w:basedOn w:val="Normal"/>
    <w:next w:val="Corpsdetexte"/>
    <w:autoRedefine/>
    <w:semiHidden/>
    <w:pPr>
      <w:spacing w:before="0" w:after="0"/>
      <w:ind w:left="1200"/>
      <w:jc w:val="left"/>
    </w:pPr>
    <w:rPr>
      <w:sz w:val="20"/>
      <w:szCs w:val="20"/>
    </w:rPr>
  </w:style>
  <w:style w:type="paragraph" w:styleId="TM8">
    <w:name w:val="toc 8"/>
    <w:basedOn w:val="Normal"/>
    <w:next w:val="Corpsdetexte"/>
    <w:autoRedefine/>
    <w:semiHidden/>
    <w:pPr>
      <w:spacing w:before="0" w:after="0"/>
      <w:ind w:left="1440"/>
      <w:jc w:val="left"/>
    </w:pPr>
    <w:rPr>
      <w:sz w:val="20"/>
      <w:szCs w:val="20"/>
    </w:rPr>
  </w:style>
  <w:style w:type="paragraph" w:styleId="TM9">
    <w:name w:val="toc 9"/>
    <w:basedOn w:val="Normal"/>
    <w:next w:val="Corpsdetexte"/>
    <w:autoRedefine/>
    <w:semiHidden/>
    <w:pPr>
      <w:spacing w:before="0" w:after="0"/>
      <w:ind w:left="1680"/>
      <w:jc w:val="left"/>
    </w:pPr>
    <w:rPr>
      <w:sz w:val="20"/>
      <w:szCs w:val="20"/>
    </w:rPr>
  </w:style>
  <w:style w:type="paragraph" w:customStyle="1" w:styleId="1pageChambre">
    <w:name w:val="1°page Chambre"/>
    <w:basedOn w:val="Corpstextegauche"/>
    <w:rsid w:val="00F30C3C"/>
    <w:pPr>
      <w:keepNext/>
      <w:spacing w:before="0" w:after="0"/>
      <w:jc w:val="center"/>
      <w:outlineLvl w:val="5"/>
    </w:pPr>
    <w:rPr>
      <w:b/>
      <w:bCs/>
      <w:smallCaps/>
      <w:spacing w:val="6"/>
    </w:rPr>
  </w:style>
  <w:style w:type="paragraph" w:customStyle="1" w:styleId="Sous-titrerapport">
    <w:name w:val="Sous-titre rapport"/>
    <w:basedOn w:val="Normal"/>
    <w:semiHidden/>
    <w:pPr>
      <w:spacing w:before="160" w:after="160"/>
      <w:ind w:firstLine="0"/>
      <w:jc w:val="center"/>
    </w:pPr>
  </w:style>
  <w:style w:type="paragraph" w:customStyle="1" w:styleId="encadr">
    <w:name w:val="encadré"/>
    <w:basedOn w:val="Normal"/>
    <w:semiHidden/>
    <w:pPr>
      <w:pBdr>
        <w:top w:val="single" w:sz="4" w:space="12" w:color="auto"/>
        <w:left w:val="single" w:sz="4" w:space="8" w:color="auto"/>
        <w:bottom w:val="single" w:sz="4" w:space="12" w:color="auto"/>
        <w:right w:val="single" w:sz="4" w:space="8" w:color="auto"/>
      </w:pBdr>
      <w:ind w:left="284" w:right="284"/>
    </w:pPr>
    <w:rPr>
      <w:sz w:val="22"/>
      <w:szCs w:val="22"/>
    </w:rPr>
  </w:style>
  <w:style w:type="paragraph" w:customStyle="1" w:styleId="tabledesobservations1">
    <w:name w:val="table des observations1"/>
    <w:semiHidden/>
    <w:pPr>
      <w:tabs>
        <w:tab w:val="right" w:leader="dot" w:pos="9356"/>
      </w:tabs>
      <w:spacing w:before="240" w:after="60"/>
      <w:ind w:left="851" w:hanging="851"/>
    </w:pPr>
    <w:rPr>
      <w:b/>
      <w:bCs/>
      <w:noProof/>
      <w:sz w:val="24"/>
      <w:szCs w:val="24"/>
    </w:rPr>
  </w:style>
  <w:style w:type="paragraph" w:customStyle="1" w:styleId="tabledesobservations2">
    <w:name w:val="table des observations2"/>
    <w:semiHidden/>
    <w:pPr>
      <w:tabs>
        <w:tab w:val="right" w:leader="dot" w:pos="9356"/>
      </w:tabs>
      <w:spacing w:before="60" w:after="240"/>
      <w:ind w:left="3261"/>
      <w:jc w:val="right"/>
    </w:pPr>
    <w:rPr>
      <w:i/>
      <w:iCs/>
      <w:noProof/>
      <w:sz w:val="24"/>
      <w:szCs w:val="24"/>
    </w:rPr>
  </w:style>
  <w:style w:type="paragraph" w:customStyle="1" w:styleId="Corpstextegauche">
    <w:name w:val="Corps texte gauche"/>
    <w:basedOn w:val="Normal"/>
    <w:next w:val="Corpsdetexte"/>
    <w:rsid w:val="00C176ED"/>
    <w:pPr>
      <w:spacing w:before="60" w:after="60"/>
      <w:ind w:left="0" w:firstLine="0"/>
    </w:pPr>
  </w:style>
  <w:style w:type="paragraph" w:styleId="Notedebasdepage">
    <w:name w:val="footnote text"/>
    <w:basedOn w:val="Normal"/>
    <w:next w:val="Corpsdetexte"/>
    <w:semiHidden/>
    <w:pPr>
      <w:spacing w:after="0"/>
    </w:pPr>
    <w:rPr>
      <w:sz w:val="20"/>
      <w:szCs w:val="20"/>
    </w:rPr>
  </w:style>
  <w:style w:type="paragraph" w:customStyle="1" w:styleId="Introconclu">
    <w:name w:val="Intro_conclu"/>
    <w:basedOn w:val="Normal"/>
    <w:next w:val="Corpsdetexte"/>
    <w:semiHidden/>
    <w:pPr>
      <w:spacing w:before="480" w:after="240"/>
      <w:ind w:firstLine="0"/>
      <w:jc w:val="center"/>
    </w:pPr>
    <w:rPr>
      <w:b/>
      <w:bCs/>
      <w:caps/>
      <w:sz w:val="28"/>
      <w:szCs w:val="28"/>
    </w:rPr>
  </w:style>
  <w:style w:type="paragraph" w:customStyle="1" w:styleId="Titrenonreprisdanssommaire">
    <w:name w:val="Titre non repris dans sommaire"/>
    <w:next w:val="Corpsdetexte"/>
    <w:semiHidden/>
    <w:pPr>
      <w:spacing w:before="480" w:after="240"/>
      <w:jc w:val="center"/>
    </w:pPr>
    <w:rPr>
      <w:b/>
      <w:bCs/>
      <w:caps/>
      <w:noProof/>
      <w:sz w:val="28"/>
      <w:szCs w:val="28"/>
    </w:rPr>
  </w:style>
  <w:style w:type="paragraph" w:customStyle="1" w:styleId="1pageCour">
    <w:name w:val="1°page Cour"/>
    <w:basedOn w:val="Normal"/>
    <w:rsid w:val="00F30C3C"/>
    <w:pPr>
      <w:spacing w:before="0" w:after="0"/>
      <w:ind w:left="0" w:firstLine="0"/>
      <w:jc w:val="center"/>
    </w:pPr>
    <w:rPr>
      <w:b/>
      <w:bCs/>
      <w:smallCaps/>
      <w:sz w:val="28"/>
      <w:szCs w:val="28"/>
    </w:rPr>
  </w:style>
  <w:style w:type="paragraph" w:styleId="Retraitcorpsdetexte">
    <w:name w:val="Body Text Indent"/>
    <w:basedOn w:val="Normal"/>
    <w:semiHidden/>
    <w:pPr>
      <w:spacing w:before="0" w:after="0" w:line="400" w:lineRule="exact"/>
      <w:ind w:firstLine="1418"/>
    </w:pPr>
  </w:style>
  <w:style w:type="paragraph" w:customStyle="1" w:styleId="Paragraphe1">
    <w:name w:val="Paragraphe 1"/>
    <w:semiHidden/>
    <w:pPr>
      <w:spacing w:line="480" w:lineRule="exact"/>
      <w:ind w:firstLine="1134"/>
      <w:jc w:val="both"/>
    </w:pPr>
    <w:rPr>
      <w:rFonts w:ascii="Tms Rmn" w:hAnsi="Tms Rmn"/>
      <w:sz w:val="24"/>
      <w:szCs w:val="24"/>
    </w:rPr>
  </w:style>
  <w:style w:type="paragraph" w:styleId="Retraitcorpsdetexte2">
    <w:name w:val="Body Text Indent 2"/>
    <w:basedOn w:val="Normal"/>
    <w:semiHidden/>
    <w:pPr>
      <w:spacing w:before="0" w:after="0" w:line="400" w:lineRule="exact"/>
    </w:pPr>
  </w:style>
  <w:style w:type="paragraph" w:styleId="Explorateurdedocuments">
    <w:name w:val="Document Map"/>
    <w:basedOn w:val="Normal"/>
    <w:semiHidden/>
    <w:pPr>
      <w:shd w:val="clear" w:color="auto" w:fill="000080"/>
    </w:pPr>
    <w:rPr>
      <w:rFonts w:ascii="Tahoma" w:hAnsi="Tahoma" w:cs="Tahoma"/>
    </w:rPr>
  </w:style>
  <w:style w:type="paragraph" w:styleId="Retraitnormal">
    <w:name w:val="Normal Indent"/>
    <w:basedOn w:val="Normal"/>
    <w:semiHidden/>
    <w:pPr>
      <w:spacing w:before="0" w:after="0"/>
      <w:ind w:left="708" w:firstLine="0"/>
      <w:jc w:val="left"/>
    </w:pPr>
    <w:rPr>
      <w:sz w:val="20"/>
      <w:szCs w:val="20"/>
    </w:rPr>
  </w:style>
  <w:style w:type="paragraph" w:customStyle="1" w:styleId="0ligneaprs">
    <w:name w:val="0 ligne après"/>
    <w:semiHidden/>
    <w:rsid w:val="006B4B77"/>
    <w:pPr>
      <w:keepLines/>
      <w:spacing w:line="240" w:lineRule="atLeast"/>
      <w:ind w:left="1701" w:firstLine="567"/>
      <w:jc w:val="both"/>
    </w:pPr>
    <w:rPr>
      <w:sz w:val="24"/>
      <w:szCs w:val="24"/>
    </w:rPr>
  </w:style>
  <w:style w:type="paragraph" w:customStyle="1" w:styleId="P0">
    <w:name w:val="P0"/>
    <w:basedOn w:val="Normal"/>
    <w:link w:val="P0Car"/>
    <w:rsid w:val="00C5465D"/>
    <w:pPr>
      <w:spacing w:before="240" w:after="240" w:line="240" w:lineRule="atLeast"/>
      <w:ind w:left="1701" w:firstLine="567"/>
    </w:pPr>
  </w:style>
  <w:style w:type="paragraph" w:customStyle="1" w:styleId="PS">
    <w:name w:val="PS"/>
    <w:basedOn w:val="Normal"/>
    <w:link w:val="PSCar"/>
    <w:rsid w:val="0088193B"/>
    <w:pPr>
      <w:spacing w:before="0" w:after="480"/>
      <w:ind w:left="1701"/>
    </w:pPr>
    <w:rPr>
      <w:rFonts w:ascii="CG Times (WN)" w:hAnsi="CG Times (WN)"/>
      <w:szCs w:val="20"/>
    </w:rPr>
  </w:style>
  <w:style w:type="paragraph" w:styleId="Textedebulles">
    <w:name w:val="Balloon Text"/>
    <w:basedOn w:val="Normal"/>
    <w:semiHidden/>
    <w:rsid w:val="00A11F5F"/>
    <w:rPr>
      <w:rFonts w:ascii="Tahoma" w:hAnsi="Tahoma" w:cs="Tahoma"/>
      <w:sz w:val="16"/>
      <w:szCs w:val="16"/>
    </w:rPr>
  </w:style>
  <w:style w:type="paragraph" w:customStyle="1" w:styleId="Titreobservations">
    <w:name w:val="Titre observations"/>
    <w:basedOn w:val="Titretableau"/>
    <w:next w:val="Corpsdetexte"/>
    <w:semiHidden/>
    <w:rsid w:val="004879D3"/>
    <w:pPr>
      <w:numPr>
        <w:numId w:val="4"/>
      </w:numPr>
      <w:jc w:val="left"/>
    </w:pPr>
    <w:rPr>
      <w:color w:val="000080"/>
      <w:spacing w:val="4"/>
    </w:rPr>
  </w:style>
  <w:style w:type="paragraph" w:customStyle="1" w:styleId="Style">
    <w:name w:val="Style"/>
    <w:semiHidden/>
    <w:rsid w:val="00A6208F"/>
    <w:pPr>
      <w:widowControl w:val="0"/>
      <w:autoSpaceDE w:val="0"/>
      <w:autoSpaceDN w:val="0"/>
      <w:adjustRightInd w:val="0"/>
    </w:pPr>
    <w:rPr>
      <w:sz w:val="24"/>
      <w:szCs w:val="24"/>
    </w:rPr>
  </w:style>
  <w:style w:type="paragraph" w:customStyle="1" w:styleId="paragraphe">
    <w:name w:val="paragraphe"/>
    <w:semiHidden/>
    <w:rsid w:val="005B284A"/>
    <w:pPr>
      <w:spacing w:after="240" w:line="240" w:lineRule="exact"/>
      <w:ind w:left="2268" w:firstLine="1418"/>
      <w:jc w:val="both"/>
    </w:pPr>
    <w:rPr>
      <w:rFonts w:ascii="Tms Rmn" w:hAnsi="Tms Rmn"/>
      <w:sz w:val="24"/>
    </w:rPr>
  </w:style>
  <w:style w:type="character" w:customStyle="1" w:styleId="CharacterStyle1">
    <w:name w:val="Character Style 1"/>
    <w:semiHidden/>
    <w:rsid w:val="00F81F70"/>
    <w:rPr>
      <w:rFonts w:ascii="Arial" w:hAnsi="Arial"/>
      <w:sz w:val="16"/>
    </w:rPr>
  </w:style>
  <w:style w:type="character" w:customStyle="1" w:styleId="PSCar">
    <w:name w:val="PS Car"/>
    <w:link w:val="PS"/>
    <w:rsid w:val="00D64C6D"/>
    <w:rPr>
      <w:rFonts w:ascii="CG Times (WN)" w:hAnsi="CG Times (WN)"/>
      <w:sz w:val="24"/>
      <w:lang w:val="fr-FR" w:eastAsia="fr-FR" w:bidi="ar-SA"/>
    </w:rPr>
  </w:style>
  <w:style w:type="character" w:styleId="Marquedecommentaire">
    <w:name w:val="annotation reference"/>
    <w:semiHidden/>
    <w:rsid w:val="0024422B"/>
    <w:rPr>
      <w:sz w:val="16"/>
      <w:szCs w:val="16"/>
    </w:rPr>
  </w:style>
  <w:style w:type="paragraph" w:styleId="Commentaire">
    <w:name w:val="annotation text"/>
    <w:basedOn w:val="Normal"/>
    <w:semiHidden/>
    <w:rsid w:val="0024422B"/>
    <w:rPr>
      <w:sz w:val="20"/>
      <w:szCs w:val="20"/>
    </w:rPr>
  </w:style>
  <w:style w:type="paragraph" w:styleId="Objetducommentaire">
    <w:name w:val="annotation subject"/>
    <w:basedOn w:val="Commentaire"/>
    <w:next w:val="Commentaire"/>
    <w:semiHidden/>
    <w:rsid w:val="0024422B"/>
    <w:rPr>
      <w:b/>
      <w:bCs/>
    </w:rPr>
  </w:style>
  <w:style w:type="character" w:customStyle="1" w:styleId="CorpsdetexteCar">
    <w:name w:val="Corps de texte Car"/>
    <w:link w:val="Corpsdetexte"/>
    <w:rsid w:val="00CD6483"/>
    <w:rPr>
      <w:sz w:val="24"/>
      <w:szCs w:val="24"/>
      <w:lang w:val="fr-FR" w:eastAsia="fr-FR" w:bidi="ar-SA"/>
    </w:rPr>
  </w:style>
  <w:style w:type="paragraph" w:customStyle="1" w:styleId="CarCar1">
    <w:name w:val="Car Car1"/>
    <w:basedOn w:val="Normal"/>
    <w:rsid w:val="000D4AC6"/>
    <w:pPr>
      <w:widowControl w:val="0"/>
      <w:overflowPunct w:val="0"/>
      <w:autoSpaceDE w:val="0"/>
      <w:autoSpaceDN w:val="0"/>
      <w:adjustRightInd w:val="0"/>
      <w:spacing w:before="0" w:after="160" w:line="240" w:lineRule="exact"/>
      <w:ind w:left="0" w:firstLine="0"/>
      <w:jc w:val="left"/>
    </w:pPr>
    <w:rPr>
      <w:rFonts w:ascii="Tahoma" w:hAnsi="Tahoma"/>
      <w:sz w:val="20"/>
      <w:szCs w:val="20"/>
      <w:lang w:val="en-US" w:eastAsia="en-US"/>
    </w:rPr>
  </w:style>
  <w:style w:type="paragraph" w:customStyle="1" w:styleId="CarCar1CarCarCarCarCarCar">
    <w:name w:val="Car Car1 Car Car Car Car Car Car"/>
    <w:basedOn w:val="Normal"/>
    <w:rsid w:val="00686F99"/>
    <w:pPr>
      <w:spacing w:before="0" w:after="160" w:line="240" w:lineRule="exact"/>
      <w:ind w:left="0" w:firstLine="0"/>
      <w:jc w:val="left"/>
    </w:pPr>
    <w:rPr>
      <w:rFonts w:ascii="Tahoma" w:hAnsi="Tahoma"/>
      <w:sz w:val="20"/>
      <w:szCs w:val="20"/>
      <w:lang w:val="en-US" w:eastAsia="en-US"/>
    </w:rPr>
  </w:style>
  <w:style w:type="paragraph" w:customStyle="1" w:styleId="Tableautitrecolonnes">
    <w:name w:val="Tableau titre colonnes"/>
    <w:basedOn w:val="Normal"/>
    <w:next w:val="Normal"/>
    <w:rsid w:val="00CE1C38"/>
    <w:pPr>
      <w:widowControl w:val="0"/>
      <w:numPr>
        <w:numId w:val="11"/>
      </w:numPr>
      <w:tabs>
        <w:tab w:val="clear" w:pos="927"/>
      </w:tabs>
      <w:spacing w:before="0" w:after="0"/>
      <w:ind w:left="0" w:firstLine="0"/>
      <w:jc w:val="center"/>
    </w:pPr>
    <w:rPr>
      <w:b/>
      <w:color w:val="000000"/>
      <w:szCs w:val="20"/>
    </w:rPr>
  </w:style>
  <w:style w:type="table" w:styleId="Grilledutableau">
    <w:name w:val="Table Grid"/>
    <w:basedOn w:val="TableauNormal"/>
    <w:uiPriority w:val="59"/>
    <w:rsid w:val="003A4C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Car">
    <w:name w:val="P0 Car"/>
    <w:link w:val="P0"/>
    <w:locked/>
    <w:rsid w:val="00BC0C06"/>
    <w:rPr>
      <w:sz w:val="24"/>
      <w:szCs w:val="24"/>
    </w:rPr>
  </w:style>
  <w:style w:type="paragraph" w:styleId="Rvision">
    <w:name w:val="Revision"/>
    <w:hidden/>
    <w:uiPriority w:val="99"/>
    <w:semiHidden/>
    <w:rsid w:val="000E2FF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870381">
      <w:bodyDiv w:val="1"/>
      <w:marLeft w:val="0"/>
      <w:marRight w:val="0"/>
      <w:marTop w:val="0"/>
      <w:marBottom w:val="0"/>
      <w:divBdr>
        <w:top w:val="none" w:sz="0" w:space="0" w:color="auto"/>
        <w:left w:val="none" w:sz="0" w:space="0" w:color="auto"/>
        <w:bottom w:val="none" w:sz="0" w:space="0" w:color="auto"/>
        <w:right w:val="none" w:sz="0" w:space="0" w:color="auto"/>
      </w:divBdr>
    </w:div>
    <w:div w:id="609123432">
      <w:bodyDiv w:val="1"/>
      <w:marLeft w:val="0"/>
      <w:marRight w:val="0"/>
      <w:marTop w:val="0"/>
      <w:marBottom w:val="0"/>
      <w:divBdr>
        <w:top w:val="none" w:sz="0" w:space="0" w:color="auto"/>
        <w:left w:val="none" w:sz="0" w:space="0" w:color="auto"/>
        <w:bottom w:val="none" w:sz="0" w:space="0" w:color="auto"/>
        <w:right w:val="none" w:sz="0" w:space="0" w:color="auto"/>
      </w:divBdr>
    </w:div>
    <w:div w:id="706108393">
      <w:bodyDiv w:val="1"/>
      <w:marLeft w:val="0"/>
      <w:marRight w:val="0"/>
      <w:marTop w:val="0"/>
      <w:marBottom w:val="0"/>
      <w:divBdr>
        <w:top w:val="none" w:sz="0" w:space="0" w:color="auto"/>
        <w:left w:val="none" w:sz="0" w:space="0" w:color="auto"/>
        <w:bottom w:val="none" w:sz="0" w:space="0" w:color="auto"/>
        <w:right w:val="none" w:sz="0" w:space="0" w:color="auto"/>
      </w:divBdr>
    </w:div>
    <w:div w:id="158453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senhaji\Application%20Data\Microsoft\Mod&#232;les\Rapports\CCOS_ARRET%20APPE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26311-559F-4B0A-BD41-F8AB44472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CCOS_ARRET APPEL.dot</Template>
  <TotalTime>29</TotalTime>
  <Pages>10</Pages>
  <Words>3787</Words>
  <Characters>20830</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Arrêt EPCJ-EPAURIF</vt:lpstr>
    </vt:vector>
  </TitlesOfParts>
  <Company>Cour des comptes</Company>
  <LinksUpToDate>false</LinksUpToDate>
  <CharactersWithSpaces>24568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 EPCJ-EPAURIF</dc:title>
  <dc:creator>Omar SENHAJI</dc:creator>
  <cp:lastModifiedBy>Jean-Pierre Bonin</cp:lastModifiedBy>
  <cp:revision>4</cp:revision>
  <cp:lastPrinted>2014-07-04T09:25:00Z</cp:lastPrinted>
  <dcterms:created xsi:type="dcterms:W3CDTF">2014-08-08T13:35:00Z</dcterms:created>
  <dcterms:modified xsi:type="dcterms:W3CDTF">2014-08-26T18:38:00Z</dcterms:modified>
</cp:coreProperties>
</file>