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02" w:rsidRDefault="007E0E02" w:rsidP="00186B56">
      <w:pPr>
        <w:outlineLvl w:val="0"/>
        <w:rPr>
          <w:b/>
        </w:rPr>
      </w:pPr>
      <w:bookmarkStart w:id="0" w:name="_Toc129594801"/>
      <w:bookmarkStart w:id="1" w:name="_Toc133398667"/>
      <w:bookmarkStart w:id="2" w:name="_Toc133398762"/>
      <w:bookmarkStart w:id="3" w:name="_Toc137030336"/>
    </w:p>
    <w:p w:rsidR="007E0E02" w:rsidRDefault="007E0E02" w:rsidP="00186B56">
      <w:pPr>
        <w:outlineLvl w:val="0"/>
        <w:rPr>
          <w:b/>
        </w:rPr>
      </w:pPr>
    </w:p>
    <w:p w:rsidR="00186B56" w:rsidRPr="00186B56" w:rsidRDefault="00186B56" w:rsidP="00186B56">
      <w:pPr>
        <w:outlineLvl w:val="0"/>
        <w:rPr>
          <w:b/>
        </w:rPr>
      </w:pPr>
      <w:r w:rsidRPr="00186B56">
        <w:rPr>
          <w:b/>
        </w:rPr>
        <w:t>COUR DES COMPTES</w:t>
      </w:r>
      <w:bookmarkEnd w:id="0"/>
      <w:bookmarkEnd w:id="1"/>
      <w:bookmarkEnd w:id="2"/>
      <w:bookmarkEnd w:id="3"/>
    </w:p>
    <w:p w:rsidR="00186B56" w:rsidRPr="00186B56" w:rsidRDefault="00186B56" w:rsidP="00186B56">
      <w:pPr>
        <w:outlineLvl w:val="0"/>
        <w:rPr>
          <w:b/>
        </w:rPr>
      </w:pPr>
      <w:r w:rsidRPr="00186B56">
        <w:rPr>
          <w:b/>
        </w:rPr>
        <w:tab/>
        <w:t xml:space="preserve"> ------</w:t>
      </w:r>
    </w:p>
    <w:p w:rsidR="00186B56" w:rsidRPr="00186B56" w:rsidRDefault="00186B56" w:rsidP="00186B56">
      <w:pPr>
        <w:outlineLvl w:val="0"/>
        <w:rPr>
          <w:b/>
        </w:rPr>
      </w:pPr>
      <w:bookmarkStart w:id="4" w:name="_Toc129594802"/>
      <w:bookmarkStart w:id="5" w:name="_Toc133398668"/>
      <w:bookmarkStart w:id="6" w:name="_Toc133398763"/>
      <w:bookmarkStart w:id="7" w:name="_Toc137030337"/>
      <w:r w:rsidRPr="00186B56">
        <w:rPr>
          <w:b/>
        </w:rPr>
        <w:t>PREMIERE CHAMBRE</w:t>
      </w:r>
      <w:bookmarkEnd w:id="4"/>
      <w:bookmarkEnd w:id="5"/>
      <w:bookmarkEnd w:id="6"/>
      <w:bookmarkEnd w:id="7"/>
    </w:p>
    <w:p w:rsidR="00186B56" w:rsidRPr="00186B56" w:rsidRDefault="00186B56" w:rsidP="00186B56">
      <w:pPr>
        <w:rPr>
          <w:b/>
        </w:rPr>
      </w:pPr>
      <w:r w:rsidRPr="00186B56">
        <w:rPr>
          <w:b/>
        </w:rPr>
        <w:tab/>
        <w:t xml:space="preserve"> ------</w:t>
      </w:r>
    </w:p>
    <w:p w:rsidR="00186B56" w:rsidRPr="00186B56" w:rsidRDefault="00186B56" w:rsidP="00186B56">
      <w:pPr>
        <w:rPr>
          <w:b/>
        </w:rPr>
      </w:pPr>
      <w:r>
        <w:rPr>
          <w:b/>
        </w:rPr>
        <w:t>TROISIEME</w:t>
      </w:r>
      <w:r w:rsidRPr="00186B56">
        <w:rPr>
          <w:b/>
        </w:rPr>
        <w:t xml:space="preserve"> SECTION</w:t>
      </w:r>
    </w:p>
    <w:p w:rsidR="00186B56" w:rsidRPr="00186B56" w:rsidRDefault="00186B56" w:rsidP="00186B56">
      <w:pPr>
        <w:rPr>
          <w:b/>
        </w:rPr>
      </w:pPr>
      <w:r w:rsidRPr="00186B56">
        <w:rPr>
          <w:b/>
        </w:rPr>
        <w:tab/>
        <w:t xml:space="preserve"> ------</w:t>
      </w:r>
    </w:p>
    <w:p w:rsidR="00186B56" w:rsidRPr="00186B56" w:rsidRDefault="00186B56" w:rsidP="000E32DE">
      <w:pPr>
        <w:spacing w:before="120"/>
        <w:ind w:firstLine="284"/>
        <w:outlineLvl w:val="0"/>
        <w:rPr>
          <w:b/>
          <w:i/>
        </w:rPr>
      </w:pPr>
      <w:bookmarkStart w:id="8" w:name="_Toc129594803"/>
      <w:bookmarkStart w:id="9" w:name="_Toc133398669"/>
      <w:bookmarkStart w:id="10" w:name="_Toc133398764"/>
      <w:bookmarkStart w:id="11" w:name="_Toc137030338"/>
      <w:r w:rsidRPr="00186B56">
        <w:rPr>
          <w:b/>
          <w:i/>
        </w:rPr>
        <w:t>Arrêt n°</w:t>
      </w:r>
      <w:bookmarkEnd w:id="8"/>
      <w:bookmarkEnd w:id="9"/>
      <w:bookmarkEnd w:id="10"/>
      <w:bookmarkEnd w:id="11"/>
      <w:r w:rsidRPr="00186B56">
        <w:rPr>
          <w:b/>
          <w:i/>
        </w:rPr>
        <w:t xml:space="preserve"> </w:t>
      </w:r>
      <w:r w:rsidR="00CF0436">
        <w:rPr>
          <w:b/>
          <w:i/>
        </w:rPr>
        <w:t>71168</w:t>
      </w:r>
    </w:p>
    <w:p w:rsidR="000177A3" w:rsidRDefault="00186B56" w:rsidP="000177A3">
      <w:pPr>
        <w:ind w:left="4962"/>
      </w:pPr>
      <w:r>
        <w:t>ETABLISSEMENT PUBLIC</w:t>
      </w:r>
    </w:p>
    <w:p w:rsidR="00186B56" w:rsidRPr="00186B56" w:rsidRDefault="00186B56" w:rsidP="000177A3">
      <w:pPr>
        <w:ind w:left="4962"/>
      </w:pPr>
      <w:r>
        <w:t>DE FINANCEMENT ET DE RESTRUCTURATION</w:t>
      </w:r>
    </w:p>
    <w:p w:rsidR="00186B56" w:rsidRPr="00186B56" w:rsidRDefault="00186B56" w:rsidP="000177A3">
      <w:pPr>
        <w:spacing w:before="120" w:after="120"/>
        <w:ind w:left="4961"/>
      </w:pPr>
      <w:r w:rsidRPr="00186B56">
        <w:t>Exercice</w:t>
      </w:r>
      <w:r>
        <w:t>s</w:t>
      </w:r>
      <w:r w:rsidRPr="00186B56">
        <w:t xml:space="preserve"> 2008</w:t>
      </w:r>
      <w:r>
        <w:t xml:space="preserve"> et 2009</w:t>
      </w:r>
    </w:p>
    <w:p w:rsidR="00186B56" w:rsidRPr="00186B56" w:rsidRDefault="00186B56" w:rsidP="000177A3">
      <w:pPr>
        <w:spacing w:before="120" w:after="240"/>
        <w:ind w:left="4961"/>
      </w:pPr>
      <w:r w:rsidRPr="00186B56">
        <w:t>Rapport n° 201</w:t>
      </w:r>
      <w:r>
        <w:t>4</w:t>
      </w:r>
      <w:r w:rsidRPr="00186B56">
        <w:t>-</w:t>
      </w:r>
      <w:r>
        <w:t>529</w:t>
      </w:r>
      <w:r w:rsidRPr="00186B56">
        <w:t>-</w:t>
      </w:r>
      <w:r>
        <w:t>0</w:t>
      </w:r>
    </w:p>
    <w:p w:rsidR="00186B56" w:rsidRPr="00186B56" w:rsidRDefault="00186B56" w:rsidP="000177A3">
      <w:pPr>
        <w:spacing w:before="120" w:after="120"/>
        <w:ind w:left="4961"/>
      </w:pPr>
      <w:r w:rsidRPr="00186B56">
        <w:t xml:space="preserve">Audience publique du </w:t>
      </w:r>
      <w:r>
        <w:t>26 septembre</w:t>
      </w:r>
      <w:r w:rsidRPr="00186B56">
        <w:t xml:space="preserve"> 2014</w:t>
      </w:r>
    </w:p>
    <w:p w:rsidR="00186B56" w:rsidRPr="00186B56" w:rsidRDefault="00186B56" w:rsidP="000177A3">
      <w:pPr>
        <w:spacing w:before="120" w:after="120"/>
        <w:ind w:left="4961"/>
      </w:pPr>
      <w:r w:rsidRPr="00186B56">
        <w:t xml:space="preserve">Lecture publique du </w:t>
      </w:r>
      <w:r>
        <w:t>10 novembre</w:t>
      </w:r>
      <w:r w:rsidRPr="00186B56">
        <w:t xml:space="preserve"> 2014</w:t>
      </w:r>
    </w:p>
    <w:p w:rsidR="00186B56" w:rsidRDefault="00186B56" w:rsidP="00186B56">
      <w:pPr>
        <w:jc w:val="center"/>
        <w:rPr>
          <w:rFonts w:ascii="Tms Rmn" w:hAnsi="Tms Rmn"/>
          <w:szCs w:val="20"/>
        </w:rPr>
      </w:pPr>
    </w:p>
    <w:p w:rsidR="007E0E02" w:rsidRDefault="007E0E02" w:rsidP="007E0E02">
      <w:pPr>
        <w:pStyle w:val="P0"/>
        <w:spacing w:before="0" w:after="0"/>
        <w:ind w:left="540" w:right="-284" w:hanging="682"/>
        <w:jc w:val="center"/>
      </w:pPr>
      <w:bookmarkStart w:id="12" w:name="_GoBack"/>
      <w:r w:rsidRPr="00690D05">
        <w:t>REPUBLIQUE FRANÇAISE</w:t>
      </w:r>
    </w:p>
    <w:p w:rsidR="007E0E02" w:rsidRPr="00690D05" w:rsidRDefault="007E0E02" w:rsidP="007E0E02">
      <w:pPr>
        <w:pStyle w:val="P0"/>
        <w:spacing w:before="0" w:after="0"/>
        <w:ind w:left="540" w:right="-284" w:hanging="682"/>
        <w:jc w:val="center"/>
      </w:pPr>
    </w:p>
    <w:p w:rsidR="007E0E02" w:rsidRDefault="007E0E02" w:rsidP="007E0E02">
      <w:pPr>
        <w:pStyle w:val="P0"/>
        <w:spacing w:before="0" w:after="0"/>
        <w:ind w:left="539" w:right="-284" w:hanging="682"/>
        <w:jc w:val="center"/>
      </w:pPr>
      <w:r w:rsidRPr="00690D05">
        <w:t>AU NOM DU PEUPLE FRANÇAIS</w:t>
      </w:r>
    </w:p>
    <w:p w:rsidR="007E0E02" w:rsidRPr="00690D05" w:rsidRDefault="007E0E02" w:rsidP="007E0E02">
      <w:pPr>
        <w:pStyle w:val="P0"/>
        <w:spacing w:before="0" w:after="0"/>
        <w:ind w:left="539" w:right="-284" w:hanging="682"/>
        <w:jc w:val="center"/>
      </w:pPr>
    </w:p>
    <w:p w:rsidR="007E0E02" w:rsidRPr="00690D05" w:rsidRDefault="007E0E02" w:rsidP="007E0E02">
      <w:pPr>
        <w:pStyle w:val="P0"/>
        <w:spacing w:before="0" w:after="0"/>
        <w:ind w:left="539" w:right="-284" w:hanging="682"/>
        <w:jc w:val="center"/>
      </w:pPr>
      <w:r w:rsidRPr="00690D05">
        <w:t>LA COUR DES COMPTES a rendu l’arrêt suivant :</w:t>
      </w:r>
    </w:p>
    <w:p w:rsidR="00186B56" w:rsidRPr="00186B56" w:rsidRDefault="00186B56" w:rsidP="00186B56">
      <w:pPr>
        <w:jc w:val="center"/>
        <w:rPr>
          <w:rFonts w:ascii="Tms Rmn" w:hAnsi="Tms Rmn"/>
          <w:szCs w:val="20"/>
        </w:rPr>
      </w:pPr>
    </w:p>
    <w:p w:rsidR="00186B56" w:rsidRPr="00186B56" w:rsidRDefault="00186B56" w:rsidP="00186B56">
      <w:pPr>
        <w:ind w:left="709" w:firstLine="1276"/>
      </w:pPr>
      <w:r w:rsidRPr="00186B56">
        <w:t>LA COUR,</w:t>
      </w:r>
    </w:p>
    <w:p w:rsidR="00E41007" w:rsidRPr="00A27AFD" w:rsidRDefault="00281D25" w:rsidP="00CE29CE">
      <w:pPr>
        <w:keepLines/>
        <w:spacing w:before="480"/>
        <w:ind w:left="1134" w:firstLine="851"/>
        <w:jc w:val="both"/>
      </w:pPr>
      <w:r w:rsidRPr="00A27AFD">
        <w:t>Vu les comptes de gestion rendus pour les exercices 2008 à 2010 par M.</w:t>
      </w:r>
      <w:r w:rsidR="00282BF7">
        <w:t> </w:t>
      </w:r>
      <w:r w:rsidR="007C0762">
        <w:t>X</w:t>
      </w:r>
      <w:r w:rsidRPr="00A27AFD">
        <w:t>, comptable de l’Etablissement public de financement et de restructuration (EPFR) ;</w:t>
      </w:r>
    </w:p>
    <w:p w:rsidR="00061418" w:rsidRPr="00A27AFD" w:rsidRDefault="00061418" w:rsidP="00D60B5B">
      <w:pPr>
        <w:pStyle w:val="Corpsdetexte"/>
        <w:keepNext/>
        <w:keepLines w:val="0"/>
        <w:ind w:firstLine="851"/>
        <w:rPr>
          <w:rFonts w:ascii="Times New Roman" w:hAnsi="Times New Roman" w:cs="Times New Roman"/>
        </w:rPr>
      </w:pPr>
      <w:r w:rsidRPr="00A27AFD">
        <w:rPr>
          <w:rFonts w:ascii="Times New Roman" w:hAnsi="Times New Roman" w:cs="Times New Roman"/>
        </w:rPr>
        <w:t>Vu le code des juridictions financières, notamment ses articles L. 111-1, L. 142-1, R. 112-8 et R. 141-10 à R. 141-12</w:t>
      </w:r>
      <w:r w:rsidR="00282BF7">
        <w:rPr>
          <w:rFonts w:ascii="Times New Roman" w:hAnsi="Times New Roman" w:cs="Times New Roman"/>
        </w:rPr>
        <w:t> ;</w:t>
      </w:r>
    </w:p>
    <w:p w:rsidR="00061418" w:rsidRPr="00A27AFD" w:rsidRDefault="00061418" w:rsidP="00D60B5B">
      <w:pPr>
        <w:pStyle w:val="Corpsdetexte"/>
        <w:keepNext/>
        <w:keepLines w:val="0"/>
        <w:ind w:firstLine="851"/>
        <w:rPr>
          <w:rFonts w:ascii="Times New Roman" w:hAnsi="Times New Roman" w:cs="Times New Roman"/>
        </w:rPr>
      </w:pPr>
      <w:r w:rsidRPr="00A27AFD">
        <w:rPr>
          <w:rFonts w:ascii="Times New Roman" w:hAnsi="Times New Roman" w:cs="Times New Roman"/>
        </w:rPr>
        <w:t>Vu l'article 60 de la loi de finances n° 63-156 du 23 février 1963, dans sa rédaction issue de l’article 90 de la loi n° 2011-1978 du 28</w:t>
      </w:r>
      <w:r w:rsidR="00282BF7">
        <w:rPr>
          <w:rFonts w:ascii="Times New Roman" w:hAnsi="Times New Roman" w:cs="Times New Roman"/>
        </w:rPr>
        <w:t xml:space="preserve"> </w:t>
      </w:r>
      <w:r w:rsidRPr="00A27AFD">
        <w:rPr>
          <w:rFonts w:ascii="Times New Roman" w:hAnsi="Times New Roman" w:cs="Times New Roman"/>
        </w:rPr>
        <w:t>décembre 2011 de finances rectificative pour 2011</w:t>
      </w:r>
      <w:r w:rsidR="00282BF7">
        <w:rPr>
          <w:rFonts w:ascii="Times New Roman" w:hAnsi="Times New Roman" w:cs="Times New Roman"/>
        </w:rPr>
        <w:t> ;</w:t>
      </w:r>
    </w:p>
    <w:p w:rsidR="00E41007" w:rsidRPr="00A27AFD" w:rsidRDefault="00E41007" w:rsidP="00D60B5B">
      <w:pPr>
        <w:pStyle w:val="Corpsdetexte"/>
        <w:keepNext/>
        <w:keepLines w:val="0"/>
        <w:ind w:firstLine="851"/>
        <w:rPr>
          <w:rFonts w:ascii="Times New Roman" w:hAnsi="Times New Roman" w:cs="Times New Roman"/>
        </w:rPr>
      </w:pPr>
      <w:r w:rsidRPr="00A27AFD">
        <w:rPr>
          <w:rFonts w:ascii="Times New Roman" w:hAnsi="Times New Roman" w:cs="Times New Roman"/>
        </w:rPr>
        <w:t>Vu le décret n° 62-1587 du 29 décembre 1962 modifié portant règlement général sur la comptabilité publique</w:t>
      </w:r>
      <w:r w:rsidR="00282BF7">
        <w:rPr>
          <w:rFonts w:ascii="Times New Roman" w:hAnsi="Times New Roman" w:cs="Times New Roman"/>
        </w:rPr>
        <w:t> ;</w:t>
      </w:r>
    </w:p>
    <w:p w:rsidR="00061418" w:rsidRPr="00A27AFD" w:rsidRDefault="00061418" w:rsidP="00D60B5B">
      <w:pPr>
        <w:pStyle w:val="Corpsdetexte"/>
        <w:keepNext/>
        <w:keepLines w:val="0"/>
        <w:ind w:firstLine="851"/>
        <w:rPr>
          <w:rFonts w:ascii="Times New Roman" w:hAnsi="Times New Roman" w:cs="Times New Roman"/>
        </w:rPr>
      </w:pPr>
      <w:r w:rsidRPr="00A27AFD">
        <w:rPr>
          <w:rFonts w:ascii="Times New Roman" w:hAnsi="Times New Roman" w:cs="Times New Roman"/>
        </w:rPr>
        <w:t xml:space="preserve">Vu la loi n° 95-1251 du 28 novembre 1995 relative à l’action de l’Etat dans les plans de redressement du Crédit </w:t>
      </w:r>
      <w:r w:rsidR="00282BF7">
        <w:rPr>
          <w:rFonts w:ascii="Times New Roman" w:hAnsi="Times New Roman" w:cs="Times New Roman"/>
        </w:rPr>
        <w:t>l</w:t>
      </w:r>
      <w:r w:rsidRPr="00A27AFD">
        <w:rPr>
          <w:rFonts w:ascii="Times New Roman" w:hAnsi="Times New Roman" w:cs="Times New Roman"/>
        </w:rPr>
        <w:t>yonnais et du Comptoir des entrepreneurs ;</w:t>
      </w:r>
    </w:p>
    <w:p w:rsidR="00061418" w:rsidRPr="00A27AFD" w:rsidRDefault="00061418" w:rsidP="00D60B5B">
      <w:pPr>
        <w:keepLines/>
        <w:spacing w:before="360"/>
        <w:ind w:left="1134" w:firstLine="851"/>
        <w:jc w:val="both"/>
      </w:pPr>
      <w:r w:rsidRPr="00A27AFD">
        <w:t>Vu le décret n° 95-1316 du 22 décembre 1995 portant statuts de l’établissement public de financement et de restructuration (EPFR)</w:t>
      </w:r>
      <w:r w:rsidR="00282BF7">
        <w:t> ;</w:t>
      </w:r>
    </w:p>
    <w:p w:rsidR="00061418" w:rsidRPr="00A27AFD" w:rsidRDefault="00061418" w:rsidP="00D60B5B">
      <w:pPr>
        <w:keepLines/>
        <w:spacing w:before="360"/>
        <w:ind w:left="1134" w:firstLine="851"/>
        <w:jc w:val="both"/>
      </w:pPr>
      <w:r w:rsidRPr="00A27AFD">
        <w:t xml:space="preserve">Vu le protocole du 5 avril 1995 entre l’Etat et le Crédit </w:t>
      </w:r>
      <w:r w:rsidR="00282BF7">
        <w:t>l</w:t>
      </w:r>
      <w:r w:rsidRPr="00A27AFD">
        <w:t>yonnais, organisant la défaisance de la banque, et notamment son article 16, ainsi que ses ave</w:t>
      </w:r>
      <w:r w:rsidR="00E41007" w:rsidRPr="00A27AFD">
        <w:t>nants n° 13 et n° 16 </w:t>
      </w:r>
      <w:r w:rsidRPr="00A27AFD">
        <w:t>;</w:t>
      </w:r>
    </w:p>
    <w:p w:rsidR="000177A3" w:rsidRDefault="000177A3" w:rsidP="00D60B5B">
      <w:pPr>
        <w:keepLines/>
        <w:spacing w:before="360"/>
        <w:ind w:left="1134" w:firstLine="851"/>
        <w:jc w:val="both"/>
      </w:pPr>
    </w:p>
    <w:p w:rsidR="00061418" w:rsidRPr="00A27AFD" w:rsidRDefault="00061418" w:rsidP="00D60B5B">
      <w:pPr>
        <w:keepLines/>
        <w:spacing w:before="360"/>
        <w:ind w:left="1134" w:firstLine="851"/>
        <w:jc w:val="both"/>
      </w:pPr>
      <w:r w:rsidRPr="00A27AFD">
        <w:t>Vu les lois et règlements applicables aux établissements publics nationaux à caractère administratif ;</w:t>
      </w:r>
    </w:p>
    <w:p w:rsidR="00E41007" w:rsidRPr="00A27AFD" w:rsidRDefault="00E41007" w:rsidP="00D60B5B">
      <w:pPr>
        <w:keepLines/>
        <w:spacing w:before="360"/>
        <w:ind w:left="1134" w:firstLine="851"/>
        <w:jc w:val="both"/>
      </w:pPr>
      <w:r w:rsidRPr="00A27AFD">
        <w:t>Vu l’arrêté du Premier président de la Cour des comptes</w:t>
      </w:r>
      <w:r w:rsidR="00224A15" w:rsidRPr="00A27AFD">
        <w:t xml:space="preserve"> n°</w:t>
      </w:r>
      <w:r w:rsidR="000177A3">
        <w:t xml:space="preserve"> </w:t>
      </w:r>
      <w:r w:rsidR="00224A15" w:rsidRPr="00A27AFD">
        <w:t>11-829 du 27 décembre 2011 portant répartition des attributions entre les chambres de la Cour des comptes ;</w:t>
      </w:r>
    </w:p>
    <w:p w:rsidR="00281D25" w:rsidRPr="00A27AFD" w:rsidRDefault="00281D25" w:rsidP="00D60B5B">
      <w:pPr>
        <w:keepLines/>
        <w:spacing w:before="360"/>
        <w:ind w:left="1134" w:firstLine="851"/>
        <w:jc w:val="both"/>
      </w:pPr>
      <w:r w:rsidRPr="00A27AFD">
        <w:t>Vu l’arrêté du Premier président de la Cour des comptes n°</w:t>
      </w:r>
      <w:r w:rsidR="00D60B5B">
        <w:t xml:space="preserve"> </w:t>
      </w:r>
      <w:r w:rsidRPr="00A27AFD">
        <w:t>06-346 du 10 octobre 2006 modifié portant création et fixan</w:t>
      </w:r>
      <w:r w:rsidR="00A93804">
        <w:t>t la composition des sections au</w:t>
      </w:r>
      <w:r w:rsidRPr="00A27AFD">
        <w:t xml:space="preserve"> sein de la Première chambre ;</w:t>
      </w:r>
    </w:p>
    <w:p w:rsidR="00E41007" w:rsidRPr="00A27AFD" w:rsidRDefault="00061418" w:rsidP="00D60B5B">
      <w:pPr>
        <w:keepLines/>
        <w:spacing w:before="360"/>
        <w:ind w:left="1134" w:firstLine="851"/>
        <w:jc w:val="both"/>
      </w:pPr>
      <w:r w:rsidRPr="00A27AFD">
        <w:t>Vu les lettres de notification du contrôle des comptes de l’EPFR du 3</w:t>
      </w:r>
      <w:r w:rsidR="00282BF7">
        <w:t xml:space="preserve"> </w:t>
      </w:r>
      <w:r w:rsidRPr="00A27AFD">
        <w:t>juillet</w:t>
      </w:r>
      <w:r w:rsidR="00282BF7">
        <w:t xml:space="preserve"> </w:t>
      </w:r>
      <w:r w:rsidRPr="00A27AFD">
        <w:t>2009 pour l’exercice 2008, et du 20 octobre 2011 pour les exercices 2009 et 2010 ;</w:t>
      </w:r>
    </w:p>
    <w:p w:rsidR="00224A15" w:rsidRPr="00132C9B" w:rsidRDefault="00224A15" w:rsidP="00D60B5B">
      <w:pPr>
        <w:keepLines/>
        <w:spacing w:before="360"/>
        <w:ind w:left="1134" w:firstLine="851"/>
        <w:jc w:val="both"/>
      </w:pPr>
      <w:r w:rsidRPr="00A27AFD">
        <w:t>Vu le réquisitoire à fin d’instruction de charges n°</w:t>
      </w:r>
      <w:r w:rsidR="00281D25" w:rsidRPr="00A27AFD">
        <w:t xml:space="preserve"> 2013-</w:t>
      </w:r>
      <w:r w:rsidR="00186B56">
        <w:t>88</w:t>
      </w:r>
      <w:r w:rsidR="00281D25" w:rsidRPr="00A27AFD">
        <w:t xml:space="preserve"> RQ DB </w:t>
      </w:r>
      <w:r w:rsidR="008E3973" w:rsidRPr="00A27AFD">
        <w:t>du</w:t>
      </w:r>
      <w:r w:rsidR="00282BF7">
        <w:t xml:space="preserve"> </w:t>
      </w:r>
      <w:r w:rsidR="008E3973" w:rsidRPr="00A27AFD">
        <w:t>19 décembre 2013</w:t>
      </w:r>
      <w:r w:rsidR="00282BF7">
        <w:t>,</w:t>
      </w:r>
      <w:r w:rsidR="008A3D9E" w:rsidRPr="008A3D9E">
        <w:t xml:space="preserve"> </w:t>
      </w:r>
      <w:r w:rsidR="008A3D9E">
        <w:t xml:space="preserve">notifié le </w:t>
      </w:r>
      <w:r w:rsidR="00A17AC6" w:rsidRPr="00132C9B">
        <w:t>9 janvier 2014</w:t>
      </w:r>
      <w:r w:rsidR="008A3D9E" w:rsidRPr="00132C9B">
        <w:t xml:space="preserve"> à M. </w:t>
      </w:r>
      <w:r w:rsidR="00996248">
        <w:t>X</w:t>
      </w:r>
      <w:r w:rsidR="008A3D9E" w:rsidRPr="00132C9B">
        <w:t xml:space="preserve"> et au</w:t>
      </w:r>
      <w:r w:rsidR="00282BF7">
        <w:t xml:space="preserve"> </w:t>
      </w:r>
      <w:r w:rsidR="008A3D9E" w:rsidRPr="00132C9B">
        <w:t>président de l’EPFR</w:t>
      </w:r>
      <w:r w:rsidR="00A17AC6" w:rsidRPr="00132C9B">
        <w:t> ;</w:t>
      </w:r>
    </w:p>
    <w:p w:rsidR="008E3973" w:rsidRPr="00A27AFD" w:rsidRDefault="008E3973" w:rsidP="00D60B5B">
      <w:pPr>
        <w:keepLines/>
        <w:spacing w:before="360"/>
        <w:ind w:left="1134" w:firstLine="851"/>
        <w:jc w:val="both"/>
      </w:pPr>
      <w:r w:rsidRPr="00132C9B">
        <w:t xml:space="preserve">Vu la décision du 7 janvier 2014 </w:t>
      </w:r>
      <w:r w:rsidRPr="00A27AFD">
        <w:t>du président de la Première chambre de la Cour des comptes désignant M</w:t>
      </w:r>
      <w:r w:rsidRPr="00282BF7">
        <w:rPr>
          <w:vertAlign w:val="superscript"/>
        </w:rPr>
        <w:t>me</w:t>
      </w:r>
      <w:r w:rsidRPr="00A27AFD">
        <w:t xml:space="preserve"> Stéphanie Cabossioras, auditrice, pour instruire les suites à donner au réquisitoire ;</w:t>
      </w:r>
    </w:p>
    <w:p w:rsidR="008E3973" w:rsidRPr="00A27AFD" w:rsidRDefault="008E3973" w:rsidP="00D60B5B">
      <w:pPr>
        <w:keepLines/>
        <w:spacing w:before="360"/>
        <w:ind w:left="1134" w:firstLine="851"/>
        <w:jc w:val="both"/>
      </w:pPr>
      <w:r w:rsidRPr="00A27AFD">
        <w:t xml:space="preserve">Vu les observations adressées, le 20 février et le 12 juin 2014, par </w:t>
      </w:r>
      <w:r w:rsidR="00963DB9">
        <w:t>M. Y</w:t>
      </w:r>
      <w:r w:rsidRPr="00A27AFD">
        <w:t xml:space="preserve">, contrôleur budgétaire et comptable ministériel des ministères financiers, pour le compte de M. </w:t>
      </w:r>
      <w:r w:rsidR="00996248">
        <w:t>X</w:t>
      </w:r>
      <w:r w:rsidRPr="00A27AFD">
        <w:t> ;</w:t>
      </w:r>
    </w:p>
    <w:p w:rsidR="008E3973" w:rsidRPr="00A27AFD" w:rsidRDefault="008E3973" w:rsidP="00D60B5B">
      <w:pPr>
        <w:keepLines/>
        <w:spacing w:before="360"/>
        <w:ind w:left="1134" w:firstLine="851"/>
        <w:jc w:val="both"/>
      </w:pPr>
      <w:r w:rsidRPr="00A27AFD">
        <w:t xml:space="preserve">Vu les observations adressées, le 20 février 2014, par </w:t>
      </w:r>
      <w:r w:rsidR="00963DB9">
        <w:t>M. Z</w:t>
      </w:r>
      <w:r w:rsidRPr="00A27AFD">
        <w:t>, actuel président de l’EPFR ;</w:t>
      </w:r>
    </w:p>
    <w:p w:rsidR="00D2720D" w:rsidRPr="00A27AFD" w:rsidRDefault="00D2720D" w:rsidP="00D60B5B">
      <w:pPr>
        <w:keepLines/>
        <w:spacing w:before="360"/>
        <w:ind w:left="1134" w:firstLine="851"/>
        <w:jc w:val="both"/>
      </w:pPr>
      <w:r w:rsidRPr="00A27AFD">
        <w:t xml:space="preserve">Vu le rapport à fin d’arrêt </w:t>
      </w:r>
      <w:r w:rsidR="00D60B5B">
        <w:t xml:space="preserve">n° </w:t>
      </w:r>
      <w:r w:rsidR="00562116" w:rsidRPr="00A27AFD">
        <w:t>2014-529</w:t>
      </w:r>
      <w:r w:rsidR="00D60B5B">
        <w:t>-0</w:t>
      </w:r>
      <w:r w:rsidR="00562116" w:rsidRPr="00A27AFD">
        <w:t xml:space="preserve"> </w:t>
      </w:r>
      <w:r w:rsidRPr="00A27AFD">
        <w:t>de Mme Cabossioras</w:t>
      </w:r>
      <w:r w:rsidR="00562116" w:rsidRPr="00A27AFD">
        <w:t> ;</w:t>
      </w:r>
    </w:p>
    <w:p w:rsidR="00C03856" w:rsidRPr="00A27AFD" w:rsidRDefault="00C03856" w:rsidP="00D60B5B">
      <w:pPr>
        <w:keepLines/>
        <w:spacing w:before="360"/>
        <w:ind w:left="1134" w:firstLine="851"/>
        <w:jc w:val="both"/>
      </w:pPr>
      <w:r w:rsidRPr="00A27AFD">
        <w:t>Vu la lettre du 2 septembre 2014 du président de la Première chambre désignant M</w:t>
      </w:r>
      <w:r w:rsidRPr="00282BF7">
        <w:rPr>
          <w:vertAlign w:val="superscript"/>
        </w:rPr>
        <w:t>me</w:t>
      </w:r>
      <w:r w:rsidRPr="00A27AFD">
        <w:t xml:space="preserve"> Monique Saliou, conseillère maître, présidente de section, en qualité de réviseure ;</w:t>
      </w:r>
    </w:p>
    <w:p w:rsidR="0029411D" w:rsidRPr="00A27AFD" w:rsidRDefault="00982B94" w:rsidP="00D60B5B">
      <w:pPr>
        <w:keepLines/>
        <w:spacing w:before="360"/>
        <w:ind w:left="1134" w:firstLine="851"/>
        <w:jc w:val="both"/>
      </w:pPr>
      <w:r w:rsidRPr="00A27AFD">
        <w:t xml:space="preserve">Vu la lettre du 10 septembre 2014 informant M. </w:t>
      </w:r>
      <w:r w:rsidR="00996248">
        <w:t>X</w:t>
      </w:r>
      <w:r w:rsidRPr="00A27AFD">
        <w:t xml:space="preserve"> de la date de l’audience publique, ensemble l’accusé de réception de cette lettre en date du 11 septembre 2014 ;</w:t>
      </w:r>
    </w:p>
    <w:p w:rsidR="00562116" w:rsidRPr="00A27AFD" w:rsidRDefault="00562116" w:rsidP="00D60B5B">
      <w:pPr>
        <w:keepLines/>
        <w:spacing w:before="360"/>
        <w:ind w:left="1134" w:firstLine="851"/>
        <w:jc w:val="both"/>
      </w:pPr>
      <w:r w:rsidRPr="00A27AFD">
        <w:t xml:space="preserve">Vu les conclusions </w:t>
      </w:r>
      <w:r w:rsidR="00C03856" w:rsidRPr="00A27AFD">
        <w:t xml:space="preserve">n° 598 </w:t>
      </w:r>
      <w:r w:rsidRPr="00A27AFD">
        <w:t>du Pro</w:t>
      </w:r>
      <w:r w:rsidR="002A1784">
        <w:t xml:space="preserve">cureur général près la Cour des comptes </w:t>
      </w:r>
      <w:r w:rsidR="00C03856" w:rsidRPr="00A27AFD">
        <w:t>en date du 26 septembre 2014 ;</w:t>
      </w:r>
    </w:p>
    <w:p w:rsidR="0029411D" w:rsidRPr="00132C9B" w:rsidRDefault="0029411D" w:rsidP="00D60B5B">
      <w:pPr>
        <w:keepLines/>
        <w:spacing w:before="360"/>
        <w:ind w:left="1134" w:firstLine="851"/>
        <w:jc w:val="both"/>
      </w:pPr>
      <w:r w:rsidRPr="00A27AFD">
        <w:lastRenderedPageBreak/>
        <w:t>Entendus en audience publique, le 26 septembre 2014, M</w:t>
      </w:r>
      <w:r w:rsidRPr="00282BF7">
        <w:rPr>
          <w:vertAlign w:val="superscript"/>
        </w:rPr>
        <w:t>me</w:t>
      </w:r>
      <w:r w:rsidRPr="00A27AFD">
        <w:t xml:space="preserve"> </w:t>
      </w:r>
      <w:proofErr w:type="spellStart"/>
      <w:r w:rsidRPr="00A27AFD">
        <w:t>Cabossioras</w:t>
      </w:r>
      <w:proofErr w:type="spellEnd"/>
      <w:r w:rsidRPr="00A27AFD">
        <w:t>, en son rapport oral, M</w:t>
      </w:r>
      <w:r w:rsidRPr="00282BF7">
        <w:rPr>
          <w:vertAlign w:val="superscript"/>
        </w:rPr>
        <w:t>me</w:t>
      </w:r>
      <w:r w:rsidRPr="00A27AFD">
        <w:t xml:space="preserve"> Marie Pierre Cordier, première avocate générale</w:t>
      </w:r>
      <w:r w:rsidR="00282BF7">
        <w:t>,</w:t>
      </w:r>
      <w:r w:rsidRPr="00A27AFD">
        <w:t xml:space="preserve"> en ses conclusions </w:t>
      </w:r>
      <w:r w:rsidRPr="00132C9B">
        <w:t>orales</w:t>
      </w:r>
      <w:r w:rsidR="00D66119" w:rsidRPr="00132C9B">
        <w:t xml:space="preserve">, </w:t>
      </w:r>
      <w:r w:rsidR="00963DB9">
        <w:t>M. Z</w:t>
      </w:r>
      <w:r w:rsidR="00D66119" w:rsidRPr="00132C9B">
        <w:t>, président de l’EPFR</w:t>
      </w:r>
      <w:r w:rsidRPr="00132C9B">
        <w:t xml:space="preserve"> et M. </w:t>
      </w:r>
      <w:r w:rsidR="00996248">
        <w:t>X</w:t>
      </w:r>
      <w:r w:rsidRPr="00132C9B">
        <w:t xml:space="preserve"> en </w:t>
      </w:r>
      <w:r w:rsidR="00D66119" w:rsidRPr="00132C9B">
        <w:t>leurs</w:t>
      </w:r>
      <w:r w:rsidRPr="00132C9B">
        <w:t xml:space="preserve"> observations, </w:t>
      </w:r>
      <w:r w:rsidR="00D66119" w:rsidRPr="00132C9B">
        <w:t>ces derniers</w:t>
      </w:r>
      <w:r w:rsidRPr="00132C9B">
        <w:t xml:space="preserve"> ayant eu la parole en dernier ;</w:t>
      </w:r>
    </w:p>
    <w:p w:rsidR="0029411D" w:rsidRPr="00A27AFD" w:rsidRDefault="0029411D" w:rsidP="00D60B5B">
      <w:pPr>
        <w:keepLines/>
        <w:spacing w:before="360"/>
        <w:ind w:left="1134" w:firstLine="851"/>
        <w:jc w:val="both"/>
      </w:pPr>
      <w:r w:rsidRPr="00132C9B">
        <w:t xml:space="preserve">Vu le mémoire en défense déposé par </w:t>
      </w:r>
      <w:r w:rsidRPr="00A27AFD">
        <w:t xml:space="preserve">M. </w:t>
      </w:r>
      <w:r w:rsidR="00996248">
        <w:t>X</w:t>
      </w:r>
      <w:r w:rsidRPr="00A27AFD">
        <w:t xml:space="preserve"> au cours de l’audience publique ;</w:t>
      </w:r>
    </w:p>
    <w:p w:rsidR="0029411D" w:rsidRPr="00A27AFD" w:rsidRDefault="0029411D" w:rsidP="00D60B5B">
      <w:pPr>
        <w:keepLines/>
        <w:spacing w:before="360"/>
        <w:ind w:left="1134" w:firstLine="851"/>
        <w:jc w:val="both"/>
      </w:pPr>
      <w:r w:rsidRPr="00A27AFD">
        <w:t>Ayant délibéré hors la présence du rapporteur et du ministère public et après avoir entendu M</w:t>
      </w:r>
      <w:r w:rsidRPr="00282BF7">
        <w:rPr>
          <w:vertAlign w:val="superscript"/>
        </w:rPr>
        <w:t>me</w:t>
      </w:r>
      <w:r w:rsidRPr="00A27AFD">
        <w:t xml:space="preserve"> </w:t>
      </w:r>
      <w:r w:rsidR="00D60B5B">
        <w:t xml:space="preserve">Monique </w:t>
      </w:r>
      <w:r w:rsidRPr="00A27AFD">
        <w:t>Saliou, conseillère maitre, présidente de section, en ses observations ;</w:t>
      </w:r>
    </w:p>
    <w:p w:rsidR="0029411D" w:rsidRPr="00A27AFD" w:rsidRDefault="0029411D" w:rsidP="00D60B5B">
      <w:pPr>
        <w:keepLines/>
        <w:spacing w:before="360"/>
        <w:ind w:left="1134" w:firstLine="851"/>
        <w:jc w:val="both"/>
      </w:pPr>
    </w:p>
    <w:p w:rsidR="00ED7E02" w:rsidRPr="00A27AFD" w:rsidRDefault="00061418" w:rsidP="00D60B5B">
      <w:pPr>
        <w:keepLines/>
        <w:spacing w:before="360"/>
        <w:ind w:left="1134" w:firstLine="851"/>
        <w:jc w:val="both"/>
      </w:pPr>
      <w:r w:rsidRPr="00A27AFD">
        <w:t>Considérant que la responsabilité de l’agent comptable en charge des comptes des exercices 2008 à 2010</w:t>
      </w:r>
      <w:r w:rsidR="000E20DD" w:rsidRPr="00A27AFD">
        <w:t xml:space="preserve"> de l’EPFR,</w:t>
      </w:r>
      <w:r w:rsidRPr="00A27AFD">
        <w:t xml:space="preserve"> M. </w:t>
      </w:r>
      <w:r w:rsidR="007C0762">
        <w:t>X</w:t>
      </w:r>
      <w:r w:rsidRPr="00A27AFD">
        <w:t>, en fonction du 3</w:t>
      </w:r>
      <w:r w:rsidR="00282BF7">
        <w:t xml:space="preserve"> </w:t>
      </w:r>
      <w:r w:rsidRPr="00A27AFD">
        <w:t>décembre 2007 au 31 décembre 2010, n’est pas atteinte par la prescription de cinq ans instituée par l’article 60 de la loi du 23 février 1963 susvisée ;</w:t>
      </w:r>
    </w:p>
    <w:p w:rsidR="00061418" w:rsidRPr="00A27AFD" w:rsidRDefault="00061418" w:rsidP="00D60B5B">
      <w:pPr>
        <w:keepLines/>
        <w:spacing w:before="360"/>
        <w:ind w:left="1134" w:firstLine="851"/>
        <w:jc w:val="both"/>
        <w:rPr>
          <w:iCs/>
        </w:rPr>
      </w:pPr>
      <w:r w:rsidRPr="00A27AFD">
        <w:rPr>
          <w:iCs/>
        </w:rPr>
        <w:t>C</w:t>
      </w:r>
      <w:r w:rsidR="00ED7E02" w:rsidRPr="00A27AFD">
        <w:rPr>
          <w:iCs/>
        </w:rPr>
        <w:t>onsidérant que l’EPFR a reçu,</w:t>
      </w:r>
      <w:r w:rsidR="002C7C67">
        <w:rPr>
          <w:iCs/>
        </w:rPr>
        <w:t xml:space="preserve"> par l’article 2 de la</w:t>
      </w:r>
      <w:r w:rsidRPr="00A27AFD">
        <w:rPr>
          <w:iCs/>
        </w:rPr>
        <w:t xml:space="preserve"> loi susvisée du 28 novembre 1995, la mission, d’une part, de gérer le soutien financier apporté par l’Etat dans le cadre du cantonnement des actifs du Crédit </w:t>
      </w:r>
      <w:r w:rsidR="00282BF7">
        <w:rPr>
          <w:iCs/>
        </w:rPr>
        <w:t>l</w:t>
      </w:r>
      <w:r w:rsidRPr="00A27AFD">
        <w:rPr>
          <w:iCs/>
        </w:rPr>
        <w:t xml:space="preserve">yonnais, transférés au consortium de réalisation (CDR) et, d’autre part, de veiller à ce que soient respectés les intérêts de l’Etat dans le cadre du plan de redressement du Crédit </w:t>
      </w:r>
      <w:r w:rsidR="00282BF7">
        <w:rPr>
          <w:iCs/>
        </w:rPr>
        <w:t>l</w:t>
      </w:r>
      <w:r w:rsidRPr="00A27AFD">
        <w:rPr>
          <w:iCs/>
        </w:rPr>
        <w:t>yonnais ;</w:t>
      </w:r>
    </w:p>
    <w:p w:rsidR="00061418" w:rsidRPr="00A27AFD" w:rsidRDefault="00061418" w:rsidP="00D60B5B">
      <w:pPr>
        <w:keepLines/>
        <w:spacing w:before="360"/>
        <w:ind w:left="1134" w:firstLine="851"/>
        <w:jc w:val="both"/>
        <w:rPr>
          <w:iCs/>
        </w:rPr>
      </w:pPr>
      <w:r w:rsidRPr="00A27AFD">
        <w:rPr>
          <w:iCs/>
        </w:rPr>
        <w:t xml:space="preserve">Considérant que le CDR, filiale unique de l’EPFR, est la société de cantonnement prévue par </w:t>
      </w:r>
      <w:r w:rsidR="00E50724">
        <w:rPr>
          <w:iCs/>
        </w:rPr>
        <w:t xml:space="preserve">la </w:t>
      </w:r>
      <w:r w:rsidRPr="00A27AFD">
        <w:rPr>
          <w:iCs/>
        </w:rPr>
        <w:t xml:space="preserve">loi susvisée du 28 novembre 1995 ; que cette société a pour mission d’assurer la gestion extinctive des actifs compromis ou « à risque » reçus du Crédit </w:t>
      </w:r>
      <w:r w:rsidR="00282BF7">
        <w:rPr>
          <w:iCs/>
        </w:rPr>
        <w:t>l</w:t>
      </w:r>
      <w:r w:rsidRPr="00A27AFD">
        <w:rPr>
          <w:iCs/>
        </w:rPr>
        <w:t>yonnais ;</w:t>
      </w:r>
    </w:p>
    <w:p w:rsidR="00061418" w:rsidRPr="00A27AFD" w:rsidRDefault="00061418" w:rsidP="00D60B5B">
      <w:pPr>
        <w:keepLines/>
        <w:spacing w:before="360"/>
        <w:ind w:left="1134" w:firstLine="851"/>
        <w:jc w:val="both"/>
        <w:rPr>
          <w:iCs/>
        </w:rPr>
      </w:pPr>
      <w:r w:rsidRPr="00A27AFD">
        <w:rPr>
          <w:iCs/>
        </w:rPr>
        <w:t>Considérant que le protocole du 5 avril 1995</w:t>
      </w:r>
      <w:r w:rsidR="002C7C67">
        <w:rPr>
          <w:iCs/>
        </w:rPr>
        <w:t xml:space="preserve"> conclu entre l’EPF</w:t>
      </w:r>
      <w:r w:rsidR="00D54433">
        <w:rPr>
          <w:iCs/>
        </w:rPr>
        <w:t>R</w:t>
      </w:r>
      <w:r w:rsidR="002C7C67">
        <w:rPr>
          <w:iCs/>
        </w:rPr>
        <w:t>, le CDR et le Crédit lyonnais</w:t>
      </w:r>
      <w:r w:rsidRPr="00A27AFD">
        <w:rPr>
          <w:iCs/>
        </w:rPr>
        <w:t xml:space="preserve">, et en particulier son avenant n° 13, a organisé la prise en charge par l’EPFR des pertes constatées par le CDR dans le cadre de son activité de gestion ou de vente des actifs qui lui ont été transférés par le Crédit </w:t>
      </w:r>
      <w:r w:rsidR="00282BF7">
        <w:rPr>
          <w:iCs/>
        </w:rPr>
        <w:t>l</w:t>
      </w:r>
      <w:r w:rsidRPr="00A27AFD">
        <w:rPr>
          <w:iCs/>
        </w:rPr>
        <w:t>yonnais ; qu’il a notamment instauré un mécanisme de garantie de l’EPFR vis-à-vis de sa filiale pour les risques considérés comme « non chiffrables » (RNC) ;</w:t>
      </w:r>
    </w:p>
    <w:p w:rsidR="00061418" w:rsidRPr="00A27AFD" w:rsidRDefault="00061418" w:rsidP="00D60B5B">
      <w:pPr>
        <w:keepLines/>
        <w:spacing w:before="360"/>
        <w:ind w:left="1134" w:firstLine="851"/>
        <w:jc w:val="both"/>
        <w:rPr>
          <w:iCs/>
        </w:rPr>
      </w:pPr>
      <w:r w:rsidRPr="00A27AFD">
        <w:rPr>
          <w:iCs/>
        </w:rPr>
        <w:t>Considérant que le contentieux opposant le consortium de réalisation (CDR) et les l</w:t>
      </w:r>
      <w:r w:rsidR="002328DF">
        <w:rPr>
          <w:iCs/>
        </w:rPr>
        <w:t xml:space="preserve">iquidateurs du groupe </w:t>
      </w:r>
      <w:r w:rsidR="00CF1AEB">
        <w:rPr>
          <w:iCs/>
        </w:rPr>
        <w:t>A</w:t>
      </w:r>
      <w:r w:rsidR="002328DF">
        <w:rPr>
          <w:iCs/>
        </w:rPr>
        <w:t xml:space="preserve"> et l</w:t>
      </w:r>
      <w:r w:rsidRPr="00A27AFD">
        <w:rPr>
          <w:iCs/>
        </w:rPr>
        <w:t>es épo</w:t>
      </w:r>
      <w:r w:rsidR="0018539F">
        <w:rPr>
          <w:iCs/>
        </w:rPr>
        <w:t xml:space="preserve">ux </w:t>
      </w:r>
      <w:r w:rsidR="00CF1AEB">
        <w:rPr>
          <w:iCs/>
        </w:rPr>
        <w:t>A</w:t>
      </w:r>
      <w:r w:rsidR="0018539F">
        <w:rPr>
          <w:iCs/>
        </w:rPr>
        <w:t xml:space="preserve"> sur le dossier « Adidas</w:t>
      </w:r>
      <w:r w:rsidRPr="00A27AFD">
        <w:rPr>
          <w:iCs/>
        </w:rPr>
        <w:t xml:space="preserve"> » a donné lieu à un règlement par voie d’arbitrage ; que le tribunal arbitral, dans une sentence du 7 juillet 2008, a condamné le CDR à verser aux liquidateurs les sommes de 240 M€ (hors </w:t>
      </w:r>
      <w:r w:rsidRPr="00132C9B">
        <w:rPr>
          <w:iCs/>
        </w:rPr>
        <w:t>intérêt</w:t>
      </w:r>
      <w:r w:rsidR="00D66119" w:rsidRPr="00132C9B">
        <w:rPr>
          <w:iCs/>
        </w:rPr>
        <w:t>s</w:t>
      </w:r>
      <w:r w:rsidRPr="00132C9B">
        <w:rPr>
          <w:iCs/>
        </w:rPr>
        <w:t xml:space="preserve">) au </w:t>
      </w:r>
      <w:r w:rsidRPr="00A27AFD">
        <w:rPr>
          <w:iCs/>
        </w:rPr>
        <w:t xml:space="preserve">titre du préjudice matériel et de 45 M€ au titre du préjudice moral reconnu aux époux </w:t>
      </w:r>
      <w:r w:rsidR="00CF1AEB">
        <w:rPr>
          <w:iCs/>
        </w:rPr>
        <w:t>A</w:t>
      </w:r>
      <w:r w:rsidRPr="00A27AFD">
        <w:rPr>
          <w:iCs/>
        </w:rPr>
        <w:t> ; que deux sentences complémentaires en date du 27 novembre 2008 ont fixé, d’une part, le montant des intérêts sur l’indemnité de 240 M€ due au titre du préjudice matériel, et, d’autre part, le montant des frais et honoraires des liquidateurs ;</w:t>
      </w:r>
    </w:p>
    <w:p w:rsidR="00D60B5B" w:rsidRDefault="00061418" w:rsidP="00D60B5B">
      <w:pPr>
        <w:keepLines/>
        <w:spacing w:before="360"/>
        <w:ind w:left="1134" w:firstLine="851"/>
        <w:jc w:val="both"/>
        <w:rPr>
          <w:iCs/>
        </w:rPr>
      </w:pPr>
      <w:r w:rsidRPr="00A27AFD">
        <w:rPr>
          <w:iCs/>
        </w:rPr>
        <w:lastRenderedPageBreak/>
        <w:t>Considérant que ce contentieux, aux termes de la lettre du 17 mars 1999 du ministre de l’éco</w:t>
      </w:r>
      <w:r w:rsidR="00ED7E02" w:rsidRPr="00A27AFD">
        <w:rPr>
          <w:iCs/>
        </w:rPr>
        <w:t>nomie et des finances</w:t>
      </w:r>
      <w:r w:rsidR="002328DF">
        <w:rPr>
          <w:iCs/>
        </w:rPr>
        <w:t xml:space="preserve"> adressée au président du Crédit </w:t>
      </w:r>
      <w:r w:rsidR="00282BF7">
        <w:rPr>
          <w:iCs/>
        </w:rPr>
        <w:t>l</w:t>
      </w:r>
      <w:r w:rsidR="002328DF">
        <w:rPr>
          <w:iCs/>
        </w:rPr>
        <w:t>yonnais et au président du directoire du CDR</w:t>
      </w:r>
      <w:r w:rsidRPr="00A27AFD">
        <w:rPr>
          <w:iCs/>
        </w:rPr>
        <w:t>, relevait</w:t>
      </w:r>
      <w:r w:rsidR="00492735" w:rsidRPr="00A27AFD">
        <w:rPr>
          <w:iCs/>
        </w:rPr>
        <w:t>, pour sa partie financière,</w:t>
      </w:r>
      <w:r w:rsidRPr="00A27AFD">
        <w:rPr>
          <w:iCs/>
        </w:rPr>
        <w:t xml:space="preserve"> de la catégorie des « risques non chiffrables » couverts par la garantie de l’Etat ; que ce mécanisme de garantie, précisé par l’avenant n° 13 au protocole du 5 avril 1995, conduisait à la prise en charge directe par l’EPFR des risques correspondants, ces derniers donnant lieu, lors de leur survenance, à un versement au CDR (par tirage sur le prêt participatif accordé par l’EPFR au CDR et par abandon simultané de la créance correspondante par l’EPFR) ;</w:t>
      </w:r>
    </w:p>
    <w:p w:rsidR="00CE29CE" w:rsidRDefault="00061418" w:rsidP="00CE29CE">
      <w:pPr>
        <w:keepLines/>
        <w:spacing w:before="360"/>
        <w:ind w:left="1134" w:firstLine="851"/>
        <w:jc w:val="both"/>
        <w:rPr>
          <w:iCs/>
        </w:rPr>
      </w:pPr>
      <w:r w:rsidRPr="00A27AFD">
        <w:rPr>
          <w:iCs/>
        </w:rPr>
        <w:t xml:space="preserve">Considérant que cette prise en charge s’est traduite par deux versements effectués au profit du CDR ; que le premier versement en date du 4 septembre 2008 pour un montant de 152 872 698,43 € correspondait à la condamnation du CDR au titre du préjudice matériel (240 M€), déduction faite de la créance détenue par le CDR sur la liquidation </w:t>
      </w:r>
      <w:r w:rsidR="00CF1AEB">
        <w:rPr>
          <w:iCs/>
        </w:rPr>
        <w:t>A</w:t>
      </w:r>
      <w:r w:rsidR="004B75EA" w:rsidRPr="00A27AFD">
        <w:t xml:space="preserve"> d’un montant de 87 127 301,57 €</w:t>
      </w:r>
      <w:r w:rsidRPr="00A27AFD">
        <w:rPr>
          <w:iCs/>
        </w:rPr>
        <w:t> ;</w:t>
      </w:r>
    </w:p>
    <w:p w:rsidR="00CE29CE" w:rsidRDefault="00061418" w:rsidP="00CE29CE">
      <w:pPr>
        <w:keepLines/>
        <w:spacing w:before="360"/>
        <w:ind w:left="1134" w:firstLine="851"/>
        <w:jc w:val="both"/>
        <w:rPr>
          <w:iCs/>
        </w:rPr>
      </w:pPr>
      <w:r w:rsidRPr="00A27AFD">
        <w:rPr>
          <w:iCs/>
        </w:rPr>
        <w:t>Considérant que le second versement en date du 3 avril 2009, d’un montant de 116 864 359,40</w:t>
      </w:r>
      <w:r w:rsidR="00282BF7">
        <w:rPr>
          <w:iCs/>
        </w:rPr>
        <w:t> </w:t>
      </w:r>
      <w:r w:rsidRPr="00A27AFD">
        <w:rPr>
          <w:iCs/>
        </w:rPr>
        <w:t>€, intégrait les autres volets financiers de la condamnation, dont notamment les intérêts versés au titre du préjudice matériel (105</w:t>
      </w:r>
      <w:r w:rsidR="00282BF7">
        <w:rPr>
          <w:iCs/>
        </w:rPr>
        <w:t> </w:t>
      </w:r>
      <w:r w:rsidRPr="00A27AFD">
        <w:rPr>
          <w:iCs/>
        </w:rPr>
        <w:t>M€) et l’indemnité due au titre du préjudice moral (45</w:t>
      </w:r>
      <w:r w:rsidR="00282BF7">
        <w:rPr>
          <w:iCs/>
        </w:rPr>
        <w:t> </w:t>
      </w:r>
      <w:r w:rsidRPr="00A27AFD">
        <w:rPr>
          <w:iCs/>
        </w:rPr>
        <w:t>M€),</w:t>
      </w:r>
      <w:r w:rsidR="00ED7E02" w:rsidRPr="00A27AFD">
        <w:rPr>
          <w:iCs/>
        </w:rPr>
        <w:t xml:space="preserve"> déduction faite d’un montant de 12</w:t>
      </w:r>
      <w:r w:rsidR="00282BF7">
        <w:rPr>
          <w:iCs/>
        </w:rPr>
        <w:t> </w:t>
      </w:r>
      <w:r w:rsidR="00ED7E02" w:rsidRPr="00A27AFD">
        <w:rPr>
          <w:iCs/>
        </w:rPr>
        <w:t>M€ pris</w:t>
      </w:r>
      <w:r w:rsidRPr="00A27AFD">
        <w:rPr>
          <w:iCs/>
        </w:rPr>
        <w:t xml:space="preserve"> en charge par les liquidateurs sur le montant de la condamnation, ainsi que des provisions constituées dans les comptes du CDR au titre</w:t>
      </w:r>
      <w:r w:rsidR="0018539F">
        <w:rPr>
          <w:iCs/>
        </w:rPr>
        <w:t xml:space="preserve"> du contentieux « </w:t>
      </w:r>
      <w:r w:rsidR="00CF1AEB">
        <w:rPr>
          <w:iCs/>
        </w:rPr>
        <w:t>A</w:t>
      </w:r>
      <w:r w:rsidR="0018539F">
        <w:rPr>
          <w:iCs/>
        </w:rPr>
        <w:t xml:space="preserve"> / Adidas</w:t>
      </w:r>
      <w:r w:rsidRPr="00A27AFD">
        <w:rPr>
          <w:iCs/>
        </w:rPr>
        <w:t> » ;</w:t>
      </w:r>
    </w:p>
    <w:p w:rsidR="00CE29CE" w:rsidRDefault="002328DF" w:rsidP="000177A3">
      <w:pPr>
        <w:keepLines/>
        <w:spacing w:before="480"/>
        <w:ind w:left="1134" w:firstLine="851"/>
        <w:jc w:val="both"/>
        <w:rPr>
          <w:b/>
          <w:iCs/>
        </w:rPr>
      </w:pPr>
      <w:r w:rsidRPr="001E5D8F">
        <w:rPr>
          <w:b/>
          <w:iCs/>
        </w:rPr>
        <w:t>Première charge : v</w:t>
      </w:r>
      <w:r w:rsidR="004B75EA" w:rsidRPr="001E5D8F">
        <w:rPr>
          <w:b/>
          <w:iCs/>
        </w:rPr>
        <w:t xml:space="preserve">ersement du 4 </w:t>
      </w:r>
      <w:r w:rsidR="00D66119" w:rsidRPr="001E5D8F">
        <w:rPr>
          <w:b/>
          <w:iCs/>
        </w:rPr>
        <w:t>s</w:t>
      </w:r>
      <w:r w:rsidR="004B75EA" w:rsidRPr="001E5D8F">
        <w:rPr>
          <w:b/>
          <w:iCs/>
        </w:rPr>
        <w:t>eptembre 2008</w:t>
      </w:r>
    </w:p>
    <w:p w:rsidR="00CE29CE" w:rsidRDefault="00593FA7" w:rsidP="00CE29CE">
      <w:pPr>
        <w:keepLines/>
        <w:spacing w:before="360"/>
        <w:ind w:left="1134" w:firstLine="851"/>
        <w:jc w:val="both"/>
      </w:pPr>
      <w:r w:rsidRPr="00A27AFD">
        <w:t>Considérant</w:t>
      </w:r>
      <w:r w:rsidR="00E145D9" w:rsidRPr="00A27AFD">
        <w:t xml:space="preserve"> que</w:t>
      </w:r>
      <w:r w:rsidRPr="00A27AFD">
        <w:t>, par virement en date du 3 septembre 2008, le comptable a pris en charge le mandat n° 13 du 4 septembre 2008 d’un montant de 152 872 698,43</w:t>
      </w:r>
      <w:r w:rsidR="00282BF7">
        <w:t> </w:t>
      </w:r>
      <w:r w:rsidRPr="00A27AFD">
        <w:t>€, au titre de l’appel en garantie du CDR </w:t>
      </w:r>
      <w:r w:rsidR="00764E6A" w:rsidRPr="00A27AFD">
        <w:t>; que ce mandat était appuyé</w:t>
      </w:r>
      <w:r w:rsidR="00BF36E9" w:rsidRPr="00A27AFD">
        <w:t>, à l’exclusion de toute autr</w:t>
      </w:r>
      <w:r w:rsidR="00764E6A" w:rsidRPr="00A27AFD">
        <w:t>e pièce justificative, d’</w:t>
      </w:r>
      <w:r w:rsidR="00BF36E9" w:rsidRPr="00A27AFD">
        <w:t>une</w:t>
      </w:r>
      <w:r w:rsidRPr="00A27AFD">
        <w:t xml:space="preserve"> lettre du président du CDR du 25 août 2008 </w:t>
      </w:r>
      <w:r w:rsidR="00A60042" w:rsidRPr="00A27AFD">
        <w:t xml:space="preserve">au président de l’EPFR </w:t>
      </w:r>
      <w:r w:rsidRPr="00A27AFD">
        <w:t>rappelant la condamnation par le tribunal arbitral et sollicitant la prise en charge de cette condamnation par l’EPFR, au titre des risque</w:t>
      </w:r>
      <w:r w:rsidR="00BF36E9" w:rsidRPr="00A27AFD">
        <w:t>s non chiffrables</w:t>
      </w:r>
      <w:r w:rsidR="00282BF7">
        <w:t xml:space="preserve"> </w:t>
      </w:r>
      <w:r w:rsidR="00BF36E9" w:rsidRPr="00A27AFD">
        <w:t>ainsi que</w:t>
      </w:r>
      <w:r w:rsidRPr="00A27AFD">
        <w:t xml:space="preserve"> </w:t>
      </w:r>
      <w:r w:rsidR="00764E6A" w:rsidRPr="00A27AFD">
        <w:t xml:space="preserve">de </w:t>
      </w:r>
      <w:r w:rsidRPr="00A27AFD">
        <w:t>la lettre du ministre de l’économie et des finances en date du 17 mars 1999</w:t>
      </w:r>
      <w:r w:rsidR="00E145D9" w:rsidRPr="00A27AFD">
        <w:t> ;</w:t>
      </w:r>
    </w:p>
    <w:p w:rsidR="00C34146" w:rsidRPr="00A27AFD" w:rsidRDefault="00E145D9" w:rsidP="00CE29CE">
      <w:pPr>
        <w:keepLines/>
        <w:spacing w:before="360"/>
        <w:ind w:left="1134" w:firstLine="851"/>
        <w:jc w:val="both"/>
      </w:pPr>
      <w:r w:rsidRPr="00A27AFD">
        <w:t xml:space="preserve">Considérant que le réquisitoire </w:t>
      </w:r>
      <w:r w:rsidR="00C34146" w:rsidRPr="00A27AFD">
        <w:t>du Pr</w:t>
      </w:r>
      <w:r w:rsidR="002A1784">
        <w:t>ocureur général près la Cour des comptes</w:t>
      </w:r>
      <w:r w:rsidR="00C34146" w:rsidRPr="00A27AFD">
        <w:t xml:space="preserve"> </w:t>
      </w:r>
      <w:r w:rsidR="0032493D" w:rsidRPr="00A27AFD">
        <w:t xml:space="preserve">considère qu’il y a lieu de mettre en jeu la responsabilité personnelle et pécuniaire de M. </w:t>
      </w:r>
      <w:r w:rsidR="00996248">
        <w:t>X</w:t>
      </w:r>
      <w:r w:rsidR="0032493D" w:rsidRPr="00A27AFD">
        <w:t xml:space="preserve"> pour </w:t>
      </w:r>
      <w:r w:rsidR="00C34146" w:rsidRPr="00A27AFD">
        <w:t>plusieurs manquements ;</w:t>
      </w:r>
    </w:p>
    <w:p w:rsidR="00ED5B76" w:rsidRPr="00A27AFD" w:rsidRDefault="00C34146" w:rsidP="000E32DE">
      <w:pPr>
        <w:pStyle w:val="Corpsdetexte"/>
        <w:keepLines w:val="0"/>
        <w:ind w:firstLine="851"/>
        <w:rPr>
          <w:rFonts w:ascii="Times New Roman" w:hAnsi="Times New Roman" w:cs="Times New Roman"/>
        </w:rPr>
      </w:pPr>
      <w:r w:rsidRPr="00A27AFD">
        <w:rPr>
          <w:rFonts w:ascii="Times New Roman" w:hAnsi="Times New Roman" w:cs="Times New Roman"/>
        </w:rPr>
        <w:t xml:space="preserve">Considérant que le réquisitoire </w:t>
      </w:r>
      <w:r w:rsidR="00E145D9" w:rsidRPr="00A27AFD">
        <w:rPr>
          <w:rFonts w:ascii="Times New Roman" w:hAnsi="Times New Roman" w:cs="Times New Roman"/>
        </w:rPr>
        <w:t>relève</w:t>
      </w:r>
      <w:r w:rsidR="00C8504C" w:rsidRPr="00A27AFD">
        <w:rPr>
          <w:rFonts w:ascii="Times New Roman" w:hAnsi="Times New Roman" w:cs="Times New Roman"/>
        </w:rPr>
        <w:t>, en premier lieu,</w:t>
      </w:r>
      <w:r w:rsidR="00E145D9" w:rsidRPr="00A27AFD">
        <w:rPr>
          <w:rFonts w:ascii="Times New Roman" w:hAnsi="Times New Roman" w:cs="Times New Roman"/>
        </w:rPr>
        <w:t xml:space="preserve"> </w:t>
      </w:r>
      <w:r w:rsidR="00BF36E9" w:rsidRPr="00A27AFD">
        <w:rPr>
          <w:rFonts w:ascii="Times New Roman" w:hAnsi="Times New Roman" w:cs="Times New Roman"/>
        </w:rPr>
        <w:t xml:space="preserve">que les conséquences financières du contentieux </w:t>
      </w:r>
      <w:r w:rsidR="00D72F27" w:rsidRPr="00A27AFD">
        <w:rPr>
          <w:rFonts w:ascii="Times New Roman" w:hAnsi="Times New Roman" w:cs="Times New Roman"/>
        </w:rPr>
        <w:t xml:space="preserve">né des conditions de la cession en 1993, par le groupe </w:t>
      </w:r>
      <w:r w:rsidR="00CF1AEB">
        <w:rPr>
          <w:rFonts w:ascii="Times New Roman" w:hAnsi="Times New Roman" w:cs="Times New Roman"/>
        </w:rPr>
        <w:t>A</w:t>
      </w:r>
      <w:r w:rsidR="00D72F27" w:rsidRPr="00A27AFD">
        <w:rPr>
          <w:rFonts w:ascii="Times New Roman" w:hAnsi="Times New Roman" w:cs="Times New Roman"/>
        </w:rPr>
        <w:t xml:space="preserve">, </w:t>
      </w:r>
      <w:r w:rsidR="00C524A2">
        <w:rPr>
          <w:rFonts w:ascii="Times New Roman" w:hAnsi="Times New Roman" w:cs="Times New Roman"/>
        </w:rPr>
        <w:t>de la société Adidas</w:t>
      </w:r>
      <w:r w:rsidRPr="00A27AFD">
        <w:rPr>
          <w:rFonts w:ascii="Times New Roman" w:hAnsi="Times New Roman" w:cs="Times New Roman"/>
        </w:rPr>
        <w:t xml:space="preserve"> sont</w:t>
      </w:r>
      <w:r w:rsidR="00BF36E9" w:rsidRPr="00A27AFD">
        <w:rPr>
          <w:rFonts w:ascii="Times New Roman" w:hAnsi="Times New Roman" w:cs="Times New Roman"/>
        </w:rPr>
        <w:t xml:space="preserve"> mentionnée</w:t>
      </w:r>
      <w:r w:rsidRPr="00A27AFD">
        <w:rPr>
          <w:rFonts w:ascii="Times New Roman" w:hAnsi="Times New Roman" w:cs="Times New Roman"/>
        </w:rPr>
        <w:t>s</w:t>
      </w:r>
      <w:r w:rsidR="00BF36E9" w:rsidRPr="00A27AFD">
        <w:rPr>
          <w:rFonts w:ascii="Times New Roman" w:hAnsi="Times New Roman" w:cs="Times New Roman"/>
        </w:rPr>
        <w:t xml:space="preserve"> dans la lettre précitée du ministre de l’économie et des finances du 17 mars 1999 ; que l’objet de cette </w:t>
      </w:r>
      <w:r w:rsidR="00BE514D">
        <w:rPr>
          <w:rFonts w:ascii="Times New Roman" w:hAnsi="Times New Roman" w:cs="Times New Roman"/>
        </w:rPr>
        <w:t xml:space="preserve">lettre était notamment d’inclure le </w:t>
      </w:r>
      <w:r w:rsidR="00C524A2">
        <w:rPr>
          <w:rFonts w:ascii="Times New Roman" w:hAnsi="Times New Roman" w:cs="Times New Roman"/>
        </w:rPr>
        <w:t>risque « Adidas</w:t>
      </w:r>
      <w:r w:rsidR="00BE514D">
        <w:rPr>
          <w:rFonts w:ascii="Times New Roman" w:hAnsi="Times New Roman" w:cs="Times New Roman"/>
        </w:rPr>
        <w:t> » dans</w:t>
      </w:r>
      <w:r w:rsidR="00BF36E9" w:rsidRPr="00A27AFD">
        <w:rPr>
          <w:rFonts w:ascii="Times New Roman" w:hAnsi="Times New Roman" w:cs="Times New Roman"/>
        </w:rPr>
        <w:t xml:space="preserve"> le ch</w:t>
      </w:r>
      <w:r w:rsidR="00BE514D">
        <w:rPr>
          <w:rFonts w:ascii="Times New Roman" w:hAnsi="Times New Roman" w:cs="Times New Roman"/>
        </w:rPr>
        <w:t>amp de la garantie de l’</w:t>
      </w:r>
      <w:r w:rsidR="00282BF7">
        <w:rPr>
          <w:rFonts w:ascii="Times New Roman" w:hAnsi="Times New Roman" w:cs="Times New Roman"/>
        </w:rPr>
        <w:t>État ;</w:t>
      </w:r>
      <w:r w:rsidR="00890644">
        <w:rPr>
          <w:rFonts w:ascii="Times New Roman" w:hAnsi="Times New Roman" w:cs="Times New Roman"/>
        </w:rPr>
        <w:t xml:space="preserve"> qu’aux termes de la lettre du ministre,</w:t>
      </w:r>
      <w:r w:rsidR="008455F6" w:rsidRPr="00A27AFD">
        <w:rPr>
          <w:rFonts w:ascii="Times New Roman" w:hAnsi="Times New Roman" w:cs="Times New Roman"/>
        </w:rPr>
        <w:t xml:space="preserve"> cette décision « </w:t>
      </w:r>
      <w:r w:rsidR="008455F6" w:rsidRPr="00A27AFD">
        <w:rPr>
          <w:rFonts w:ascii="Times New Roman" w:hAnsi="Times New Roman" w:cs="Times New Roman"/>
          <w:i/>
        </w:rPr>
        <w:t>s’entendait cependant</w:t>
      </w:r>
      <w:r w:rsidR="00282BF7">
        <w:rPr>
          <w:rFonts w:ascii="Times New Roman" w:hAnsi="Times New Roman" w:cs="Times New Roman"/>
          <w:i/>
        </w:rPr>
        <w:t xml:space="preserve"> </w:t>
      </w:r>
      <w:r w:rsidR="008455F6" w:rsidRPr="00A27AFD">
        <w:rPr>
          <w:rFonts w:ascii="Times New Roman" w:hAnsi="Times New Roman" w:cs="Times New Roman"/>
          <w:i/>
        </w:rPr>
        <w:t>sous réserve</w:t>
      </w:r>
      <w:r w:rsidR="008455F6" w:rsidRPr="00A27AFD">
        <w:rPr>
          <w:rFonts w:ascii="Times New Roman" w:hAnsi="Times New Roman" w:cs="Times New Roman"/>
        </w:rPr>
        <w:t xml:space="preserve"> de</w:t>
      </w:r>
      <w:r w:rsidR="00BF36E9" w:rsidRPr="00A27AFD">
        <w:rPr>
          <w:rFonts w:ascii="Times New Roman" w:hAnsi="Times New Roman" w:cs="Times New Roman"/>
          <w:i/>
        </w:rPr>
        <w:t xml:space="preserve"> la contribution forfaitaire que le Crédit </w:t>
      </w:r>
      <w:r w:rsidR="00282BF7">
        <w:rPr>
          <w:rFonts w:ascii="Times New Roman" w:hAnsi="Times New Roman" w:cs="Times New Roman"/>
          <w:i/>
        </w:rPr>
        <w:t>l</w:t>
      </w:r>
      <w:r w:rsidR="00BF36E9" w:rsidRPr="00A27AFD">
        <w:rPr>
          <w:rFonts w:ascii="Times New Roman" w:hAnsi="Times New Roman" w:cs="Times New Roman"/>
          <w:i/>
        </w:rPr>
        <w:t>yonnais a accepté d’apporter au titre du dédommagement du CDR en cas de condamnation, à hauteur de 12 M€, ou, s’il est inférieur, du montant de la condamnation </w:t>
      </w:r>
      <w:r w:rsidR="00BF36E9" w:rsidRPr="00A27AFD">
        <w:rPr>
          <w:rFonts w:ascii="Times New Roman" w:hAnsi="Times New Roman" w:cs="Times New Roman"/>
        </w:rPr>
        <w:t>» ;</w:t>
      </w:r>
    </w:p>
    <w:p w:rsidR="00BF36E9" w:rsidRPr="00A27AFD" w:rsidRDefault="00E97F19" w:rsidP="00D60B5B">
      <w:pPr>
        <w:pStyle w:val="Corpsdetexte"/>
        <w:keepLines w:val="0"/>
        <w:ind w:firstLine="851"/>
        <w:rPr>
          <w:rFonts w:ascii="Times New Roman" w:hAnsi="Times New Roman" w:cs="Times New Roman"/>
        </w:rPr>
      </w:pPr>
      <w:r w:rsidRPr="00A27AFD">
        <w:rPr>
          <w:rFonts w:ascii="Times New Roman" w:hAnsi="Times New Roman" w:cs="Times New Roman"/>
        </w:rPr>
        <w:lastRenderedPageBreak/>
        <w:t>Considérant que le réquisitoire constate</w:t>
      </w:r>
      <w:r w:rsidR="00ED5B76" w:rsidRPr="00A27AFD">
        <w:rPr>
          <w:rFonts w:ascii="Times New Roman" w:hAnsi="Times New Roman" w:cs="Times New Roman"/>
        </w:rPr>
        <w:t xml:space="preserve"> qu’une résolution</w:t>
      </w:r>
      <w:r w:rsidR="001F59C4" w:rsidRPr="00A27AFD">
        <w:rPr>
          <w:rFonts w:ascii="Times New Roman" w:hAnsi="Times New Roman" w:cs="Times New Roman"/>
        </w:rPr>
        <w:t xml:space="preserve"> </w:t>
      </w:r>
      <w:r w:rsidR="00ED5B76" w:rsidRPr="00A27AFD">
        <w:rPr>
          <w:rFonts w:ascii="Times New Roman" w:hAnsi="Times New Roman" w:cs="Times New Roman"/>
        </w:rPr>
        <w:t>du conseil d’administration de l’EPFR</w:t>
      </w:r>
      <w:r w:rsidR="00161FFD">
        <w:rPr>
          <w:rFonts w:ascii="Times New Roman" w:hAnsi="Times New Roman" w:cs="Times New Roman"/>
        </w:rPr>
        <w:t>,</w:t>
      </w:r>
      <w:r w:rsidR="00ED5B76" w:rsidRPr="00A27AFD">
        <w:rPr>
          <w:rFonts w:ascii="Times New Roman" w:hAnsi="Times New Roman" w:cs="Times New Roman"/>
        </w:rPr>
        <w:t xml:space="preserve"> votée a</w:t>
      </w:r>
      <w:r w:rsidR="00764E6A" w:rsidRPr="00A27AFD">
        <w:rPr>
          <w:rFonts w:ascii="Times New Roman" w:hAnsi="Times New Roman" w:cs="Times New Roman"/>
        </w:rPr>
        <w:t>u</w:t>
      </w:r>
      <w:r w:rsidR="00ED5B76" w:rsidRPr="00A27AFD">
        <w:rPr>
          <w:rFonts w:ascii="Times New Roman" w:hAnsi="Times New Roman" w:cs="Times New Roman"/>
        </w:rPr>
        <w:t xml:space="preserve"> cours de sa séance du 10 octobre 2007</w:t>
      </w:r>
      <w:r w:rsidR="00161FFD">
        <w:rPr>
          <w:rFonts w:ascii="Times New Roman" w:hAnsi="Times New Roman" w:cs="Times New Roman"/>
        </w:rPr>
        <w:t>,</w:t>
      </w:r>
      <w:r w:rsidR="00ED5B76" w:rsidRPr="00A27AFD">
        <w:rPr>
          <w:rFonts w:ascii="Times New Roman" w:hAnsi="Times New Roman" w:cs="Times New Roman"/>
        </w:rPr>
        <w:t xml:space="preserve"> mentionne la « </w:t>
      </w:r>
      <w:r w:rsidR="00ED5B76" w:rsidRPr="00A27AFD">
        <w:rPr>
          <w:rFonts w:ascii="Times New Roman" w:hAnsi="Times New Roman" w:cs="Times New Roman"/>
          <w:i/>
        </w:rPr>
        <w:t xml:space="preserve">non opposition de l’EPFR à l’organisation de l’arbitrage par l’EPFR sous la condition d’obtenir l’accord écrit du Crédit </w:t>
      </w:r>
      <w:r w:rsidR="00282BF7">
        <w:rPr>
          <w:rFonts w:ascii="Times New Roman" w:hAnsi="Times New Roman" w:cs="Times New Roman"/>
          <w:i/>
        </w:rPr>
        <w:t>l</w:t>
      </w:r>
      <w:r w:rsidR="00ED5B76" w:rsidRPr="00A27AFD">
        <w:rPr>
          <w:rFonts w:ascii="Times New Roman" w:hAnsi="Times New Roman" w:cs="Times New Roman"/>
          <w:i/>
        </w:rPr>
        <w:t>yonnais sur la prise en charge de la contribution forfaitaire en cas de condamnation avant la régularisation du compromis d’arbitrage et l’engagement de la procédure d’arbitrage » </w:t>
      </w:r>
      <w:r w:rsidR="00ED5B76" w:rsidRPr="00A27AFD">
        <w:rPr>
          <w:rFonts w:ascii="Times New Roman" w:hAnsi="Times New Roman" w:cs="Times New Roman"/>
        </w:rPr>
        <w:t>; que le président de l’EPFR a été destinataire, le 23</w:t>
      </w:r>
      <w:r w:rsidR="00282BF7">
        <w:rPr>
          <w:rFonts w:ascii="Times New Roman" w:hAnsi="Times New Roman" w:cs="Times New Roman"/>
        </w:rPr>
        <w:t xml:space="preserve"> </w:t>
      </w:r>
      <w:r w:rsidR="00ED5B76" w:rsidRPr="00A27AFD">
        <w:rPr>
          <w:rFonts w:ascii="Times New Roman" w:hAnsi="Times New Roman" w:cs="Times New Roman"/>
        </w:rPr>
        <w:t>octobre</w:t>
      </w:r>
      <w:r w:rsidR="00282BF7">
        <w:rPr>
          <w:rFonts w:ascii="Times New Roman" w:hAnsi="Times New Roman" w:cs="Times New Roman"/>
        </w:rPr>
        <w:t xml:space="preserve"> </w:t>
      </w:r>
      <w:r w:rsidR="00ED5B76" w:rsidRPr="00A27AFD">
        <w:rPr>
          <w:rFonts w:ascii="Times New Roman" w:hAnsi="Times New Roman" w:cs="Times New Roman"/>
        </w:rPr>
        <w:t>2007, d’une instruction écrite de la ministre de l’économie et des finances lui demandant : « </w:t>
      </w:r>
      <w:r w:rsidR="00ED5B76" w:rsidRPr="00A27AFD">
        <w:rPr>
          <w:rFonts w:ascii="Times New Roman" w:hAnsi="Times New Roman" w:cs="Times New Roman"/>
          <w:i/>
        </w:rPr>
        <w:t>de bien vouloir interpréter les instructions que je vous ai données préalablement à ce conseil </w:t>
      </w:r>
      <w:r w:rsidR="00ED5B76" w:rsidRPr="00A27AFD">
        <w:rPr>
          <w:rFonts w:ascii="Times New Roman" w:hAnsi="Times New Roman" w:cs="Times New Roman"/>
        </w:rPr>
        <w:t xml:space="preserve">» (celui du 10 octobre 2007) </w:t>
      </w:r>
      <w:r w:rsidR="00ED5B76" w:rsidRPr="00A27AFD">
        <w:rPr>
          <w:rFonts w:ascii="Times New Roman" w:hAnsi="Times New Roman" w:cs="Times New Roman"/>
          <w:i/>
        </w:rPr>
        <w:t xml:space="preserve">« de la manière suivante : la confirmation écrite de l’accord du Crédit </w:t>
      </w:r>
      <w:r w:rsidR="00282BF7">
        <w:rPr>
          <w:rFonts w:ascii="Times New Roman" w:hAnsi="Times New Roman" w:cs="Times New Roman"/>
          <w:i/>
        </w:rPr>
        <w:t>l</w:t>
      </w:r>
      <w:r w:rsidR="00ED5B76" w:rsidRPr="00A27AFD">
        <w:rPr>
          <w:rFonts w:ascii="Times New Roman" w:hAnsi="Times New Roman" w:cs="Times New Roman"/>
          <w:i/>
        </w:rPr>
        <w:t>yonnais pour dédommager le CDR à hauteur de 12 M€ du montant de la condamnation éventuelle par le tribunal devra avoir été obtenue, au plus tard, au moment du prononcé de la sentence</w:t>
      </w:r>
      <w:r w:rsidR="00ED5B76" w:rsidRPr="00A27AFD">
        <w:rPr>
          <w:rFonts w:ascii="Times New Roman" w:hAnsi="Times New Roman" w:cs="Times New Roman"/>
        </w:rPr>
        <w:t> »</w:t>
      </w:r>
      <w:r w:rsidR="00B54E9A" w:rsidRPr="00A27AFD">
        <w:rPr>
          <w:rFonts w:ascii="Times New Roman" w:hAnsi="Times New Roman" w:cs="Times New Roman"/>
        </w:rPr>
        <w:t> ;</w:t>
      </w:r>
      <w:r w:rsidR="00BF36E9" w:rsidRPr="00A27AFD">
        <w:rPr>
          <w:rFonts w:ascii="Times New Roman" w:hAnsi="Times New Roman" w:cs="Times New Roman"/>
        </w:rPr>
        <w:t xml:space="preserve"> que ces nouvelles modalités de mise en œuvre de l’arbitrage, venant modifier la délibération du 10 octobre 2007, ont été soumises au conseil d’administration de l’EPFR lors de sa séance du </w:t>
      </w:r>
      <w:r w:rsidR="00B54E9A" w:rsidRPr="00A27AFD">
        <w:rPr>
          <w:rFonts w:ascii="Times New Roman" w:hAnsi="Times New Roman" w:cs="Times New Roman"/>
        </w:rPr>
        <w:t>18 juin 2008 sous la forme d’</w:t>
      </w:r>
      <w:r w:rsidR="00BF36E9" w:rsidRPr="00A27AFD">
        <w:rPr>
          <w:rFonts w:ascii="Times New Roman" w:hAnsi="Times New Roman" w:cs="Times New Roman"/>
        </w:rPr>
        <w:t xml:space="preserve">une nouvelle résolution </w:t>
      </w:r>
      <w:r w:rsidR="00B54E9A" w:rsidRPr="00A27AFD">
        <w:rPr>
          <w:rFonts w:ascii="Times New Roman" w:hAnsi="Times New Roman" w:cs="Times New Roman"/>
        </w:rPr>
        <w:t>ainsi rédigée</w:t>
      </w:r>
      <w:r w:rsidR="00BF36E9" w:rsidRPr="00A27AFD">
        <w:rPr>
          <w:rFonts w:ascii="Times New Roman" w:hAnsi="Times New Roman" w:cs="Times New Roman"/>
        </w:rPr>
        <w:t> : « </w:t>
      </w:r>
      <w:r w:rsidR="00282BF7">
        <w:rPr>
          <w:rFonts w:ascii="Times New Roman" w:hAnsi="Times New Roman" w:cs="Times New Roman"/>
          <w:i/>
        </w:rPr>
        <w:t>L</w:t>
      </w:r>
      <w:r w:rsidR="00BF36E9" w:rsidRPr="00A27AFD">
        <w:rPr>
          <w:rFonts w:ascii="Times New Roman" w:hAnsi="Times New Roman" w:cs="Times New Roman"/>
          <w:i/>
        </w:rPr>
        <w:t xml:space="preserve">a condition posée par le conseil d’administration lors de sa séance du 10 octobre 2007 est ainsi interprétée : la confirmation écrite de l’accord du Crédit </w:t>
      </w:r>
      <w:r w:rsidR="00282BF7">
        <w:rPr>
          <w:rFonts w:ascii="Times New Roman" w:hAnsi="Times New Roman" w:cs="Times New Roman"/>
          <w:i/>
        </w:rPr>
        <w:t>l</w:t>
      </w:r>
      <w:r w:rsidR="00BF36E9" w:rsidRPr="00A27AFD">
        <w:rPr>
          <w:rFonts w:ascii="Times New Roman" w:hAnsi="Times New Roman" w:cs="Times New Roman"/>
          <w:i/>
        </w:rPr>
        <w:t>yonnais pour dédommager le CDR à hauteur de 12 M€ du montant de la condamnation éventuelle par le tribunal devra avoir été obtenue au plus tard au moment du prononcé de la sentence </w:t>
      </w:r>
      <w:r w:rsidR="00B54E9A" w:rsidRPr="00A27AFD">
        <w:rPr>
          <w:rFonts w:ascii="Times New Roman" w:hAnsi="Times New Roman" w:cs="Times New Roman"/>
        </w:rPr>
        <w:t>»</w:t>
      </w:r>
      <w:r w:rsidR="00BF36E9" w:rsidRPr="00A27AFD">
        <w:rPr>
          <w:rFonts w:ascii="Times New Roman" w:hAnsi="Times New Roman" w:cs="Times New Roman"/>
        </w:rPr>
        <w:t> ;</w:t>
      </w:r>
    </w:p>
    <w:p w:rsidR="00BF36E9" w:rsidRPr="00A27AFD" w:rsidRDefault="00B54E9A" w:rsidP="00D60B5B">
      <w:pPr>
        <w:keepLines/>
        <w:spacing w:before="360"/>
        <w:ind w:left="1134" w:firstLine="851"/>
        <w:jc w:val="both"/>
      </w:pPr>
      <w:r w:rsidRPr="00A27AFD">
        <w:t xml:space="preserve">Considérant que le </w:t>
      </w:r>
      <w:r w:rsidR="00C34146" w:rsidRPr="00A27AFD">
        <w:t>réquisitoire conclut</w:t>
      </w:r>
      <w:r w:rsidR="004E49AB" w:rsidRPr="00A27AFD">
        <w:t xml:space="preserve"> qu’en l’absence d</w:t>
      </w:r>
      <w:r w:rsidR="00764E6A" w:rsidRPr="00A27AFD">
        <w:t>’engagement d</w:t>
      </w:r>
      <w:r w:rsidR="004E49AB" w:rsidRPr="00A27AFD">
        <w:t xml:space="preserve">e prise en charge par le Crédit </w:t>
      </w:r>
      <w:r w:rsidR="00282BF7">
        <w:t>l</w:t>
      </w:r>
      <w:r w:rsidR="004E49AB" w:rsidRPr="00A27AFD">
        <w:t>yonnais des 12 M€ susmentionnés,</w:t>
      </w:r>
      <w:r w:rsidR="00E97F19" w:rsidRPr="00A27AFD">
        <w:t xml:space="preserve"> le comptable a payé</w:t>
      </w:r>
      <w:r w:rsidR="007617E6" w:rsidRPr="00A27AFD">
        <w:t xml:space="preserve"> au vu de</w:t>
      </w:r>
      <w:r w:rsidR="00E97F19" w:rsidRPr="00A27AFD">
        <w:t xml:space="preserve"> pièces contradictoires</w:t>
      </w:r>
      <w:r w:rsidR="004E49AB" w:rsidRPr="00A27AFD">
        <w:t xml:space="preserve">, la lettre du président du CDR </w:t>
      </w:r>
      <w:r w:rsidR="00764E6A" w:rsidRPr="00A27AFD">
        <w:t xml:space="preserve">qui ne faisait pas mention de la condition posée par le conseil d’administration de l’EPFR </w:t>
      </w:r>
      <w:r w:rsidR="004E49AB" w:rsidRPr="00A27AFD">
        <w:t xml:space="preserve">d’une part, la lettre du ministre de l’économie et des finances </w:t>
      </w:r>
      <w:r w:rsidR="00161FFD">
        <w:t>du 17 mars 1999 qui</w:t>
      </w:r>
      <w:r w:rsidR="00AB4350" w:rsidRPr="00A27AFD">
        <w:t xml:space="preserve"> </w:t>
      </w:r>
      <w:r w:rsidR="00B10F5D" w:rsidRPr="00A27AFD">
        <w:t>mettait en jeu</w:t>
      </w:r>
      <w:r w:rsidR="00764E6A" w:rsidRPr="00A27AFD">
        <w:t xml:space="preserve"> la garantie de l’Etat « </w:t>
      </w:r>
      <w:r w:rsidR="00764E6A" w:rsidRPr="00A27AFD">
        <w:rPr>
          <w:i/>
        </w:rPr>
        <w:t xml:space="preserve">sous réserve de la contribution forfaitaire du Crédit </w:t>
      </w:r>
      <w:r w:rsidR="00282BF7">
        <w:rPr>
          <w:i/>
        </w:rPr>
        <w:t>l</w:t>
      </w:r>
      <w:r w:rsidR="00764E6A" w:rsidRPr="00A27AFD">
        <w:rPr>
          <w:i/>
        </w:rPr>
        <w:t>yonnais </w:t>
      </w:r>
      <w:r w:rsidR="00764E6A" w:rsidRPr="00A27AFD">
        <w:t xml:space="preserve">» </w:t>
      </w:r>
      <w:r w:rsidR="004E49AB" w:rsidRPr="00A27AFD">
        <w:t>d’autre part ; qu’</w:t>
      </w:r>
      <w:r w:rsidR="00014D7C" w:rsidRPr="00A27AFD">
        <w:t>il lui appartenait, au vu du caractère incomplet et insuffisant des justifications produites à l’appui de la dépense</w:t>
      </w:r>
      <w:r w:rsidR="00384FDE" w:rsidRPr="00A27AFD">
        <w:t xml:space="preserve">, </w:t>
      </w:r>
      <w:r w:rsidR="00014D7C" w:rsidRPr="00A27AFD">
        <w:t>de suspendre le paiement en application de l’article 37 du règlement général sur la comptabilité publique </w:t>
      </w:r>
      <w:r w:rsidR="00BF36E9" w:rsidRPr="00A27AFD">
        <w:t>;</w:t>
      </w:r>
    </w:p>
    <w:p w:rsidR="000177A3" w:rsidRDefault="00C8504C" w:rsidP="00D60B5B">
      <w:pPr>
        <w:keepLines/>
        <w:spacing w:before="360"/>
        <w:ind w:left="1134" w:firstLine="851"/>
        <w:jc w:val="both"/>
      </w:pPr>
      <w:r w:rsidRPr="00A27AFD">
        <w:t>Considérant que le réquisitoire mention</w:t>
      </w:r>
      <w:r w:rsidR="001F71A4">
        <w:t xml:space="preserve">ne, en outre, que le comptable, </w:t>
      </w:r>
      <w:r w:rsidR="001F71A4" w:rsidRPr="00A27AFD">
        <w:t>en émettant un virement le 3 septembre</w:t>
      </w:r>
      <w:r w:rsidR="001F71A4">
        <w:t>,</w:t>
      </w:r>
      <w:r w:rsidRPr="00A27AFD">
        <w:t xml:space="preserve"> </w:t>
      </w:r>
      <w:r w:rsidR="001F71A4">
        <w:t xml:space="preserve">a </w:t>
      </w:r>
      <w:r w:rsidRPr="00A27AFD">
        <w:t>ouvert sa caisse préalablement à l’ordre de payer de l’ordonnateur daté du 4 septembre 2008, et que le circuit des délégations de signature au sein de l’agence comptable n’a pas été respecté ;</w:t>
      </w:r>
    </w:p>
    <w:p w:rsidR="00352942" w:rsidRDefault="00E60EA4" w:rsidP="00D60B5B">
      <w:pPr>
        <w:keepLines/>
        <w:spacing w:before="360"/>
        <w:ind w:left="1134" w:firstLine="851"/>
        <w:jc w:val="both"/>
        <w:rPr>
          <w:iCs/>
        </w:rPr>
      </w:pPr>
      <w:r w:rsidRPr="00A27AFD">
        <w:rPr>
          <w:iCs/>
        </w:rPr>
        <w:t>Considérant que le comptable fait valoir, d’une part que la lettre du ministre de l’économie et des finances du 17 mars 1999 ne lui était pas adressée, d’autre part que la clause des 12 M€ susmentionnée s’entendait non comme une condition préalable devant être réalisée avant tout paiement mais comme une « franchise » payable par un tie</w:t>
      </w:r>
      <w:r w:rsidR="0019696D" w:rsidRPr="00A27AFD">
        <w:rPr>
          <w:iCs/>
        </w:rPr>
        <w:t xml:space="preserve">rs et qu’il disposait, à cet égard, d’une lettre du 28 juillet 2008 des liquidateurs du groupe </w:t>
      </w:r>
      <w:r w:rsidR="00CF1AEB">
        <w:rPr>
          <w:iCs/>
        </w:rPr>
        <w:t>A</w:t>
      </w:r>
      <w:r w:rsidR="0019696D" w:rsidRPr="00A27AFD">
        <w:rPr>
          <w:iCs/>
        </w:rPr>
        <w:t xml:space="preserve"> </w:t>
      </w:r>
      <w:r w:rsidR="00CA158C" w:rsidRPr="00A27AFD">
        <w:rPr>
          <w:iCs/>
        </w:rPr>
        <w:t xml:space="preserve">(SELAFA MJA) </w:t>
      </w:r>
      <w:r w:rsidR="0019696D" w:rsidRPr="00A27AFD">
        <w:rPr>
          <w:iCs/>
        </w:rPr>
        <w:t xml:space="preserve">et des époux </w:t>
      </w:r>
      <w:r w:rsidR="00CF1AEB">
        <w:rPr>
          <w:iCs/>
        </w:rPr>
        <w:t>A</w:t>
      </w:r>
      <w:r w:rsidR="0019696D" w:rsidRPr="00A27AFD">
        <w:rPr>
          <w:iCs/>
        </w:rPr>
        <w:t xml:space="preserve"> acceptant de déduire ces 12 M€ des sommes dues au titre de la sentence arbitrale ;</w:t>
      </w:r>
      <w:r w:rsidRPr="00A27AFD">
        <w:rPr>
          <w:iCs/>
        </w:rPr>
        <w:t xml:space="preserve"> enfi</w:t>
      </w:r>
      <w:r w:rsidR="00531953" w:rsidRPr="00A27AFD">
        <w:rPr>
          <w:iCs/>
        </w:rPr>
        <w:t>n que ce montant a bien été pris en charge</w:t>
      </w:r>
      <w:r w:rsidRPr="00A27AFD">
        <w:rPr>
          <w:iCs/>
        </w:rPr>
        <w:t xml:space="preserve">, en définitive, par les liquidateurs du groupe </w:t>
      </w:r>
      <w:r w:rsidR="00CF1AEB">
        <w:rPr>
          <w:iCs/>
        </w:rPr>
        <w:t>A</w:t>
      </w:r>
      <w:r w:rsidRPr="00A27AFD">
        <w:rPr>
          <w:iCs/>
        </w:rPr>
        <w:t> ;</w:t>
      </w:r>
    </w:p>
    <w:p w:rsidR="00231C9E" w:rsidRDefault="007C2E9D" w:rsidP="00D60B5B">
      <w:pPr>
        <w:keepLines/>
        <w:spacing w:before="360"/>
        <w:ind w:left="1134" w:firstLine="851"/>
        <w:jc w:val="both"/>
      </w:pPr>
      <w:r w:rsidRPr="00A27AFD">
        <w:rPr>
          <w:iCs/>
        </w:rPr>
        <w:lastRenderedPageBreak/>
        <w:t>Considérant que, sur les autres motifs de manquement, le comptable fait valoir que « </w:t>
      </w:r>
      <w:r w:rsidRPr="00A27AFD">
        <w:rPr>
          <w:i/>
          <w:iCs/>
        </w:rPr>
        <w:t>l’ordre de virement est obligatoirement signé la veille du jour du règlement pour en effectuer l’annonce de trésorerie obligatoire auprès de l’Agence France Trésor</w:t>
      </w:r>
      <w:r w:rsidRPr="00A27AFD">
        <w:rPr>
          <w:iCs/>
        </w:rPr>
        <w:t> » mais que « </w:t>
      </w:r>
      <w:r w:rsidRPr="00A27AFD">
        <w:rPr>
          <w:i/>
          <w:iCs/>
        </w:rPr>
        <w:t>la date de débit du compte (4 septembre) n’est pas antérieure à celle de l’émission et la signature du mandat </w:t>
      </w:r>
      <w:r w:rsidRPr="00A27AFD">
        <w:rPr>
          <w:iCs/>
        </w:rPr>
        <w:t xml:space="preserve">» ; que, si </w:t>
      </w:r>
      <w:r w:rsidRPr="00A27AFD">
        <w:t>le circuit des délégations de signature au sein de l’agence comptable n’a effectivement pas été respecté, il ne s’agit pas d’une formalité substantiel</w:t>
      </w:r>
      <w:r w:rsidR="00971F72">
        <w:t>le</w:t>
      </w:r>
      <w:r w:rsidR="00B82127">
        <w:t> ;</w:t>
      </w:r>
    </w:p>
    <w:p w:rsidR="006D6119" w:rsidRPr="00A27AFD" w:rsidRDefault="006D6119" w:rsidP="00D60B5B">
      <w:pPr>
        <w:keepLines/>
        <w:spacing w:before="360"/>
        <w:ind w:left="1134" w:firstLine="851"/>
        <w:jc w:val="both"/>
      </w:pPr>
      <w:r w:rsidRPr="00A27AFD">
        <w:t>Considérant qu’aux termes des dispositions du 2</w:t>
      </w:r>
      <w:r w:rsidRPr="00A27AFD">
        <w:rPr>
          <w:vertAlign w:val="superscript"/>
        </w:rPr>
        <w:t>ème</w:t>
      </w:r>
      <w:r w:rsidRPr="00A27AFD">
        <w:t xml:space="preserve"> alinéa du I de l’article 60 de la loi du 23 février 1963 susvisée « </w:t>
      </w:r>
      <w:r w:rsidRPr="00A27AFD">
        <w:rPr>
          <w:i/>
        </w:rPr>
        <w:t>les comptables publics sont personnellement responsables des contrôles qu’ils sont tenus d’assurer en matière (…) de dépenses (…) dans les conditions prévues par le règlement général sur la comptabilité publique </w:t>
      </w:r>
      <w:r w:rsidRPr="00A27AFD">
        <w:t>» ;</w:t>
      </w:r>
    </w:p>
    <w:p w:rsidR="006D6119" w:rsidRPr="00A27AFD" w:rsidRDefault="006D6119" w:rsidP="00D60B5B">
      <w:pPr>
        <w:keepLines/>
        <w:spacing w:before="360"/>
        <w:ind w:left="1134" w:firstLine="851"/>
        <w:jc w:val="both"/>
        <w:rPr>
          <w:i/>
          <w:iCs/>
        </w:rPr>
      </w:pPr>
      <w:r w:rsidRPr="00A27AFD">
        <w:t>Considérant qu’en vertu de l’article 12 du décret du 29 décembre 1962 portant règlement général sur la comptabilité publique, il leur incombe, notamment, en matière de dépenses, d’exercer « </w:t>
      </w:r>
      <w:r w:rsidRPr="00A27AFD">
        <w:rPr>
          <w:i/>
          <w:iCs/>
        </w:rPr>
        <w:t>(...) le contrôle (…) de la validité de la créance</w:t>
      </w:r>
      <w:r w:rsidRPr="00A27AFD">
        <w:t> » ; que l’article 13 du même décret précise qu’« </w:t>
      </w:r>
      <w:r w:rsidRPr="00A27AFD">
        <w:rPr>
          <w:i/>
          <w:iCs/>
        </w:rPr>
        <w:t>en ce qui concerne la validité de la créance, le contrôle porte sur la</w:t>
      </w:r>
      <w:r w:rsidRPr="00A27AFD">
        <w:rPr>
          <w:color w:val="000000"/>
          <w:sz w:val="18"/>
          <w:szCs w:val="18"/>
          <w:shd w:val="clear" w:color="auto" w:fill="FFFFFF"/>
        </w:rPr>
        <w:t xml:space="preserve"> </w:t>
      </w:r>
      <w:r w:rsidRPr="00A27AFD">
        <w:rPr>
          <w:i/>
          <w:iCs/>
        </w:rPr>
        <w:t>justification du service fait et l'exactitude des calculs de liquidation / l'intervention préalable des contrôles réglementaires et la production des justifications » ;</w:t>
      </w:r>
    </w:p>
    <w:p w:rsidR="00492735" w:rsidRPr="00A27AFD" w:rsidRDefault="00492735" w:rsidP="00D60B5B">
      <w:pPr>
        <w:keepLines/>
        <w:spacing w:before="360"/>
        <w:ind w:left="1134" w:firstLine="851"/>
        <w:jc w:val="both"/>
      </w:pPr>
      <w:r w:rsidRPr="00A27AFD">
        <w:t>Considérant que selon une jurisprudence constante de la Cour, confirmée par son juge de cassation, le contrôle par le comptable ne peut se limiter à une vérification purement formelle des pièces justificatives ; que ce contrôle doit</w:t>
      </w:r>
      <w:r w:rsidR="00352942">
        <w:t>,</w:t>
      </w:r>
      <w:r w:rsidRPr="00A27AFD">
        <w:t xml:space="preserve"> en effet</w:t>
      </w:r>
      <w:r w:rsidR="00352942">
        <w:t>,</w:t>
      </w:r>
      <w:r w:rsidRPr="00A27AFD">
        <w:t xml:space="preserve"> porter sur le caractère complet et précis des pièces fournies, sur la cohérence de ces pièces au regard de la dépense et de son objet, sur les éventuelles contradictions entre les différentes pièces produites et enfin sur la cohérence des justifications fournies au regard de la réglementation en vigueur ;</w:t>
      </w:r>
    </w:p>
    <w:p w:rsidR="00231C9E" w:rsidRDefault="00686D91" w:rsidP="00D60B5B">
      <w:pPr>
        <w:pStyle w:val="Corpsdetexte"/>
        <w:keepLines w:val="0"/>
        <w:ind w:firstLine="851"/>
        <w:rPr>
          <w:rFonts w:ascii="Times New Roman" w:hAnsi="Times New Roman" w:cs="Times New Roman"/>
        </w:rPr>
      </w:pPr>
      <w:r w:rsidRPr="00A27AFD">
        <w:rPr>
          <w:rFonts w:ascii="Times New Roman" w:hAnsi="Times New Roman" w:cs="Times New Roman"/>
        </w:rPr>
        <w:t>Considérant qu</w:t>
      </w:r>
      <w:r w:rsidR="00C03E49" w:rsidRPr="00A27AFD">
        <w:rPr>
          <w:rFonts w:ascii="Times New Roman" w:hAnsi="Times New Roman" w:cs="Times New Roman"/>
        </w:rPr>
        <w:t>e</w:t>
      </w:r>
      <w:r w:rsidR="00C84B3E" w:rsidRPr="00A27AFD">
        <w:rPr>
          <w:rFonts w:ascii="Times New Roman" w:hAnsi="Times New Roman" w:cs="Times New Roman"/>
        </w:rPr>
        <w:t xml:space="preserve"> </w:t>
      </w:r>
      <w:r w:rsidR="006D7445" w:rsidRPr="00A27AFD">
        <w:rPr>
          <w:rFonts w:ascii="Times New Roman" w:hAnsi="Times New Roman" w:cs="Times New Roman"/>
        </w:rPr>
        <w:t>la</w:t>
      </w:r>
      <w:r w:rsidR="00C84B3E" w:rsidRPr="00A27AFD">
        <w:rPr>
          <w:rFonts w:ascii="Times New Roman" w:hAnsi="Times New Roman" w:cs="Times New Roman"/>
        </w:rPr>
        <w:t xml:space="preserve"> lettre du président du CDR au président de l’EPFR</w:t>
      </w:r>
      <w:r w:rsidR="00803202" w:rsidRPr="00A27AFD">
        <w:rPr>
          <w:rFonts w:ascii="Times New Roman" w:hAnsi="Times New Roman" w:cs="Times New Roman"/>
        </w:rPr>
        <w:t xml:space="preserve"> sollicitant</w:t>
      </w:r>
      <w:r w:rsidR="00526ACA" w:rsidRPr="00A27AFD">
        <w:rPr>
          <w:rFonts w:ascii="Times New Roman" w:hAnsi="Times New Roman" w:cs="Times New Roman"/>
        </w:rPr>
        <w:t xml:space="preserve">, sur le fondement de </w:t>
      </w:r>
      <w:r w:rsidR="00526ACA" w:rsidRPr="00A27AFD">
        <w:rPr>
          <w:rFonts w:ascii="Times New Roman" w:hAnsi="Times New Roman" w:cs="Times New Roman"/>
          <w:iCs/>
        </w:rPr>
        <w:t>l’avenant n° 13 au protocole du 5 avril 1995</w:t>
      </w:r>
      <w:r w:rsidR="00803202" w:rsidRPr="00A27AFD">
        <w:rPr>
          <w:rFonts w:ascii="Times New Roman" w:hAnsi="Times New Roman" w:cs="Times New Roman"/>
        </w:rPr>
        <w:t xml:space="preserve"> </w:t>
      </w:r>
      <w:r w:rsidR="00526ACA" w:rsidRPr="00A27AFD">
        <w:rPr>
          <w:rFonts w:ascii="Times New Roman" w:hAnsi="Times New Roman" w:cs="Times New Roman"/>
        </w:rPr>
        <w:t xml:space="preserve">susvisé, </w:t>
      </w:r>
      <w:r w:rsidR="00803202" w:rsidRPr="00A27AFD">
        <w:rPr>
          <w:rFonts w:ascii="Times New Roman" w:hAnsi="Times New Roman" w:cs="Times New Roman"/>
        </w:rPr>
        <w:t xml:space="preserve">la prise en charge </w:t>
      </w:r>
      <w:r w:rsidR="00814EE9">
        <w:rPr>
          <w:rFonts w:ascii="Times New Roman" w:hAnsi="Times New Roman" w:cs="Times New Roman"/>
        </w:rPr>
        <w:t xml:space="preserve">par l’EPFR </w:t>
      </w:r>
      <w:r w:rsidR="00803202" w:rsidRPr="00A27AFD">
        <w:rPr>
          <w:rFonts w:ascii="Times New Roman" w:hAnsi="Times New Roman" w:cs="Times New Roman"/>
        </w:rPr>
        <w:t>de la condamnation du CDR</w:t>
      </w:r>
      <w:r w:rsidR="00814EE9">
        <w:rPr>
          <w:rFonts w:ascii="Times New Roman" w:hAnsi="Times New Roman" w:cs="Times New Roman"/>
        </w:rPr>
        <w:t xml:space="preserve"> </w:t>
      </w:r>
      <w:r w:rsidR="006D7445" w:rsidRPr="00A27AFD">
        <w:rPr>
          <w:rFonts w:ascii="Times New Roman" w:hAnsi="Times New Roman" w:cs="Times New Roman"/>
        </w:rPr>
        <w:t xml:space="preserve">permettait de </w:t>
      </w:r>
      <w:r w:rsidR="00C84B3E" w:rsidRPr="00A27AFD">
        <w:rPr>
          <w:rFonts w:ascii="Times New Roman" w:hAnsi="Times New Roman" w:cs="Times New Roman"/>
        </w:rPr>
        <w:t>mettre en jeu la garantie de l’EPFR à l’égard du CDR au titre des risque</w:t>
      </w:r>
      <w:r w:rsidR="006D7445" w:rsidRPr="00A27AFD">
        <w:rPr>
          <w:rFonts w:ascii="Times New Roman" w:hAnsi="Times New Roman" w:cs="Times New Roman"/>
        </w:rPr>
        <w:t>s non chiffrables apparus</w:t>
      </w:r>
      <w:r w:rsidR="00C84B3E" w:rsidRPr="00A27AFD">
        <w:rPr>
          <w:rFonts w:ascii="Times New Roman" w:hAnsi="Times New Roman" w:cs="Times New Roman"/>
        </w:rPr>
        <w:t xml:space="preserve"> </w:t>
      </w:r>
      <w:r w:rsidR="004B5D5C" w:rsidRPr="00A27AFD">
        <w:rPr>
          <w:rFonts w:ascii="Times New Roman" w:hAnsi="Times New Roman" w:cs="Times New Roman"/>
        </w:rPr>
        <w:t>dans le contentieux Adidas ;</w:t>
      </w:r>
    </w:p>
    <w:p w:rsidR="00E41A0C" w:rsidRDefault="00231C9E" w:rsidP="00D60B5B">
      <w:pPr>
        <w:pStyle w:val="Corpsdetexte"/>
        <w:keepLines w:val="0"/>
        <w:ind w:firstLine="851"/>
        <w:rPr>
          <w:rFonts w:ascii="Times New Roman" w:hAnsi="Times New Roman" w:cs="Times New Roman"/>
        </w:rPr>
      </w:pPr>
      <w:r>
        <w:rPr>
          <w:rFonts w:ascii="Times New Roman" w:hAnsi="Times New Roman" w:cs="Times New Roman"/>
        </w:rPr>
        <w:t>Considérant</w:t>
      </w:r>
      <w:r w:rsidR="00E41A0C">
        <w:rPr>
          <w:rFonts w:ascii="Times New Roman" w:hAnsi="Times New Roman" w:cs="Times New Roman"/>
        </w:rPr>
        <w:t>, en revanche,</w:t>
      </w:r>
      <w:r w:rsidR="004B5D5C" w:rsidRPr="00A27AFD">
        <w:rPr>
          <w:rFonts w:ascii="Times New Roman" w:hAnsi="Times New Roman" w:cs="Times New Roman"/>
        </w:rPr>
        <w:t xml:space="preserve"> </w:t>
      </w:r>
      <w:r>
        <w:rPr>
          <w:rFonts w:ascii="Times New Roman" w:hAnsi="Times New Roman" w:cs="Times New Roman"/>
        </w:rPr>
        <w:t xml:space="preserve">que </w:t>
      </w:r>
      <w:r w:rsidR="00922866" w:rsidRPr="00A27AFD">
        <w:rPr>
          <w:rFonts w:ascii="Times New Roman" w:hAnsi="Times New Roman" w:cs="Times New Roman"/>
        </w:rPr>
        <w:t>la lettre du président du CDR</w:t>
      </w:r>
      <w:r w:rsidR="00295DF5">
        <w:rPr>
          <w:rFonts w:ascii="Times New Roman" w:hAnsi="Times New Roman" w:cs="Times New Roman"/>
        </w:rPr>
        <w:t xml:space="preserve"> </w:t>
      </w:r>
      <w:r w:rsidR="00814EE9">
        <w:rPr>
          <w:rFonts w:ascii="Times New Roman" w:hAnsi="Times New Roman" w:cs="Times New Roman"/>
        </w:rPr>
        <w:t>n’était pas appuyée par l</w:t>
      </w:r>
      <w:r w:rsidR="00295DF5" w:rsidRPr="00A27AFD">
        <w:rPr>
          <w:rFonts w:ascii="Times New Roman" w:hAnsi="Times New Roman" w:cs="Times New Roman"/>
        </w:rPr>
        <w:t>es pièces justificatives qui permettaient au comptable de procéder à la vérifica</w:t>
      </w:r>
      <w:r w:rsidR="00295DF5">
        <w:rPr>
          <w:rFonts w:ascii="Times New Roman" w:hAnsi="Times New Roman" w:cs="Times New Roman"/>
        </w:rPr>
        <w:t>tion des calculs de liquidation</w:t>
      </w:r>
      <w:r w:rsidR="00E41A0C">
        <w:rPr>
          <w:rFonts w:ascii="Times New Roman" w:hAnsi="Times New Roman" w:cs="Times New Roman"/>
        </w:rPr>
        <w:t>, en l’absence notamment de la sentence arbitrale qui n’était</w:t>
      </w:r>
      <w:r w:rsidR="00295DF5">
        <w:rPr>
          <w:rFonts w:ascii="Times New Roman" w:hAnsi="Times New Roman" w:cs="Times New Roman"/>
        </w:rPr>
        <w:t xml:space="preserve"> pas jointe au mandat ;</w:t>
      </w:r>
    </w:p>
    <w:p w:rsidR="00492735" w:rsidRPr="00A27AFD" w:rsidRDefault="00E41A0C" w:rsidP="00D60B5B">
      <w:pPr>
        <w:pStyle w:val="Corpsdetexte"/>
        <w:keepLines w:val="0"/>
        <w:ind w:firstLine="851"/>
        <w:rPr>
          <w:rFonts w:ascii="Times New Roman" w:hAnsi="Times New Roman" w:cs="Times New Roman"/>
        </w:rPr>
      </w:pPr>
      <w:r>
        <w:rPr>
          <w:rFonts w:ascii="Times New Roman" w:hAnsi="Times New Roman" w:cs="Times New Roman"/>
        </w:rPr>
        <w:t xml:space="preserve">Considérant, </w:t>
      </w:r>
      <w:r w:rsidR="00F807EB" w:rsidRPr="00A27AFD">
        <w:rPr>
          <w:rFonts w:ascii="Times New Roman" w:hAnsi="Times New Roman" w:cs="Times New Roman"/>
        </w:rPr>
        <w:t>en outre</w:t>
      </w:r>
      <w:r w:rsidR="00922866" w:rsidRPr="00A27AFD">
        <w:rPr>
          <w:rFonts w:ascii="Times New Roman" w:hAnsi="Times New Roman" w:cs="Times New Roman"/>
        </w:rPr>
        <w:t xml:space="preserve">, </w:t>
      </w:r>
      <w:r>
        <w:rPr>
          <w:rFonts w:ascii="Times New Roman" w:hAnsi="Times New Roman" w:cs="Times New Roman"/>
        </w:rPr>
        <w:t xml:space="preserve">que </w:t>
      </w:r>
      <w:r w:rsidR="00922866" w:rsidRPr="00A27AFD">
        <w:rPr>
          <w:rFonts w:ascii="Times New Roman" w:hAnsi="Times New Roman" w:cs="Times New Roman"/>
        </w:rPr>
        <w:t>faute d’avoir joint au mandat</w:t>
      </w:r>
      <w:r w:rsidR="00F807EB" w:rsidRPr="00A27AFD">
        <w:rPr>
          <w:rFonts w:ascii="Times New Roman" w:hAnsi="Times New Roman" w:cs="Times New Roman"/>
        </w:rPr>
        <w:t xml:space="preserve"> la résolution du conseil d’administration </w:t>
      </w:r>
      <w:r w:rsidR="00803202" w:rsidRPr="00A27AFD">
        <w:rPr>
          <w:rFonts w:ascii="Times New Roman" w:hAnsi="Times New Roman" w:cs="Times New Roman"/>
        </w:rPr>
        <w:t xml:space="preserve">du 28 juillet 2008 </w:t>
      </w:r>
      <w:r w:rsidR="00F807EB" w:rsidRPr="00A27AFD">
        <w:rPr>
          <w:rFonts w:ascii="Times New Roman" w:hAnsi="Times New Roman" w:cs="Times New Roman"/>
        </w:rPr>
        <w:t>de l’EPFR re</w:t>
      </w:r>
      <w:r w:rsidR="00B476AD">
        <w:rPr>
          <w:rFonts w:ascii="Times New Roman" w:hAnsi="Times New Roman" w:cs="Times New Roman"/>
        </w:rPr>
        <w:t>nonçant à un recours en annulation</w:t>
      </w:r>
      <w:r w:rsidR="00F807EB" w:rsidRPr="00A27AFD">
        <w:rPr>
          <w:rFonts w:ascii="Times New Roman" w:hAnsi="Times New Roman" w:cs="Times New Roman"/>
        </w:rPr>
        <w:t xml:space="preserve"> contre la sentence arbitrale, le comptable n’a pas </w:t>
      </w:r>
      <w:r w:rsidR="00922866" w:rsidRPr="00A27AFD">
        <w:rPr>
          <w:rFonts w:ascii="Times New Roman" w:hAnsi="Times New Roman" w:cs="Times New Roman"/>
        </w:rPr>
        <w:t xml:space="preserve">apporté la preuve qu’il avait </w:t>
      </w:r>
      <w:r w:rsidR="00F807EB" w:rsidRPr="00A27AFD">
        <w:rPr>
          <w:rFonts w:ascii="Times New Roman" w:hAnsi="Times New Roman" w:cs="Times New Roman"/>
        </w:rPr>
        <w:t>vérifié le caractère non sérieusement contesté de la créance qui lui était présentée</w:t>
      </w:r>
      <w:r w:rsidR="00161FFD">
        <w:rPr>
          <w:rFonts w:ascii="Times New Roman" w:hAnsi="Times New Roman" w:cs="Times New Roman"/>
        </w:rPr>
        <w:t xml:space="preserve"> </w:t>
      </w:r>
      <w:r w:rsidR="00F807EB" w:rsidRPr="00A27AFD">
        <w:rPr>
          <w:rFonts w:ascii="Times New Roman" w:hAnsi="Times New Roman" w:cs="Times New Roman"/>
        </w:rPr>
        <w:t>;</w:t>
      </w:r>
    </w:p>
    <w:p w:rsidR="000177A3" w:rsidRDefault="000177A3" w:rsidP="00D60B5B">
      <w:pPr>
        <w:pStyle w:val="Corpsdetexte"/>
        <w:keepLines w:val="0"/>
        <w:ind w:firstLine="851"/>
        <w:rPr>
          <w:rFonts w:ascii="Times New Roman" w:hAnsi="Times New Roman" w:cs="Times New Roman"/>
        </w:rPr>
      </w:pPr>
    </w:p>
    <w:p w:rsidR="000177A3" w:rsidRDefault="000177A3" w:rsidP="00D60B5B">
      <w:pPr>
        <w:pStyle w:val="Corpsdetexte"/>
        <w:keepLines w:val="0"/>
        <w:ind w:firstLine="851"/>
        <w:rPr>
          <w:rFonts w:ascii="Times New Roman" w:hAnsi="Times New Roman" w:cs="Times New Roman"/>
        </w:rPr>
      </w:pPr>
    </w:p>
    <w:p w:rsidR="00295DF5" w:rsidRDefault="00803202" w:rsidP="00D60B5B">
      <w:pPr>
        <w:pStyle w:val="Corpsdetexte"/>
        <w:keepLines w:val="0"/>
        <w:ind w:firstLine="851"/>
        <w:rPr>
          <w:rFonts w:ascii="Times New Roman" w:hAnsi="Times New Roman" w:cs="Times New Roman"/>
        </w:rPr>
      </w:pPr>
      <w:r w:rsidRPr="00A27AFD">
        <w:rPr>
          <w:rFonts w:ascii="Times New Roman" w:hAnsi="Times New Roman" w:cs="Times New Roman"/>
        </w:rPr>
        <w:t>Considérant, enfin</w:t>
      </w:r>
      <w:r w:rsidR="00C84B3E" w:rsidRPr="00A27AFD">
        <w:rPr>
          <w:rFonts w:ascii="Times New Roman" w:hAnsi="Times New Roman" w:cs="Times New Roman"/>
        </w:rPr>
        <w:t xml:space="preserve">, que la </w:t>
      </w:r>
      <w:r w:rsidR="00F807EB" w:rsidRPr="00A27AFD">
        <w:rPr>
          <w:rFonts w:ascii="Times New Roman" w:hAnsi="Times New Roman" w:cs="Times New Roman"/>
        </w:rPr>
        <w:t xml:space="preserve">lettre du ministre de l’économie et des finances du </w:t>
      </w:r>
      <w:r w:rsidR="006D7445" w:rsidRPr="00A27AFD">
        <w:rPr>
          <w:rFonts w:ascii="Times New Roman" w:hAnsi="Times New Roman" w:cs="Times New Roman"/>
        </w:rPr>
        <w:t xml:space="preserve">17 mars 1999, </w:t>
      </w:r>
      <w:r w:rsidR="00AB4350" w:rsidRPr="00A27AFD">
        <w:rPr>
          <w:rFonts w:ascii="Times New Roman" w:hAnsi="Times New Roman" w:cs="Times New Roman"/>
        </w:rPr>
        <w:t>deuxième pièce jointe au mandat</w:t>
      </w:r>
      <w:r w:rsidR="00F807EB" w:rsidRPr="00A27AFD">
        <w:rPr>
          <w:rFonts w:ascii="Times New Roman" w:hAnsi="Times New Roman" w:cs="Times New Roman"/>
        </w:rPr>
        <w:t xml:space="preserve">, </w:t>
      </w:r>
      <w:r w:rsidR="006D7445" w:rsidRPr="00A27AFD">
        <w:rPr>
          <w:rFonts w:ascii="Times New Roman" w:hAnsi="Times New Roman" w:cs="Times New Roman"/>
        </w:rPr>
        <w:t xml:space="preserve">contenait une condition de prise en charge par le Crédit </w:t>
      </w:r>
      <w:r w:rsidR="00B82127">
        <w:rPr>
          <w:rFonts w:ascii="Times New Roman" w:hAnsi="Times New Roman" w:cs="Times New Roman"/>
        </w:rPr>
        <w:t>l</w:t>
      </w:r>
      <w:r w:rsidR="006D7445" w:rsidRPr="00A27AFD">
        <w:rPr>
          <w:rFonts w:ascii="Times New Roman" w:hAnsi="Times New Roman" w:cs="Times New Roman"/>
        </w:rPr>
        <w:t xml:space="preserve">yonnais </w:t>
      </w:r>
      <w:r w:rsidR="0039780C" w:rsidRPr="00A27AFD">
        <w:rPr>
          <w:rFonts w:ascii="Times New Roman" w:hAnsi="Times New Roman" w:cs="Times New Roman"/>
        </w:rPr>
        <w:t xml:space="preserve">de 12 M€, condition qui n’était pas remplie au moment du paiement ; </w:t>
      </w:r>
      <w:r w:rsidR="00B476AD">
        <w:rPr>
          <w:rFonts w:ascii="Times New Roman" w:hAnsi="Times New Roman" w:cs="Times New Roman"/>
        </w:rPr>
        <w:t>que le comptable n’a</w:t>
      </w:r>
      <w:r w:rsidR="00295DF5">
        <w:rPr>
          <w:rFonts w:ascii="Times New Roman" w:hAnsi="Times New Roman" w:cs="Times New Roman"/>
        </w:rPr>
        <w:t xml:space="preserve"> produit </w:t>
      </w:r>
      <w:r w:rsidR="00D57BC7">
        <w:rPr>
          <w:rFonts w:ascii="Times New Roman" w:hAnsi="Times New Roman" w:cs="Times New Roman"/>
        </w:rPr>
        <w:t>à aucun moment</w:t>
      </w:r>
      <w:r w:rsidR="00295DF5">
        <w:rPr>
          <w:rFonts w:ascii="Times New Roman" w:hAnsi="Times New Roman" w:cs="Times New Roman"/>
        </w:rPr>
        <w:t xml:space="preserve"> une délibération du conseil d’administration de l’EPFR </w:t>
      </w:r>
      <w:r w:rsidR="00D57BC7">
        <w:rPr>
          <w:rFonts w:ascii="Times New Roman" w:hAnsi="Times New Roman" w:cs="Times New Roman"/>
        </w:rPr>
        <w:t xml:space="preserve">ou une lettre ministérielle </w:t>
      </w:r>
      <w:r w:rsidR="00295DF5">
        <w:rPr>
          <w:rFonts w:ascii="Times New Roman" w:hAnsi="Times New Roman" w:cs="Times New Roman"/>
        </w:rPr>
        <w:t xml:space="preserve">revenant explicitement sur cette condition ; </w:t>
      </w:r>
    </w:p>
    <w:p w:rsidR="00C84B3E" w:rsidRPr="00A27AFD" w:rsidRDefault="00295DF5" w:rsidP="00D60B5B">
      <w:pPr>
        <w:pStyle w:val="Corpsdetexte"/>
        <w:keepLines w:val="0"/>
        <w:ind w:firstLine="851"/>
        <w:rPr>
          <w:rFonts w:ascii="Times New Roman" w:hAnsi="Times New Roman" w:cs="Times New Roman"/>
        </w:rPr>
      </w:pPr>
      <w:r>
        <w:rPr>
          <w:rFonts w:ascii="Times New Roman" w:hAnsi="Times New Roman" w:cs="Times New Roman"/>
        </w:rPr>
        <w:t xml:space="preserve">Considérant </w:t>
      </w:r>
      <w:r w:rsidR="0039780C" w:rsidRPr="00A27AFD">
        <w:rPr>
          <w:rFonts w:ascii="Times New Roman" w:hAnsi="Times New Roman" w:cs="Times New Roman"/>
        </w:rPr>
        <w:t xml:space="preserve">qu’à supposer </w:t>
      </w:r>
      <w:r w:rsidR="006A1B9A" w:rsidRPr="00A27AFD">
        <w:rPr>
          <w:rFonts w:ascii="Times New Roman" w:hAnsi="Times New Roman" w:cs="Times New Roman"/>
        </w:rPr>
        <w:t>fondée, bien que</w:t>
      </w:r>
      <w:r w:rsidR="008D56F7" w:rsidRPr="00A27AFD">
        <w:rPr>
          <w:rFonts w:ascii="Times New Roman" w:hAnsi="Times New Roman" w:cs="Times New Roman"/>
        </w:rPr>
        <w:t xml:space="preserve"> non appuyée par une résolution du conseil d’administration de l’EPFR, l’interpré</w:t>
      </w:r>
      <w:r>
        <w:rPr>
          <w:rFonts w:ascii="Times New Roman" w:hAnsi="Times New Roman" w:cs="Times New Roman"/>
        </w:rPr>
        <w:t>tation selon laquelle, si l’EPFR</w:t>
      </w:r>
      <w:r w:rsidR="008D56F7" w:rsidRPr="00A27AFD">
        <w:rPr>
          <w:rFonts w:ascii="Times New Roman" w:hAnsi="Times New Roman" w:cs="Times New Roman"/>
        </w:rPr>
        <w:t xml:space="preserve"> n’avait pas à payer ce montant</w:t>
      </w:r>
      <w:r w:rsidR="00D57BC7">
        <w:rPr>
          <w:rFonts w:ascii="Times New Roman" w:hAnsi="Times New Roman" w:cs="Times New Roman"/>
        </w:rPr>
        <w:t xml:space="preserve"> de 12 M€</w:t>
      </w:r>
      <w:r w:rsidR="008D56F7" w:rsidRPr="00A27AFD">
        <w:rPr>
          <w:rFonts w:ascii="Times New Roman" w:hAnsi="Times New Roman" w:cs="Times New Roman"/>
        </w:rPr>
        <w:t xml:space="preserve">, tout tiers pouvait, à défaut du Crédit </w:t>
      </w:r>
      <w:r w:rsidR="00B82127">
        <w:rPr>
          <w:rFonts w:ascii="Times New Roman" w:hAnsi="Times New Roman" w:cs="Times New Roman"/>
        </w:rPr>
        <w:t>l</w:t>
      </w:r>
      <w:r w:rsidR="008D56F7" w:rsidRPr="00A27AFD">
        <w:rPr>
          <w:rFonts w:ascii="Times New Roman" w:hAnsi="Times New Roman" w:cs="Times New Roman"/>
        </w:rPr>
        <w:t>yonnais</w:t>
      </w:r>
      <w:r w:rsidR="000120E5" w:rsidRPr="00A27AFD">
        <w:rPr>
          <w:rFonts w:ascii="Times New Roman" w:hAnsi="Times New Roman" w:cs="Times New Roman"/>
        </w:rPr>
        <w:t xml:space="preserve">, </w:t>
      </w:r>
      <w:r w:rsidR="00E31D6D">
        <w:rPr>
          <w:rFonts w:ascii="Times New Roman" w:hAnsi="Times New Roman" w:cs="Times New Roman"/>
        </w:rPr>
        <w:t xml:space="preserve">le prendre en charge, </w:t>
      </w:r>
      <w:r w:rsidR="000120E5" w:rsidRPr="00A27AFD">
        <w:rPr>
          <w:rFonts w:ascii="Times New Roman" w:hAnsi="Times New Roman" w:cs="Times New Roman"/>
        </w:rPr>
        <w:t>le comptable n’avait connaissance</w:t>
      </w:r>
      <w:r w:rsidR="00EB2298" w:rsidRPr="00A27AFD">
        <w:rPr>
          <w:rFonts w:ascii="Times New Roman" w:hAnsi="Times New Roman" w:cs="Times New Roman"/>
        </w:rPr>
        <w:t>, au moment du paiement, que</w:t>
      </w:r>
      <w:r w:rsidR="008D56F7" w:rsidRPr="00A27AFD">
        <w:rPr>
          <w:rFonts w:ascii="Times New Roman" w:hAnsi="Times New Roman" w:cs="Times New Roman"/>
        </w:rPr>
        <w:t xml:space="preserve"> d’un engagement unilatéral des liquidateurs des époux </w:t>
      </w:r>
      <w:r w:rsidR="00CF1AEB">
        <w:rPr>
          <w:rFonts w:ascii="Times New Roman" w:hAnsi="Times New Roman" w:cs="Times New Roman"/>
        </w:rPr>
        <w:t>A</w:t>
      </w:r>
      <w:r w:rsidR="008D56F7" w:rsidRPr="00A27AFD">
        <w:rPr>
          <w:rFonts w:ascii="Times New Roman" w:hAnsi="Times New Roman" w:cs="Times New Roman"/>
        </w:rPr>
        <w:t xml:space="preserve"> de </w:t>
      </w:r>
      <w:r w:rsidR="009967D7" w:rsidRPr="00A27AFD">
        <w:rPr>
          <w:rFonts w:ascii="Times New Roman" w:hAnsi="Times New Roman" w:cs="Times New Roman"/>
        </w:rPr>
        <w:t>déduire 12 M€</w:t>
      </w:r>
      <w:r w:rsidR="008D56F7" w:rsidRPr="00A27AFD">
        <w:rPr>
          <w:rFonts w:ascii="Times New Roman" w:hAnsi="Times New Roman" w:cs="Times New Roman"/>
        </w:rPr>
        <w:t xml:space="preserve"> de la condamnation issue de la senten</w:t>
      </w:r>
      <w:r w:rsidR="000120E5" w:rsidRPr="00A27AFD">
        <w:rPr>
          <w:rFonts w:ascii="Times New Roman" w:hAnsi="Times New Roman" w:cs="Times New Roman"/>
        </w:rPr>
        <w:t xml:space="preserve">ce arbitrale ; que </w:t>
      </w:r>
      <w:r w:rsidR="008D56F7" w:rsidRPr="00A27AFD">
        <w:rPr>
          <w:rFonts w:ascii="Times New Roman" w:hAnsi="Times New Roman" w:cs="Times New Roman"/>
        </w:rPr>
        <w:t xml:space="preserve">cet engagement, </w:t>
      </w:r>
      <w:r w:rsidR="000120E5" w:rsidRPr="00A27AFD">
        <w:rPr>
          <w:rFonts w:ascii="Times New Roman" w:hAnsi="Times New Roman" w:cs="Times New Roman"/>
        </w:rPr>
        <w:t xml:space="preserve">au demeurant </w:t>
      </w:r>
      <w:r w:rsidR="008D56F7" w:rsidRPr="00A27AFD">
        <w:rPr>
          <w:rFonts w:ascii="Times New Roman" w:hAnsi="Times New Roman" w:cs="Times New Roman"/>
        </w:rPr>
        <w:t xml:space="preserve">non joint au mandat, était soumis à </w:t>
      </w:r>
      <w:r w:rsidR="00605A4F">
        <w:rPr>
          <w:rFonts w:ascii="Times New Roman" w:hAnsi="Times New Roman" w:cs="Times New Roman"/>
        </w:rPr>
        <w:t xml:space="preserve">la </w:t>
      </w:r>
      <w:r w:rsidR="008D56F7" w:rsidRPr="00A27AFD">
        <w:rPr>
          <w:rFonts w:ascii="Times New Roman" w:hAnsi="Times New Roman" w:cs="Times New Roman"/>
        </w:rPr>
        <w:t xml:space="preserve">condition </w:t>
      </w:r>
      <w:r w:rsidR="000E0DFB">
        <w:rPr>
          <w:rFonts w:ascii="Times New Roman" w:hAnsi="Times New Roman" w:cs="Times New Roman"/>
        </w:rPr>
        <w:t xml:space="preserve">qu’aucun recours </w:t>
      </w:r>
      <w:r w:rsidR="00383C8C">
        <w:rPr>
          <w:rFonts w:ascii="Times New Roman" w:hAnsi="Times New Roman" w:cs="Times New Roman"/>
        </w:rPr>
        <w:t>en annulation ne soit formé</w:t>
      </w:r>
      <w:r w:rsidR="000E0DFB">
        <w:rPr>
          <w:rFonts w:ascii="Times New Roman" w:hAnsi="Times New Roman" w:cs="Times New Roman"/>
        </w:rPr>
        <w:t xml:space="preserve"> contre la sentence arbitrale ; qu’il</w:t>
      </w:r>
      <w:r w:rsidR="008D56F7" w:rsidRPr="00A27AFD">
        <w:rPr>
          <w:rFonts w:ascii="Times New Roman" w:hAnsi="Times New Roman" w:cs="Times New Roman"/>
        </w:rPr>
        <w:t xml:space="preserve"> n’a</w:t>
      </w:r>
      <w:r w:rsidR="000120E5" w:rsidRPr="00A27AFD">
        <w:rPr>
          <w:rFonts w:ascii="Times New Roman" w:hAnsi="Times New Roman" w:cs="Times New Roman"/>
        </w:rPr>
        <w:t xml:space="preserve"> été définitivement validé que par un protocole d’exécution entre le CDR</w:t>
      </w:r>
      <w:r w:rsidR="00B82127">
        <w:rPr>
          <w:rFonts w:ascii="Times New Roman" w:hAnsi="Times New Roman" w:cs="Times New Roman"/>
        </w:rPr>
        <w:t xml:space="preserve"> </w:t>
      </w:r>
      <w:r w:rsidR="00DA02A5">
        <w:rPr>
          <w:rFonts w:ascii="Times New Roman" w:hAnsi="Times New Roman" w:cs="Times New Roman"/>
        </w:rPr>
        <w:t xml:space="preserve">et les liquidateurs du groupe </w:t>
      </w:r>
      <w:r w:rsidR="00CF1AEB">
        <w:rPr>
          <w:rFonts w:ascii="Times New Roman" w:hAnsi="Times New Roman" w:cs="Times New Roman"/>
        </w:rPr>
        <w:t>A</w:t>
      </w:r>
      <w:r w:rsidR="00FA72A1" w:rsidRPr="00A27AFD">
        <w:rPr>
          <w:rFonts w:ascii="Times New Roman" w:hAnsi="Times New Roman" w:cs="Times New Roman"/>
        </w:rPr>
        <w:t xml:space="preserve"> </w:t>
      </w:r>
      <w:r w:rsidR="00DA02A5">
        <w:rPr>
          <w:rFonts w:ascii="Times New Roman" w:hAnsi="Times New Roman" w:cs="Times New Roman"/>
        </w:rPr>
        <w:t>(</w:t>
      </w:r>
      <w:r w:rsidR="00FA72A1" w:rsidRPr="00A27AFD">
        <w:rPr>
          <w:rFonts w:ascii="Times New Roman" w:hAnsi="Times New Roman" w:cs="Times New Roman"/>
        </w:rPr>
        <w:t>SELAFA MJA</w:t>
      </w:r>
      <w:r w:rsidR="00DA02A5">
        <w:rPr>
          <w:rFonts w:ascii="Times New Roman" w:hAnsi="Times New Roman" w:cs="Times New Roman"/>
        </w:rPr>
        <w:t>)</w:t>
      </w:r>
      <w:r w:rsidR="00FA72A1" w:rsidRPr="00A27AFD">
        <w:rPr>
          <w:rFonts w:ascii="Times New Roman" w:hAnsi="Times New Roman" w:cs="Times New Roman"/>
        </w:rPr>
        <w:t xml:space="preserve"> en date du 16 mars 2009</w:t>
      </w:r>
      <w:r w:rsidR="00B82127">
        <w:rPr>
          <w:rFonts w:ascii="Times New Roman" w:hAnsi="Times New Roman" w:cs="Times New Roman"/>
        </w:rPr>
        <w:t> ;</w:t>
      </w:r>
      <w:r w:rsidR="008D56F7" w:rsidRPr="00A27AFD">
        <w:rPr>
          <w:rFonts w:ascii="Times New Roman" w:hAnsi="Times New Roman" w:cs="Times New Roman"/>
        </w:rPr>
        <w:t xml:space="preserve"> que le comptable ne pouvait donc, au moment du paiement, di</w:t>
      </w:r>
      <w:r>
        <w:rPr>
          <w:rFonts w:ascii="Times New Roman" w:hAnsi="Times New Roman" w:cs="Times New Roman"/>
        </w:rPr>
        <w:t>sposer de l’assurance que l’EPFR</w:t>
      </w:r>
      <w:r w:rsidR="008D56F7" w:rsidRPr="00A27AFD">
        <w:rPr>
          <w:rFonts w:ascii="Times New Roman" w:hAnsi="Times New Roman" w:cs="Times New Roman"/>
        </w:rPr>
        <w:t xml:space="preserve"> ne devrait pas acquitter ce montant qui figurait dans les sommes dues </w:t>
      </w:r>
      <w:r w:rsidR="00365F4A" w:rsidRPr="00A27AFD">
        <w:rPr>
          <w:rFonts w:ascii="Times New Roman" w:hAnsi="Times New Roman" w:cs="Times New Roman"/>
        </w:rPr>
        <w:t>en application de la sentence arbitrale ;</w:t>
      </w:r>
    </w:p>
    <w:p w:rsidR="00365F4A" w:rsidRPr="00A27AFD" w:rsidRDefault="006A1B9A" w:rsidP="00D60B5B">
      <w:pPr>
        <w:pStyle w:val="Corpsdetexte"/>
        <w:keepLines w:val="0"/>
        <w:ind w:firstLine="851"/>
        <w:rPr>
          <w:rFonts w:ascii="Times New Roman" w:hAnsi="Times New Roman" w:cs="Times New Roman"/>
        </w:rPr>
      </w:pPr>
      <w:r w:rsidRPr="00A27AFD">
        <w:rPr>
          <w:rFonts w:ascii="Times New Roman" w:hAnsi="Times New Roman" w:cs="Times New Roman"/>
        </w:rPr>
        <w:t>Considérant que dans ces conditions, le comptable devait suspendre le paiement en application de l’article 37 du règlement général sur la comptabilité publique ; que</w:t>
      </w:r>
      <w:r w:rsidR="00365F4A" w:rsidRPr="00A27AFD">
        <w:rPr>
          <w:rFonts w:ascii="Times New Roman" w:hAnsi="Times New Roman" w:cs="Times New Roman"/>
        </w:rPr>
        <w:t xml:space="preserve"> dès lors</w:t>
      </w:r>
      <w:r w:rsidR="000177A3">
        <w:rPr>
          <w:rFonts w:ascii="Times New Roman" w:hAnsi="Times New Roman" w:cs="Times New Roman"/>
        </w:rPr>
        <w:t>,</w:t>
      </w:r>
      <w:r w:rsidR="00365F4A" w:rsidRPr="00A27AFD">
        <w:rPr>
          <w:rFonts w:ascii="Times New Roman" w:hAnsi="Times New Roman" w:cs="Times New Roman"/>
        </w:rPr>
        <w:t xml:space="preserve"> et sans </w:t>
      </w:r>
      <w:r w:rsidRPr="00A27AFD">
        <w:rPr>
          <w:rFonts w:ascii="Times New Roman" w:hAnsi="Times New Roman" w:cs="Times New Roman"/>
        </w:rPr>
        <w:t>qu’il soit besoin d’</w:t>
      </w:r>
      <w:r w:rsidR="00B02264" w:rsidRPr="00A27AFD">
        <w:rPr>
          <w:rFonts w:ascii="Times New Roman" w:hAnsi="Times New Roman" w:cs="Times New Roman"/>
        </w:rPr>
        <w:t>examiner les autres motifs de manquement mentionné</w:t>
      </w:r>
      <w:r w:rsidR="00365F4A" w:rsidRPr="00A27AFD">
        <w:rPr>
          <w:rFonts w:ascii="Times New Roman" w:hAnsi="Times New Roman" w:cs="Times New Roman"/>
        </w:rPr>
        <w:t>s par le réquisito</w:t>
      </w:r>
      <w:r w:rsidRPr="00A27AFD">
        <w:rPr>
          <w:rFonts w:ascii="Times New Roman" w:hAnsi="Times New Roman" w:cs="Times New Roman"/>
        </w:rPr>
        <w:t>ire,</w:t>
      </w:r>
      <w:r w:rsidR="00EB2298" w:rsidRPr="00A27AFD">
        <w:rPr>
          <w:rFonts w:ascii="Times New Roman" w:hAnsi="Times New Roman" w:cs="Times New Roman"/>
        </w:rPr>
        <w:t xml:space="preserve"> </w:t>
      </w:r>
      <w:r w:rsidR="00383C8C">
        <w:rPr>
          <w:rFonts w:ascii="Times New Roman" w:hAnsi="Times New Roman" w:cs="Times New Roman"/>
        </w:rPr>
        <w:t xml:space="preserve">la Cour constate que M. </w:t>
      </w:r>
      <w:r w:rsidR="00996248">
        <w:rPr>
          <w:rFonts w:ascii="Times New Roman" w:hAnsi="Times New Roman" w:cs="Times New Roman"/>
        </w:rPr>
        <w:t>X</w:t>
      </w:r>
      <w:r w:rsidR="00383C8C">
        <w:rPr>
          <w:rFonts w:ascii="Times New Roman" w:hAnsi="Times New Roman" w:cs="Times New Roman"/>
        </w:rPr>
        <w:t xml:space="preserve"> a manqué à</w:t>
      </w:r>
      <w:r w:rsidR="00365F4A" w:rsidRPr="00A27AFD">
        <w:rPr>
          <w:rFonts w:ascii="Times New Roman" w:hAnsi="Times New Roman" w:cs="Times New Roman"/>
        </w:rPr>
        <w:t xml:space="preserve"> ses obligations de contrôle de la validité de la créance telles que définies par les articles 12 et 13 du décret du 29 décembre 1962 susvisé ;</w:t>
      </w:r>
    </w:p>
    <w:p w:rsidR="006411B7" w:rsidRPr="00A27AFD" w:rsidRDefault="00122AF8" w:rsidP="00D60B5B">
      <w:pPr>
        <w:pStyle w:val="Corpsdetexte"/>
        <w:keepLines w:val="0"/>
        <w:ind w:firstLine="851"/>
        <w:rPr>
          <w:rFonts w:ascii="Times New Roman" w:hAnsi="Times New Roman" w:cs="Times New Roman"/>
        </w:rPr>
      </w:pPr>
      <w:r>
        <w:rPr>
          <w:rFonts w:ascii="Times New Roman" w:hAnsi="Times New Roman" w:cs="Times New Roman"/>
        </w:rPr>
        <w:t>Considérant qu’il ressort des pièces du dossier transmis à la Cour</w:t>
      </w:r>
      <w:r w:rsidR="00C13B5E" w:rsidRPr="00A27AFD">
        <w:rPr>
          <w:rFonts w:ascii="Times New Roman" w:hAnsi="Times New Roman" w:cs="Times New Roman"/>
        </w:rPr>
        <w:t xml:space="preserve">, d’une part que le paiement de 152 872 698,43 € correspondait </w:t>
      </w:r>
      <w:r w:rsidR="001912F8" w:rsidRPr="00A27AFD">
        <w:rPr>
          <w:rFonts w:ascii="Times New Roman" w:hAnsi="Times New Roman" w:cs="Times New Roman"/>
        </w:rPr>
        <w:t xml:space="preserve">effectivement </w:t>
      </w:r>
      <w:r w:rsidR="006D2EB9">
        <w:rPr>
          <w:rFonts w:ascii="Times New Roman" w:hAnsi="Times New Roman" w:cs="Times New Roman"/>
        </w:rPr>
        <w:t>à une tranche du montant dû par l’EPFR en garantie du CDR sur le fondement de la sentence arbitrale et que d’autre part, le</w:t>
      </w:r>
      <w:r w:rsidR="00C13B5E" w:rsidRPr="00A27AFD">
        <w:rPr>
          <w:rFonts w:ascii="Times New Roman" w:hAnsi="Times New Roman" w:cs="Times New Roman"/>
        </w:rPr>
        <w:t xml:space="preserve"> montant de 12 M€ a bien été soustrait du deuxième et dernier paiement dont ont bénéficié, le </w:t>
      </w:r>
      <w:r w:rsidR="00170201" w:rsidRPr="00A27AFD">
        <w:rPr>
          <w:rFonts w:ascii="Times New Roman" w:hAnsi="Times New Roman" w:cs="Times New Roman"/>
        </w:rPr>
        <w:t>3 avril</w:t>
      </w:r>
      <w:r w:rsidR="00C13B5E" w:rsidRPr="00A27AFD">
        <w:rPr>
          <w:rFonts w:ascii="Times New Roman" w:hAnsi="Times New Roman" w:cs="Times New Roman"/>
        </w:rPr>
        <w:t xml:space="preserve"> 2009, les liquidateurs du groupe </w:t>
      </w:r>
      <w:r w:rsidR="00CF1AEB">
        <w:rPr>
          <w:rFonts w:ascii="Times New Roman" w:hAnsi="Times New Roman" w:cs="Times New Roman"/>
        </w:rPr>
        <w:t>A</w:t>
      </w:r>
      <w:r w:rsidR="00C13B5E" w:rsidRPr="00A27AFD">
        <w:rPr>
          <w:rFonts w:ascii="Times New Roman" w:hAnsi="Times New Roman" w:cs="Times New Roman"/>
        </w:rPr>
        <w:t xml:space="preserve"> ; que le paiement du 4 septembre 2008 n’a </w:t>
      </w:r>
      <w:r w:rsidR="001912F8" w:rsidRPr="00A27AFD">
        <w:rPr>
          <w:rFonts w:ascii="Times New Roman" w:hAnsi="Times New Roman" w:cs="Times New Roman"/>
        </w:rPr>
        <w:t xml:space="preserve">donc </w:t>
      </w:r>
      <w:r w:rsidR="00C13B5E" w:rsidRPr="00A27AFD">
        <w:rPr>
          <w:rFonts w:ascii="Times New Roman" w:hAnsi="Times New Roman" w:cs="Times New Roman"/>
        </w:rPr>
        <w:t>pas entraîné un</w:t>
      </w:r>
      <w:r w:rsidR="00383C8C">
        <w:rPr>
          <w:rFonts w:ascii="Times New Roman" w:hAnsi="Times New Roman" w:cs="Times New Roman"/>
        </w:rPr>
        <w:t xml:space="preserve"> préjudice financier pour l’EPFR</w:t>
      </w:r>
      <w:r w:rsidR="00C13B5E" w:rsidRPr="00A27AFD">
        <w:rPr>
          <w:rFonts w:ascii="Times New Roman" w:hAnsi="Times New Roman" w:cs="Times New Roman"/>
        </w:rPr>
        <w:t xml:space="preserve"> au sens </w:t>
      </w:r>
      <w:r w:rsidR="009412B9" w:rsidRPr="00A27AFD">
        <w:rPr>
          <w:rFonts w:ascii="Times New Roman" w:hAnsi="Times New Roman" w:cs="Times New Roman"/>
        </w:rPr>
        <w:t>du paragraphe VI alinéa 2 de</w:t>
      </w:r>
      <w:r w:rsidR="00C52F3A" w:rsidRPr="00A27AFD">
        <w:rPr>
          <w:rFonts w:ascii="Times New Roman" w:hAnsi="Times New Roman" w:cs="Times New Roman"/>
        </w:rPr>
        <w:t xml:space="preserve"> l’article </w:t>
      </w:r>
      <w:r w:rsidR="009412B9" w:rsidRPr="00A27AFD">
        <w:rPr>
          <w:rFonts w:ascii="Times New Roman" w:hAnsi="Times New Roman" w:cs="Times New Roman"/>
        </w:rPr>
        <w:t xml:space="preserve">60 </w:t>
      </w:r>
      <w:r w:rsidR="00C52F3A" w:rsidRPr="00A27AFD">
        <w:rPr>
          <w:rFonts w:ascii="Times New Roman" w:hAnsi="Times New Roman" w:cs="Times New Roman"/>
        </w:rPr>
        <w:t>de la loi du 23 février 1963</w:t>
      </w:r>
      <w:r w:rsidR="009412B9" w:rsidRPr="00A27AFD">
        <w:rPr>
          <w:rFonts w:ascii="Times New Roman" w:hAnsi="Times New Roman" w:cs="Times New Roman"/>
        </w:rPr>
        <w:t> ;</w:t>
      </w:r>
    </w:p>
    <w:p w:rsidR="006172E8" w:rsidRDefault="006172E8" w:rsidP="00D60B5B">
      <w:pPr>
        <w:pStyle w:val="Corpsdetexte"/>
        <w:keepLines w:val="0"/>
        <w:ind w:firstLine="851"/>
        <w:rPr>
          <w:rFonts w:ascii="Times New Roman" w:hAnsi="Times New Roman" w:cs="Times New Roman"/>
        </w:rPr>
      </w:pPr>
      <w:r>
        <w:rPr>
          <w:rFonts w:ascii="Times New Roman" w:hAnsi="Times New Roman" w:cs="Times New Roman"/>
        </w:rPr>
        <w:t>Considérant qu’aux termes de l’article 60 modifié de la loi n°</w:t>
      </w:r>
      <w:r w:rsidR="000177A3">
        <w:rPr>
          <w:rFonts w:ascii="Times New Roman" w:hAnsi="Times New Roman" w:cs="Times New Roman"/>
        </w:rPr>
        <w:t xml:space="preserve"> </w:t>
      </w:r>
      <w:r>
        <w:rPr>
          <w:rFonts w:ascii="Times New Roman" w:hAnsi="Times New Roman" w:cs="Times New Roman"/>
        </w:rPr>
        <w:t>63-156 du 23 février 1963 « </w:t>
      </w:r>
      <w:r w:rsidRPr="00A27AFD">
        <w:rPr>
          <w:rFonts w:ascii="Times New Roman" w:hAnsi="Times New Roman" w:cs="Times New Roman"/>
          <w:i/>
          <w:iCs/>
        </w:rPr>
        <w:t>lorsque le manquement du comptable aux obligations mentionnées au (paragraphe I) n’a pas causé de préjudice financier (…) », le juge des comptes « peut obliger le comptable à s’acquitter d’une somme arrêtée, pour chaque exercice, en tenant compte des circonstances de l’espèce » (paragraphe VI, alinéa 2)</w:t>
      </w:r>
      <w:r>
        <w:rPr>
          <w:rFonts w:ascii="Times New Roman" w:hAnsi="Times New Roman" w:cs="Times New Roman"/>
          <w:i/>
          <w:iCs/>
        </w:rPr>
        <w:t> </w:t>
      </w:r>
      <w:r w:rsidRPr="000177A3">
        <w:rPr>
          <w:rFonts w:ascii="Times New Roman" w:hAnsi="Times New Roman" w:cs="Times New Roman"/>
          <w:iCs/>
        </w:rPr>
        <w:t>;</w:t>
      </w:r>
    </w:p>
    <w:p w:rsidR="000177A3" w:rsidRDefault="000177A3" w:rsidP="00D60B5B">
      <w:pPr>
        <w:pStyle w:val="Corpsdetexte"/>
        <w:keepLines w:val="0"/>
        <w:ind w:firstLine="851"/>
        <w:rPr>
          <w:rFonts w:ascii="Times New Roman" w:hAnsi="Times New Roman" w:cs="Times New Roman"/>
        </w:rPr>
      </w:pPr>
    </w:p>
    <w:p w:rsidR="00EC47AB" w:rsidRDefault="00EC47AB" w:rsidP="00D60B5B">
      <w:pPr>
        <w:pStyle w:val="Corpsdetexte"/>
        <w:keepLines w:val="0"/>
        <w:ind w:firstLine="851"/>
        <w:rPr>
          <w:rFonts w:ascii="Times New Roman" w:hAnsi="Times New Roman" w:cs="Times New Roman"/>
        </w:rPr>
      </w:pPr>
    </w:p>
    <w:p w:rsidR="00EC47AB" w:rsidRDefault="00EC47AB" w:rsidP="00D60B5B">
      <w:pPr>
        <w:pStyle w:val="Corpsdetexte"/>
        <w:keepLines w:val="0"/>
        <w:ind w:firstLine="851"/>
        <w:rPr>
          <w:rFonts w:ascii="Times New Roman" w:hAnsi="Times New Roman" w:cs="Times New Roman"/>
        </w:rPr>
      </w:pPr>
    </w:p>
    <w:p w:rsidR="006411B7" w:rsidRPr="00A27AFD" w:rsidRDefault="00171C55" w:rsidP="00D60B5B">
      <w:pPr>
        <w:pStyle w:val="Corpsdetexte"/>
        <w:keepLines w:val="0"/>
        <w:ind w:firstLine="851"/>
        <w:rPr>
          <w:rFonts w:ascii="Times New Roman" w:hAnsi="Times New Roman" w:cs="Times New Roman"/>
          <w:i/>
          <w:iCs/>
        </w:rPr>
      </w:pPr>
      <w:r w:rsidRPr="00A27AFD">
        <w:rPr>
          <w:rFonts w:ascii="Times New Roman" w:hAnsi="Times New Roman" w:cs="Times New Roman"/>
        </w:rPr>
        <w:t>Considérant</w:t>
      </w:r>
      <w:r w:rsidR="009412B9" w:rsidRPr="00A27AFD">
        <w:rPr>
          <w:rFonts w:ascii="Times New Roman" w:hAnsi="Times New Roman" w:cs="Times New Roman"/>
        </w:rPr>
        <w:t xml:space="preserve"> qu’aux termes du décret n° 2012-1386 du 10 décembre 2012 portant application du deuxième alinéa du VI de l’article 60 modifié susvisé </w:t>
      </w:r>
      <w:r w:rsidR="009412B9" w:rsidRPr="00A27AFD">
        <w:rPr>
          <w:rFonts w:ascii="Times New Roman" w:hAnsi="Times New Roman" w:cs="Times New Roman"/>
          <w:i/>
          <w:iCs/>
        </w:rPr>
        <w:t>« La somme maximale pouvant être mise à la charge du comptable, conformément aux dispositions du deuxième alinéa du VI de l’article 60 de la loi du 23 février 1963, susvisée, est fixée à un millième et demi du montant du cautionnement prévu pour</w:t>
      </w:r>
      <w:r w:rsidR="00B82127">
        <w:rPr>
          <w:rFonts w:ascii="Times New Roman" w:hAnsi="Times New Roman" w:cs="Times New Roman"/>
          <w:i/>
          <w:iCs/>
        </w:rPr>
        <w:t xml:space="preserve"> le poste comptable considéré » ;</w:t>
      </w:r>
    </w:p>
    <w:p w:rsidR="009412B9" w:rsidRPr="00A27AFD" w:rsidRDefault="009412B9" w:rsidP="00D60B5B">
      <w:pPr>
        <w:pStyle w:val="Corpsdetexte"/>
        <w:keepLines w:val="0"/>
        <w:ind w:firstLine="851"/>
        <w:rPr>
          <w:rFonts w:ascii="Times New Roman" w:hAnsi="Times New Roman" w:cs="Times New Roman"/>
        </w:rPr>
      </w:pPr>
      <w:r w:rsidRPr="00A27AFD">
        <w:rPr>
          <w:rFonts w:ascii="Times New Roman" w:hAnsi="Times New Roman" w:cs="Times New Roman"/>
        </w:rPr>
        <w:t>Considérant que le montant du cautionnement du comptable, pour l’exercice concerné, s’élève à</w:t>
      </w:r>
      <w:r w:rsidR="00B82127">
        <w:rPr>
          <w:rFonts w:ascii="Times New Roman" w:hAnsi="Times New Roman" w:cs="Times New Roman"/>
        </w:rPr>
        <w:t xml:space="preserve"> </w:t>
      </w:r>
      <w:r w:rsidR="006411B7" w:rsidRPr="00A27AFD">
        <w:rPr>
          <w:rFonts w:ascii="Times New Roman" w:hAnsi="Times New Roman" w:cs="Times New Roman"/>
        </w:rPr>
        <w:t>779</w:t>
      </w:r>
      <w:r w:rsidR="00B82127">
        <w:rPr>
          <w:rFonts w:ascii="Times New Roman" w:hAnsi="Times New Roman" w:cs="Times New Roman"/>
        </w:rPr>
        <w:t> </w:t>
      </w:r>
      <w:r w:rsidR="006411B7" w:rsidRPr="00A27AFD">
        <w:rPr>
          <w:rFonts w:ascii="Times New Roman" w:hAnsi="Times New Roman" w:cs="Times New Roman"/>
        </w:rPr>
        <w:t>000</w:t>
      </w:r>
      <w:r w:rsidR="00B82127">
        <w:rPr>
          <w:rFonts w:ascii="Times New Roman" w:hAnsi="Times New Roman" w:cs="Times New Roman"/>
        </w:rPr>
        <w:t> </w:t>
      </w:r>
      <w:r w:rsidR="006411B7" w:rsidRPr="00A27AFD">
        <w:rPr>
          <w:rFonts w:ascii="Times New Roman" w:hAnsi="Times New Roman" w:cs="Times New Roman"/>
        </w:rPr>
        <w:t>€ ;</w:t>
      </w:r>
    </w:p>
    <w:p w:rsidR="00492735" w:rsidRPr="00A27AFD" w:rsidRDefault="00C13B5E" w:rsidP="00D60B5B">
      <w:pPr>
        <w:keepLines/>
        <w:spacing w:before="360"/>
        <w:ind w:left="1134" w:firstLine="851"/>
        <w:jc w:val="both"/>
      </w:pPr>
      <w:r w:rsidRPr="00A27AFD">
        <w:t>Considérant qu’il sera fait une juste appréciation des circonstances de l’espèce en mettant à la charge du comptable</w:t>
      </w:r>
      <w:r w:rsidR="00122AF8">
        <w:t>, compte tenu de l’importance</w:t>
      </w:r>
      <w:r w:rsidRPr="00A27AFD">
        <w:t xml:space="preserve"> </w:t>
      </w:r>
      <w:r w:rsidR="00EA54CF">
        <w:t>des manquements constatés,</w:t>
      </w:r>
      <w:r w:rsidRPr="00A27AFD">
        <w:t xml:space="preserve"> </w:t>
      </w:r>
      <w:r w:rsidR="00EA54CF">
        <w:t xml:space="preserve">le montant maximal de la </w:t>
      </w:r>
      <w:r w:rsidRPr="00A27AFD">
        <w:t>somme non rémissible</w:t>
      </w:r>
      <w:r w:rsidR="00EA54CF">
        <w:t xml:space="preserve">, </w:t>
      </w:r>
      <w:r w:rsidR="00BB09F4">
        <w:br/>
      </w:r>
      <w:r w:rsidR="00EA54CF">
        <w:t xml:space="preserve">soit </w:t>
      </w:r>
      <w:r w:rsidR="006411B7" w:rsidRPr="00A27AFD">
        <w:t>1</w:t>
      </w:r>
      <w:r w:rsidR="00B82127">
        <w:t> </w:t>
      </w:r>
      <w:r w:rsidR="006411B7" w:rsidRPr="00A27AFD">
        <w:t>168,50 €.</w:t>
      </w:r>
    </w:p>
    <w:p w:rsidR="00812C35" w:rsidRPr="00EC47AB" w:rsidRDefault="00383C8C" w:rsidP="00EC47AB">
      <w:pPr>
        <w:keepLines/>
        <w:spacing w:before="480"/>
        <w:ind w:left="1134" w:firstLine="851"/>
        <w:jc w:val="both"/>
        <w:rPr>
          <w:b/>
          <w:iCs/>
        </w:rPr>
      </w:pPr>
      <w:r w:rsidRPr="00EC47AB">
        <w:rPr>
          <w:b/>
          <w:iCs/>
        </w:rPr>
        <w:t xml:space="preserve">Deuxième </w:t>
      </w:r>
      <w:r w:rsidR="00D60B5B" w:rsidRPr="00EC47AB">
        <w:rPr>
          <w:b/>
          <w:iCs/>
        </w:rPr>
        <w:t xml:space="preserve">présomption de </w:t>
      </w:r>
      <w:r w:rsidRPr="00EC47AB">
        <w:rPr>
          <w:b/>
          <w:iCs/>
        </w:rPr>
        <w:t>charge : v</w:t>
      </w:r>
      <w:r w:rsidR="00EA7F6B" w:rsidRPr="00EC47AB">
        <w:rPr>
          <w:b/>
          <w:iCs/>
        </w:rPr>
        <w:t>ersement du 3 avril 2009</w:t>
      </w:r>
    </w:p>
    <w:p w:rsidR="00A05460" w:rsidRPr="00A27AFD" w:rsidRDefault="00A05460" w:rsidP="00D60B5B">
      <w:pPr>
        <w:keepLines/>
        <w:spacing w:before="360"/>
        <w:ind w:left="1134" w:firstLine="851"/>
        <w:jc w:val="both"/>
      </w:pPr>
      <w:r w:rsidRPr="00A27AFD">
        <w:t>Considérant que</w:t>
      </w:r>
      <w:r w:rsidR="00B234EE">
        <w:t>, par virement en date du 2 avril 2009,</w:t>
      </w:r>
      <w:r w:rsidRPr="00A27AFD">
        <w:t xml:space="preserve"> le comptable a pris en charge le mandat n° 3 du 3 avril 2009 d’un montant de 116 864 359,40</w:t>
      </w:r>
      <w:r w:rsidR="00B82127">
        <w:t> </w:t>
      </w:r>
      <w:r w:rsidRPr="00A27AFD">
        <w:t>€ correspondant aux volets complémentaires des condamnations prononcées par le tribunal arbitral ; que ce second paiement a été effectué, à l’exception de toute autre pièce justificative, au vu d’une lettre du président du CDR en date du 26 mars 2009 ;</w:t>
      </w:r>
    </w:p>
    <w:p w:rsidR="00A05460" w:rsidRPr="00A27AFD" w:rsidRDefault="00A05460" w:rsidP="00D60B5B">
      <w:pPr>
        <w:keepLines/>
        <w:spacing w:before="360"/>
        <w:ind w:left="1134" w:firstLine="851"/>
        <w:jc w:val="both"/>
      </w:pPr>
      <w:r w:rsidRPr="00A27AFD">
        <w:t xml:space="preserve">Considérant que le montant versé inclut la prise en charge de la condamnation du CDR au paiement de l’indemnité de 45 M€ au titre du préjudice moral reconnu aux époux </w:t>
      </w:r>
      <w:r w:rsidR="00CF1AEB">
        <w:t>A</w:t>
      </w:r>
      <w:r w:rsidRPr="00A27AFD">
        <w:t xml:space="preserve"> </w:t>
      </w:r>
      <w:r w:rsidR="00B234EE">
        <w:t>par la sentence arbitrale</w:t>
      </w:r>
      <w:r w:rsidR="00B82127">
        <w:t> ;</w:t>
      </w:r>
    </w:p>
    <w:p w:rsidR="003221AD" w:rsidRPr="00A27AFD" w:rsidRDefault="003221AD" w:rsidP="00D60B5B">
      <w:pPr>
        <w:pStyle w:val="Corpsdetexte"/>
        <w:keepLines w:val="0"/>
        <w:ind w:firstLine="851"/>
        <w:rPr>
          <w:rFonts w:ascii="Times New Roman" w:hAnsi="Times New Roman" w:cs="Times New Roman"/>
        </w:rPr>
      </w:pPr>
      <w:r w:rsidRPr="00A27AFD">
        <w:rPr>
          <w:rFonts w:ascii="Times New Roman" w:hAnsi="Times New Roman" w:cs="Times New Roman"/>
        </w:rPr>
        <w:t>Considérant que le réquisitoire du Pr</w:t>
      </w:r>
      <w:r w:rsidR="00907437">
        <w:rPr>
          <w:rFonts w:ascii="Times New Roman" w:hAnsi="Times New Roman" w:cs="Times New Roman"/>
        </w:rPr>
        <w:t>ocureur général près la Cour des comptes</w:t>
      </w:r>
      <w:r w:rsidRPr="00A27AFD">
        <w:rPr>
          <w:rFonts w:ascii="Times New Roman" w:hAnsi="Times New Roman" w:cs="Times New Roman"/>
        </w:rPr>
        <w:t xml:space="preserve"> considère qu’il y a lieu de mettre en jeu la responsabilité personnelle et pécuniaire de M. </w:t>
      </w:r>
      <w:r w:rsidR="00996248">
        <w:rPr>
          <w:rFonts w:ascii="Times New Roman" w:hAnsi="Times New Roman" w:cs="Times New Roman"/>
        </w:rPr>
        <w:t>X</w:t>
      </w:r>
      <w:r w:rsidRPr="00A27AFD">
        <w:rPr>
          <w:rFonts w:ascii="Times New Roman" w:hAnsi="Times New Roman" w:cs="Times New Roman"/>
        </w:rPr>
        <w:t xml:space="preserve"> pour plusieurs manquements ;</w:t>
      </w:r>
    </w:p>
    <w:p w:rsidR="00092E56" w:rsidRDefault="00A05460" w:rsidP="00D60B5B">
      <w:pPr>
        <w:keepLines/>
        <w:spacing w:before="360"/>
        <w:ind w:left="1134" w:firstLine="851"/>
        <w:jc w:val="both"/>
      </w:pPr>
      <w:r w:rsidRPr="00A27AFD">
        <w:t>Considérant que le réquisitoire relève</w:t>
      </w:r>
      <w:r w:rsidR="00C8504C" w:rsidRPr="00A27AFD">
        <w:t>, en premier lieu,</w:t>
      </w:r>
      <w:r w:rsidRPr="00A27AFD">
        <w:t xml:space="preserve"> que la lettre ministérielle précitée du 17</w:t>
      </w:r>
      <w:r w:rsidR="00B82127">
        <w:t xml:space="preserve"> </w:t>
      </w:r>
      <w:r w:rsidRPr="00A27AFD">
        <w:t>mars</w:t>
      </w:r>
      <w:r w:rsidR="00B82127">
        <w:t xml:space="preserve"> </w:t>
      </w:r>
      <w:r w:rsidRPr="00A27AFD">
        <w:t>1999 définissait précisément la nature du risque pris en charge</w:t>
      </w:r>
      <w:r w:rsidR="00C8504C" w:rsidRPr="00A27AFD">
        <w:t xml:space="preserve"> par l’EPFR</w:t>
      </w:r>
      <w:r w:rsidRPr="00A27AFD">
        <w:t>, limitant celui-ci aux conséquences financières résultant « </w:t>
      </w:r>
      <w:r w:rsidRPr="00A27AFD">
        <w:rPr>
          <w:i/>
        </w:rPr>
        <w:t>de la cession de BTF</w:t>
      </w:r>
      <w:r w:rsidR="00C524A2">
        <w:rPr>
          <w:i/>
        </w:rPr>
        <w:t xml:space="preserve"> </w:t>
      </w:r>
      <w:proofErr w:type="spellStart"/>
      <w:r w:rsidRPr="00A27AFD">
        <w:rPr>
          <w:i/>
        </w:rPr>
        <w:t>GmbH</w:t>
      </w:r>
      <w:proofErr w:type="spellEnd"/>
      <w:r w:rsidRPr="00A27AFD">
        <w:rPr>
          <w:i/>
        </w:rPr>
        <w:t xml:space="preserve"> (Adidas) »</w:t>
      </w:r>
      <w:r w:rsidR="00092E56">
        <w:t> ;</w:t>
      </w:r>
    </w:p>
    <w:p w:rsidR="00937E65" w:rsidRDefault="00092E56" w:rsidP="00D60B5B">
      <w:pPr>
        <w:keepLines/>
        <w:spacing w:before="360"/>
        <w:ind w:left="1134" w:firstLine="851"/>
        <w:jc w:val="both"/>
      </w:pPr>
      <w:r>
        <w:t>Considérant que la lettre du 17 mars 1999</w:t>
      </w:r>
      <w:r w:rsidR="00B234EE">
        <w:t xml:space="preserve"> </w:t>
      </w:r>
      <w:r>
        <w:t xml:space="preserve">ne </w:t>
      </w:r>
      <w:r w:rsidR="00B234EE">
        <w:t>mentionnait pas les autres aspects</w:t>
      </w:r>
      <w:r w:rsidR="00A05460" w:rsidRPr="00A27AFD">
        <w:t xml:space="preserve"> du con</w:t>
      </w:r>
      <w:r w:rsidR="00B234EE">
        <w:t>tentieux et</w:t>
      </w:r>
      <w:r w:rsidR="00A05460" w:rsidRPr="00A27AFD">
        <w:t xml:space="preserve"> notamment </w:t>
      </w:r>
      <w:r w:rsidR="00B234EE">
        <w:t>pas</w:t>
      </w:r>
      <w:r w:rsidR="00364A8E" w:rsidRPr="00A27AFD">
        <w:t xml:space="preserve"> </w:t>
      </w:r>
      <w:r w:rsidR="00A05460" w:rsidRPr="00A27AFD">
        <w:t xml:space="preserve">la rupture des relations contractuelles entre le Crédit </w:t>
      </w:r>
      <w:r w:rsidR="00B82127">
        <w:t>l</w:t>
      </w:r>
      <w:r w:rsidR="00A05460" w:rsidRPr="00A27AFD">
        <w:t xml:space="preserve">yonnais et les époux </w:t>
      </w:r>
      <w:r w:rsidR="00CF1AEB">
        <w:t>A</w:t>
      </w:r>
      <w:r w:rsidR="00A05460" w:rsidRPr="00A27AFD">
        <w:t>, rupture qui, pour le t</w:t>
      </w:r>
      <w:r w:rsidR="00364A8E" w:rsidRPr="00A27AFD">
        <w:t>ribunal</w:t>
      </w:r>
      <w:r w:rsidR="00A05460" w:rsidRPr="00A27AFD">
        <w:t xml:space="preserve"> arbitral, avait constitué le principal motif justifiant la réparation d’un préjudice moral ;</w:t>
      </w:r>
    </w:p>
    <w:p w:rsidR="00A05460" w:rsidRPr="00A27AFD" w:rsidRDefault="00A05460" w:rsidP="00D60B5B">
      <w:pPr>
        <w:keepLines/>
        <w:spacing w:before="360"/>
        <w:ind w:left="1134" w:firstLine="851"/>
        <w:jc w:val="both"/>
      </w:pPr>
      <w:r w:rsidRPr="00A27AFD">
        <w:lastRenderedPageBreak/>
        <w:t xml:space="preserve">Considérant que </w:t>
      </w:r>
      <w:r w:rsidR="00364A8E" w:rsidRPr="00A27AFD">
        <w:t xml:space="preserve">le réquisitoire constate que </w:t>
      </w:r>
      <w:r w:rsidRPr="00A27AFD">
        <w:t>ce point est expressément rappelé lors du conseil d’administration de l’EPFR du 28 juillet 2008, le procès-verbal de séance mentionnant : « </w:t>
      </w:r>
      <w:r w:rsidRPr="00A27AFD">
        <w:rPr>
          <w:i/>
        </w:rPr>
        <w:t>le secrétaire général par intérim de l’EPFR précise qu’en application de la sentence arbitrale et considérant, s</w:t>
      </w:r>
      <w:r w:rsidR="00092E56">
        <w:rPr>
          <w:i/>
        </w:rPr>
        <w:t>ous le contrôle du président directeur général</w:t>
      </w:r>
      <w:r w:rsidR="00364A8E" w:rsidRPr="00A27AFD">
        <w:rPr>
          <w:i/>
        </w:rPr>
        <w:t xml:space="preserve"> du CDR, </w:t>
      </w:r>
      <w:r w:rsidRPr="00A27AFD">
        <w:rPr>
          <w:i/>
        </w:rPr>
        <w:t xml:space="preserve">que les 45 M€ de préjudice moral ne relèvent pas de </w:t>
      </w:r>
      <w:r w:rsidR="00C524A2">
        <w:rPr>
          <w:i/>
        </w:rPr>
        <w:t>la garantie sur le risque Adidas</w:t>
      </w:r>
      <w:r w:rsidRPr="00A27AFD">
        <w:rPr>
          <w:i/>
        </w:rPr>
        <w:t>, le CDR devrait prochainement appeler l’EPFR au titre des risques non chiffrables pour un montant de 153 M</w:t>
      </w:r>
      <w:r w:rsidRPr="00A27AFD">
        <w:t>€ »</w:t>
      </w:r>
      <w:r w:rsidR="00B82127">
        <w:t> </w:t>
      </w:r>
      <w:r w:rsidRPr="00A27AFD">
        <w:t>;</w:t>
      </w:r>
      <w:r w:rsidR="00364A8E" w:rsidRPr="00A27AFD">
        <w:t xml:space="preserve"> </w:t>
      </w:r>
      <w:r w:rsidR="003221AD" w:rsidRPr="00A27AFD">
        <w:t xml:space="preserve">que l’exclusion de la garantie du préjudice moral </w:t>
      </w:r>
      <w:r w:rsidR="0032493D" w:rsidRPr="00A27AFD">
        <w:t>figurait en outre explicitement dans l’état de liquidati</w:t>
      </w:r>
      <w:r w:rsidR="003221AD" w:rsidRPr="00A27AFD">
        <w:t>on annexé au premier mandat du 4</w:t>
      </w:r>
      <w:r w:rsidR="0032493D" w:rsidRPr="00A27AFD">
        <w:t xml:space="preserve"> septembre 2008 ;</w:t>
      </w:r>
      <w:r w:rsidR="003221AD" w:rsidRPr="00A27AFD">
        <w:t xml:space="preserve"> </w:t>
      </w:r>
      <w:r w:rsidR="00364A8E" w:rsidRPr="00A27AFD">
        <w:t>que dans ces conditions,</w:t>
      </w:r>
      <w:r w:rsidR="004801BC">
        <w:t xml:space="preserve"> l’EPFR ne devait</w:t>
      </w:r>
      <w:r w:rsidR="0032493D" w:rsidRPr="00A27AFD">
        <w:t xml:space="preserve"> pas</w:t>
      </w:r>
      <w:r w:rsidRPr="00A27AFD">
        <w:t xml:space="preserve"> prendre en charge, au titre des risques non chiffrables, les 45 M€ de condamnation pour préjudice moral </w:t>
      </w:r>
      <w:r w:rsidR="00364A8E" w:rsidRPr="00A27AFD">
        <w:t xml:space="preserve">accordés </w:t>
      </w:r>
      <w:r w:rsidRPr="00A27AFD">
        <w:t xml:space="preserve">aux époux </w:t>
      </w:r>
      <w:r w:rsidR="00CF1AEB">
        <w:t>A</w:t>
      </w:r>
      <w:r w:rsidR="003221AD" w:rsidRPr="00A27AFD">
        <w:t> ;</w:t>
      </w:r>
    </w:p>
    <w:p w:rsidR="003221AD" w:rsidRPr="00A27AFD" w:rsidRDefault="003221AD" w:rsidP="00D60B5B">
      <w:pPr>
        <w:keepLines/>
        <w:spacing w:before="360"/>
        <w:ind w:left="1134" w:firstLine="851"/>
        <w:jc w:val="both"/>
      </w:pPr>
      <w:r w:rsidRPr="00A27AFD">
        <w:t xml:space="preserve">Considérant que le réquisitoire conclut que le comptable ne pouvait manquer de relever, au vu de la lettre du président du CDR du 26 mars 2009, que le second mandat qui lui était soumis incluait la mise en paiement de l’indemnité due aux époux </w:t>
      </w:r>
      <w:r w:rsidR="00CF1AEB">
        <w:t>A</w:t>
      </w:r>
      <w:r w:rsidRPr="00A27AFD">
        <w:t xml:space="preserve"> en réparation de leur préjudice moral ; </w:t>
      </w:r>
      <w:r w:rsidR="0016482E" w:rsidRPr="00A27AFD">
        <w:t xml:space="preserve">que cette prise en charge par l’EPFR du préjudice moral subi par les époux </w:t>
      </w:r>
      <w:r w:rsidR="00CF1AEB">
        <w:t>A</w:t>
      </w:r>
      <w:r w:rsidR="0016482E" w:rsidRPr="00A27AFD">
        <w:t xml:space="preserve"> apparaissait contraire aux délibérations antérieures de l’EPFR et à la teneur de la lettre </w:t>
      </w:r>
      <w:r w:rsidR="0016482E" w:rsidRPr="00EC47AB">
        <w:t xml:space="preserve">du </w:t>
      </w:r>
      <w:r w:rsidR="0016482E" w:rsidRPr="00A27AFD">
        <w:t xml:space="preserve">ministre de l’économie et des finances du 17 mars 1999 ; </w:t>
      </w:r>
      <w:r w:rsidR="00DF6173">
        <w:t>qu</w:t>
      </w:r>
      <w:r w:rsidR="00814EE9">
        <w:t>e si cette indemnité avait</w:t>
      </w:r>
      <w:r w:rsidRPr="00A27AFD">
        <w:t xml:space="preserve"> été incluse dans le budget 2008 modifié de l’établissement lors de la séance du conseil d’admi</w:t>
      </w:r>
      <w:r w:rsidR="00D61842">
        <w:t>nist</w:t>
      </w:r>
      <w:r w:rsidRPr="00A27AFD">
        <w:t xml:space="preserve">ration du 25 novembre </w:t>
      </w:r>
      <w:r w:rsidR="001363AA">
        <w:t>2008, cela n’emportait pas</w:t>
      </w:r>
      <w:r w:rsidRPr="00A27AFD">
        <w:t xml:space="preserve"> la reconnaissance automatique de la garantie de l’EPFR sur ce volet spécifique de la condamnation</w:t>
      </w:r>
      <w:r w:rsidR="00B82127">
        <w:t> ;</w:t>
      </w:r>
      <w:r w:rsidRPr="00A27AFD">
        <w:t xml:space="preserve"> </w:t>
      </w:r>
      <w:r w:rsidR="001A572A" w:rsidRPr="00A27AFD">
        <w:t>qu</w:t>
      </w:r>
      <w:r w:rsidR="00C8504C" w:rsidRPr="00A27AFD">
        <w:t>e</w:t>
      </w:r>
      <w:r w:rsidRPr="00A27AFD">
        <w:t xml:space="preserve"> devant les doutes sérieux qui pouvaient entourer la prise en charge de ce second mandat, il lui appartenait d’en retenir le paiement ;</w:t>
      </w:r>
    </w:p>
    <w:p w:rsidR="00C8504C" w:rsidRPr="00A27AFD" w:rsidRDefault="00C8504C" w:rsidP="00D60B5B">
      <w:pPr>
        <w:keepLines/>
        <w:spacing w:before="360"/>
        <w:ind w:left="1134" w:firstLine="851"/>
        <w:jc w:val="both"/>
      </w:pPr>
      <w:r w:rsidRPr="00A27AFD">
        <w:t xml:space="preserve">Considérant que </w:t>
      </w:r>
      <w:r w:rsidR="0016482E" w:rsidRPr="00A27AFD">
        <w:t xml:space="preserve">le réquisitoire relève en deuxième lieu que la condition préalable posée par le conseil d’administration de l’EPFR relative à la participation du Crédit </w:t>
      </w:r>
      <w:r w:rsidR="00B82127">
        <w:t>l</w:t>
      </w:r>
      <w:r w:rsidR="0016482E" w:rsidRPr="00A27AFD">
        <w:t xml:space="preserve">yonnais </w:t>
      </w:r>
      <w:r w:rsidR="00B059D9">
        <w:t xml:space="preserve">à hauteur de 12 M€ </w:t>
      </w:r>
      <w:r w:rsidR="0016482E" w:rsidRPr="00A27AFD">
        <w:t>n’était toujours pas mise en œuvre à la date de ce second paiement ;</w:t>
      </w:r>
    </w:p>
    <w:p w:rsidR="00295019" w:rsidRPr="00A27AFD" w:rsidRDefault="0016482E" w:rsidP="00D60B5B">
      <w:pPr>
        <w:keepLines/>
        <w:spacing w:before="360"/>
        <w:ind w:left="1134" w:firstLine="851"/>
        <w:jc w:val="both"/>
      </w:pPr>
      <w:r w:rsidRPr="00A27AFD">
        <w:t>Considérant que le réquisitoire constate, en troisième lieu, que la nouvelle décision modificative au budget 2009 nécessaire à la prise en charge du second volet des condamnations et approuvée par le conseil d’administration de l’EPFR, le 27 mars 2009, était dépourvue de caractère exécutoire en l’absence de l’approbation</w:t>
      </w:r>
      <w:r w:rsidR="00295019" w:rsidRPr="00A27AFD">
        <w:t xml:space="preserve"> formelle de la ministre de l’économie et des finances, conformément à l’article 5 du décret n° 95-1316 du 22 décembre 1995 portant statuts de l’EPFR, cette approbation n’étant intervenue que le 15 juin 2009 ;</w:t>
      </w:r>
    </w:p>
    <w:p w:rsidR="00A15E19" w:rsidRPr="00A27AFD" w:rsidRDefault="00295019" w:rsidP="00D60B5B">
      <w:pPr>
        <w:keepLines/>
        <w:spacing w:before="360"/>
        <w:ind w:left="1134" w:firstLine="851"/>
        <w:jc w:val="both"/>
      </w:pPr>
      <w:r w:rsidRPr="00A27AFD">
        <w:t>Considérant que le réquisitoire relève en quatrième et cinquième lieu</w:t>
      </w:r>
      <w:r w:rsidR="009853F2" w:rsidRPr="00A27AFD">
        <w:t xml:space="preserve"> que le comptable</w:t>
      </w:r>
      <w:r w:rsidR="004A41D2">
        <w:t xml:space="preserve">, </w:t>
      </w:r>
      <w:r w:rsidR="004A41D2" w:rsidRPr="00A27AFD">
        <w:t>en émettant un virement le 2 avril</w:t>
      </w:r>
      <w:r w:rsidR="004A41D2">
        <w:t xml:space="preserve"> 2009,</w:t>
      </w:r>
      <w:r w:rsidR="009853F2" w:rsidRPr="00A27AFD">
        <w:t xml:space="preserve"> a ouvert sa caisse préalablement à l’ordre de payer de l’ordonnateur daté du 3</w:t>
      </w:r>
      <w:r w:rsidR="004A41D2">
        <w:t xml:space="preserve"> avril</w:t>
      </w:r>
      <w:r w:rsidR="009853F2" w:rsidRPr="00A27AFD">
        <w:t xml:space="preserve">, et que le circuit des délégations de signature au sein de l’agence comptable n’a pas été respecté ; </w:t>
      </w:r>
    </w:p>
    <w:p w:rsidR="0016482E" w:rsidRPr="00A27AFD" w:rsidRDefault="00A15E19" w:rsidP="00D60B5B">
      <w:pPr>
        <w:keepLines/>
        <w:spacing w:before="360"/>
        <w:ind w:left="1134" w:firstLine="851"/>
        <w:jc w:val="both"/>
      </w:pPr>
      <w:r w:rsidRPr="00A27AFD">
        <w:lastRenderedPageBreak/>
        <w:t>Considérant que le comptable fait valoir que l’inclusion du préjudice moral dans le champ des garanties de l’EPFR, d’abord écartée, a été réintégrée dans les montants devant être pris en charge au titre des risques non chiffrables à la suite d’une analyse des avocats du CDR ; que le montant de 45 M€ a été intégré par décision budgétaire modificative au budget 2008 de l’EPFR, approuvé par la ministre de tutelle, le 9 décembre 2008</w:t>
      </w:r>
      <w:r w:rsidR="00B5248F" w:rsidRPr="00A27AFD">
        <w:t> ;</w:t>
      </w:r>
      <w:r w:rsidR="00ED3B43" w:rsidRPr="00A27AFD">
        <w:t xml:space="preserve"> que la décision modificative du budget 2009, non approuvée par la ministre de tutelle, n’a fait que reconduire une disposition antérieure ;</w:t>
      </w:r>
    </w:p>
    <w:p w:rsidR="00BB09F4" w:rsidRDefault="00B5248F" w:rsidP="00D60B5B">
      <w:pPr>
        <w:keepLines/>
        <w:spacing w:before="360"/>
        <w:ind w:left="1134" w:firstLine="851"/>
        <w:jc w:val="both"/>
      </w:pPr>
      <w:r w:rsidRPr="00A27AFD">
        <w:t xml:space="preserve">Considérant que le comptable </w:t>
      </w:r>
      <w:r w:rsidR="00ED3B43" w:rsidRPr="00A27AFD">
        <w:t>réitère les mêmes observations sur l</w:t>
      </w:r>
      <w:r w:rsidR="00ED5EF8" w:rsidRPr="00A27AFD">
        <w:t>e constat</w:t>
      </w:r>
      <w:r w:rsidR="00ED3B43" w:rsidRPr="00A27AFD">
        <w:t xml:space="preserve"> de </w:t>
      </w:r>
      <w:r w:rsidR="00ED5EF8" w:rsidRPr="00A27AFD">
        <w:t xml:space="preserve">non </w:t>
      </w:r>
      <w:r w:rsidR="00ED3B43" w:rsidRPr="00A27AFD">
        <w:t>prise en charge des 12</w:t>
      </w:r>
      <w:r w:rsidR="00B82127">
        <w:t> </w:t>
      </w:r>
      <w:r w:rsidR="00ED3B43" w:rsidRPr="00A27AFD">
        <w:t>M€ par le Crédit Lyonnais</w:t>
      </w:r>
      <w:r w:rsidR="00ED5EF8" w:rsidRPr="00A27AFD">
        <w:t xml:space="preserve"> d’une part</w:t>
      </w:r>
      <w:r w:rsidR="00ED3B43" w:rsidRPr="00A27AFD">
        <w:t xml:space="preserve">, sur la date de l’ordre de virement </w:t>
      </w:r>
      <w:r w:rsidR="00ED5EF8" w:rsidRPr="00A27AFD">
        <w:t xml:space="preserve">d’autre part </w:t>
      </w:r>
      <w:r w:rsidR="00ED3B43" w:rsidRPr="00A27AFD">
        <w:t xml:space="preserve">et </w:t>
      </w:r>
      <w:r w:rsidR="00ED5EF8" w:rsidRPr="00A27AFD">
        <w:t xml:space="preserve">enfin </w:t>
      </w:r>
      <w:r w:rsidR="00ED3B43" w:rsidRPr="00A27AFD">
        <w:t>sur l’absence de respect du circuit de signature au sein de l’agence comptable ;</w:t>
      </w:r>
    </w:p>
    <w:p w:rsidR="00A05460" w:rsidRPr="00A27AFD" w:rsidRDefault="00A05460" w:rsidP="00D60B5B">
      <w:pPr>
        <w:keepLines/>
        <w:spacing w:before="360"/>
        <w:ind w:left="1134" w:firstLine="851"/>
        <w:jc w:val="both"/>
      </w:pPr>
      <w:r w:rsidRPr="00A27AFD">
        <w:t>Considérant qu’il appartenait au comptable, sans se faire juge de la légalité des décisions de l’ordonnateur et de l’autorité délibérante de l’établissement</w:t>
      </w:r>
      <w:r w:rsidR="00FB02C0">
        <w:t>, d’exercer les contrôles exigé</w:t>
      </w:r>
      <w:r w:rsidR="00A54245">
        <w:t>s</w:t>
      </w:r>
      <w:r w:rsidRPr="00A27AFD">
        <w:t xml:space="preserve"> sur les pièces produites et sur le caractère régulier et suffisant de ces pièces, permettant d’établir la réalité de la dette de l’établissement ;</w:t>
      </w:r>
    </w:p>
    <w:p w:rsidR="00A05460" w:rsidRPr="00A27AFD" w:rsidRDefault="00A05460" w:rsidP="00D60B5B">
      <w:pPr>
        <w:keepLines/>
        <w:spacing w:before="360"/>
        <w:ind w:left="1134" w:firstLine="851"/>
        <w:jc w:val="both"/>
      </w:pPr>
      <w:r w:rsidRPr="00A27AFD">
        <w:t>Considérant que selon une jurisprudence constante de la Cour, confirmée par son juge de cassation, le contrôle par le comptable ne peut se limiter à une vérification purement formelle des pièces justificatives ; que ce contrôle doit en effet porter sur le caractère complet et précis des pièces fournies, sur la cohérence de ces pièces au regard de la dépense et de son objet, sur les éventuelles contradictions entre les différentes pièces produites et enfin sur la cohérence des justifications fournies au regard de la réglementation en vigueur ;</w:t>
      </w:r>
    </w:p>
    <w:p w:rsidR="00372D07" w:rsidRDefault="002C781C" w:rsidP="00D60B5B">
      <w:pPr>
        <w:keepLines/>
        <w:spacing w:before="360"/>
        <w:ind w:left="1134" w:firstLine="851"/>
        <w:jc w:val="both"/>
      </w:pPr>
      <w:r>
        <w:t>Considérant que la lettre ministérielle précitée du 17</w:t>
      </w:r>
      <w:r w:rsidR="00B82127">
        <w:t xml:space="preserve"> </w:t>
      </w:r>
      <w:r>
        <w:t>mars</w:t>
      </w:r>
      <w:r w:rsidR="00B82127">
        <w:t xml:space="preserve"> </w:t>
      </w:r>
      <w:r>
        <w:t>1999</w:t>
      </w:r>
      <w:r w:rsidR="00937E65">
        <w:t xml:space="preserve"> limitait explicitement la garantie de l’EPFR</w:t>
      </w:r>
      <w:r>
        <w:t xml:space="preserve"> aux conséquences financières résultant « </w:t>
      </w:r>
      <w:r w:rsidRPr="002C781C">
        <w:rPr>
          <w:i/>
        </w:rPr>
        <w:t>de la cession de BTF</w:t>
      </w:r>
      <w:r w:rsidR="0016059C">
        <w:rPr>
          <w:i/>
        </w:rPr>
        <w:t xml:space="preserve"> </w:t>
      </w:r>
      <w:proofErr w:type="spellStart"/>
      <w:r w:rsidRPr="002C781C">
        <w:rPr>
          <w:i/>
        </w:rPr>
        <w:t>GmbH</w:t>
      </w:r>
      <w:proofErr w:type="spellEnd"/>
      <w:r w:rsidRPr="002C781C">
        <w:rPr>
          <w:i/>
        </w:rPr>
        <w:t xml:space="preserve"> (Adidas) »</w:t>
      </w:r>
      <w:r w:rsidRPr="002C781C">
        <w:t> </w:t>
      </w:r>
      <w:r w:rsidR="00786F5B">
        <w:t>; que</w:t>
      </w:r>
      <w:r>
        <w:t xml:space="preserve"> cette garantie ne pouvait porter que sur les actions engagées au titre de la cession d’A</w:t>
      </w:r>
      <w:r w:rsidR="0016059C">
        <w:t>didas</w:t>
      </w:r>
      <w:r>
        <w:t xml:space="preserve"> ; que </w:t>
      </w:r>
      <w:r w:rsidR="00786F5B">
        <w:t>dès lors la lettre ministérielle</w:t>
      </w:r>
      <w:r w:rsidR="00967700">
        <w:t xml:space="preserve"> </w:t>
      </w:r>
      <w:r w:rsidR="00786F5B">
        <w:t>établissant une liste limitative des risques non chiffrables n’autorisait pas la prise en charge d</w:t>
      </w:r>
      <w:r>
        <w:t xml:space="preserve">es autres volets du contentieux avec le groupe </w:t>
      </w:r>
      <w:r w:rsidR="00CF1AEB">
        <w:t>A</w:t>
      </w:r>
      <w:r w:rsidR="00372D07">
        <w:t> ;</w:t>
      </w:r>
    </w:p>
    <w:p w:rsidR="002C781C" w:rsidRDefault="006A0743" w:rsidP="00D60B5B">
      <w:pPr>
        <w:keepLines/>
        <w:spacing w:before="360"/>
        <w:ind w:left="1134" w:firstLine="851"/>
        <w:jc w:val="both"/>
      </w:pPr>
      <w:r>
        <w:t>Considérant que</w:t>
      </w:r>
      <w:r w:rsidR="002C781C">
        <w:t xml:space="preserve"> </w:t>
      </w:r>
      <w:r w:rsidR="00FB3DDA">
        <w:t>le procès-verbal précité du conseil d’administration de l’EPFR, le 28 juillet 2008, fait état de cette analyse</w:t>
      </w:r>
      <w:r w:rsidR="00B82127">
        <w:t xml:space="preserve"> </w:t>
      </w:r>
      <w:r w:rsidR="00FB3DDA">
        <w:t>(</w:t>
      </w:r>
      <w:r w:rsidR="00FB3DDA" w:rsidRPr="00AE5775">
        <w:rPr>
          <w:i/>
        </w:rPr>
        <w:t>«</w:t>
      </w:r>
      <w:r w:rsidR="00FB3DDA">
        <w:t> </w:t>
      </w:r>
      <w:r w:rsidR="00FB3DDA" w:rsidRPr="00A27AFD">
        <w:rPr>
          <w:i/>
        </w:rPr>
        <w:t>les 45 M€ de préjudice moral ne relèvent pas de la garantie sur le risq</w:t>
      </w:r>
      <w:r w:rsidR="0016059C">
        <w:rPr>
          <w:i/>
        </w:rPr>
        <w:t>ue Adidas</w:t>
      </w:r>
      <w:r w:rsidR="00FB3DDA">
        <w:rPr>
          <w:i/>
        </w:rPr>
        <w:t> »)</w:t>
      </w:r>
      <w:r w:rsidR="00B82127">
        <w:rPr>
          <w:i/>
        </w:rPr>
        <w:t> </w:t>
      </w:r>
      <w:r w:rsidR="00FB3DDA">
        <w:t xml:space="preserve">; que </w:t>
      </w:r>
      <w:r w:rsidR="002C781C">
        <w:t xml:space="preserve">le président du CDR </w:t>
      </w:r>
      <w:r w:rsidR="00FB3DDA">
        <w:t>la reprend</w:t>
      </w:r>
      <w:r>
        <w:t xml:space="preserve"> </w:t>
      </w:r>
      <w:r w:rsidR="002C781C">
        <w:t>dans la lettre qu’il a</w:t>
      </w:r>
      <w:r>
        <w:t>dresse au président de l’EPFR, le</w:t>
      </w:r>
      <w:r w:rsidR="002C781C">
        <w:t xml:space="preserve"> 28 juillet 2008</w:t>
      </w:r>
      <w:r>
        <w:t>, pour solliciter le premier appel en garantie</w:t>
      </w:r>
      <w:r w:rsidR="002C781C">
        <w:t> : « </w:t>
      </w:r>
      <w:r w:rsidR="0043121B">
        <w:rPr>
          <w:i/>
        </w:rPr>
        <w:t>eu égard</w:t>
      </w:r>
      <w:r w:rsidR="002C781C">
        <w:rPr>
          <w:i/>
        </w:rPr>
        <w:t xml:space="preserve"> à ces éléments, je sollicite l’EPFR afin d’assurer la prise en charge de la condamnation décidée par le tribunal arbitral, </w:t>
      </w:r>
      <w:r w:rsidR="002C781C" w:rsidRPr="006A0743">
        <w:rPr>
          <w:i/>
        </w:rPr>
        <w:t>à l’exception du préjudice moral, lequel devrait être assumé par le CDR seulement, ce préjudice, résultant selon le tribunal arbitral des circonstances ayant entouré la mise en liquidation et non du dossier A</w:t>
      </w:r>
      <w:r w:rsidR="0016059C">
        <w:rPr>
          <w:i/>
        </w:rPr>
        <w:t>didas</w:t>
      </w:r>
      <w:r w:rsidR="002C781C" w:rsidRPr="006A0743">
        <w:rPr>
          <w:i/>
        </w:rPr>
        <w:t xml:space="preserve"> strictement entendu </w:t>
      </w:r>
      <w:r w:rsidR="002C781C" w:rsidRPr="006A0743">
        <w:t>»</w:t>
      </w:r>
      <w:r w:rsidR="00B82127">
        <w:t> ;</w:t>
      </w:r>
    </w:p>
    <w:p w:rsidR="00413319" w:rsidRPr="00A27AFD" w:rsidRDefault="00E45593" w:rsidP="00D60B5B">
      <w:pPr>
        <w:keepLines/>
        <w:spacing w:before="360"/>
        <w:ind w:left="1134" w:firstLine="851"/>
        <w:jc w:val="both"/>
      </w:pPr>
      <w:r w:rsidRPr="00A27AFD">
        <w:lastRenderedPageBreak/>
        <w:t xml:space="preserve">Considérant que le comptable ne disposait </w:t>
      </w:r>
      <w:r w:rsidR="00413319" w:rsidRPr="00A27AFD">
        <w:t>pas</w:t>
      </w:r>
      <w:r w:rsidR="006D6312">
        <w:t>,</w:t>
      </w:r>
      <w:r w:rsidR="00413319" w:rsidRPr="00A27AFD">
        <w:t xml:space="preserve"> </w:t>
      </w:r>
      <w:r w:rsidRPr="00A27AFD">
        <w:t xml:space="preserve">pour procéder au paiement d’un mandat incluant les 45 M€ de préjudice moral </w:t>
      </w:r>
      <w:r w:rsidR="00413319" w:rsidRPr="00A27AFD">
        <w:t xml:space="preserve">dus aux époux </w:t>
      </w:r>
      <w:r w:rsidR="00CF1AEB">
        <w:t>A</w:t>
      </w:r>
      <w:r w:rsidR="006D6312">
        <w:t>,</w:t>
      </w:r>
      <w:r w:rsidR="00A05460" w:rsidRPr="00A27AFD">
        <w:t xml:space="preserve"> </w:t>
      </w:r>
      <w:r w:rsidR="006D6312">
        <w:t xml:space="preserve">d’une </w:t>
      </w:r>
      <w:r w:rsidR="00413319" w:rsidRPr="00A27AFD">
        <w:t>résolution du conseil d’administration de l’EPFR reven</w:t>
      </w:r>
      <w:r w:rsidR="006D6312">
        <w:t>ant</w:t>
      </w:r>
      <w:r w:rsidR="00413319" w:rsidRPr="00A27AFD">
        <w:t xml:space="preserve"> sur la </w:t>
      </w:r>
      <w:r w:rsidR="003A1EC8" w:rsidRPr="00A27AFD">
        <w:t xml:space="preserve">teneur de la </w:t>
      </w:r>
      <w:r w:rsidR="00413319" w:rsidRPr="00A27AFD">
        <w:t>lettre du ministre de l’économie et des finances du 17 mars 1999</w:t>
      </w:r>
      <w:r w:rsidR="00B82127">
        <w:t xml:space="preserve"> </w:t>
      </w:r>
      <w:r w:rsidR="00D42170">
        <w:t xml:space="preserve">et définissant une nouvelle liste des risques non chiffrables devant être pris en charge </w:t>
      </w:r>
      <w:r w:rsidR="0059792E">
        <w:t>par l’établissement public</w:t>
      </w:r>
      <w:r w:rsidR="00B82127">
        <w:t> ;</w:t>
      </w:r>
      <w:r w:rsidR="00413319" w:rsidRPr="00A27AFD">
        <w:t xml:space="preserve"> </w:t>
      </w:r>
      <w:r w:rsidR="00786F5B">
        <w:t xml:space="preserve">qu’aucune lettre ministérielle postérieure </w:t>
      </w:r>
      <w:r w:rsidR="000B28FD">
        <w:t>à la lettre</w:t>
      </w:r>
      <w:r w:rsidR="00D42170">
        <w:t xml:space="preserve"> datée du 17 mars 1999 </w:t>
      </w:r>
      <w:r w:rsidR="00786F5B">
        <w:t>n’</w:t>
      </w:r>
      <w:r w:rsidR="00D42170">
        <w:t>avait été adressée au président de l’EPFR pour modifier la</w:t>
      </w:r>
      <w:r w:rsidR="00786F5B">
        <w:t xml:space="preserve"> liste </w:t>
      </w:r>
      <w:r w:rsidR="00D42170">
        <w:t>des risques non chiffrables</w:t>
      </w:r>
      <w:r w:rsidR="00786F5B">
        <w:t xml:space="preserve"> ; </w:t>
      </w:r>
      <w:r w:rsidR="00413319" w:rsidRPr="00A27AFD">
        <w:t xml:space="preserve">qu’une </w:t>
      </w:r>
      <w:r w:rsidR="00C503F1">
        <w:t xml:space="preserve">simple </w:t>
      </w:r>
      <w:r w:rsidR="00413319" w:rsidRPr="00A27AFD">
        <w:t>information en conseil d’</w:t>
      </w:r>
      <w:r w:rsidR="00C503F1">
        <w:t xml:space="preserve">administration portant sur </w:t>
      </w:r>
      <w:r w:rsidR="00413319" w:rsidRPr="00A27AFD">
        <w:t>une analyse juridique réalisée par des avocats du CDR</w:t>
      </w:r>
      <w:r w:rsidR="003A1EC8" w:rsidRPr="00A27AFD">
        <w:t>, société bénéficiaire de la garantie,</w:t>
      </w:r>
      <w:r w:rsidR="00413319" w:rsidRPr="00A27AFD">
        <w:t xml:space="preserve"> ne saurait en tenir lieu ; </w:t>
      </w:r>
    </w:p>
    <w:p w:rsidR="00A05460" w:rsidRPr="00A27AFD" w:rsidRDefault="00413319" w:rsidP="00D60B5B">
      <w:pPr>
        <w:keepLines/>
        <w:spacing w:before="360"/>
        <w:ind w:left="1134" w:firstLine="851"/>
        <w:jc w:val="both"/>
      </w:pPr>
      <w:r w:rsidRPr="00A27AFD">
        <w:t>Considérant</w:t>
      </w:r>
      <w:r w:rsidR="003A1EC8" w:rsidRPr="00A27AFD">
        <w:t>, en outre,</w:t>
      </w:r>
      <w:r w:rsidRPr="00A27AFD">
        <w:t xml:space="preserve"> qu’il est de jurisprudence constante qu’une inscription au budget ne suffit pas, en l’absence de résolution </w:t>
      </w:r>
      <w:r w:rsidR="00814EE9">
        <w:t xml:space="preserve">spécifique </w:t>
      </w:r>
      <w:r w:rsidRPr="00A27AFD">
        <w:t>de l’organe délibérant, à autoriser la dépense ; qu’au demeurant, la décision budgétaire modificative du 27 mars 2009</w:t>
      </w:r>
      <w:r w:rsidR="004B6475" w:rsidRPr="00A27AFD">
        <w:t>, même sous la forme d’une reconduction d’une décision prise en 2008,</w:t>
      </w:r>
      <w:r w:rsidRPr="00A27AFD">
        <w:t xml:space="preserve"> n’était pas exécutoire, faute d’avoir recueilli</w:t>
      </w:r>
      <w:r w:rsidR="004B6475" w:rsidRPr="00A27AFD">
        <w:t xml:space="preserve"> l’approbation formelle de la ministre de l’économie et des finances, conformément à l’article 5 du décret n° 95-1316 du 22 décembre 1995 portant statuts de l’EPFR</w:t>
      </w:r>
      <w:r w:rsidR="00B82127">
        <w:t xml:space="preserve"> </w:t>
      </w:r>
      <w:r w:rsidR="004B6475" w:rsidRPr="00A27AFD">
        <w:t>et au principe de l’annualité budgétaire</w:t>
      </w:r>
      <w:r w:rsidR="00B82127">
        <w:t> ;</w:t>
      </w:r>
    </w:p>
    <w:p w:rsidR="00151BE3" w:rsidRDefault="00A05460" w:rsidP="00D60B5B">
      <w:pPr>
        <w:keepLines/>
        <w:spacing w:before="360"/>
        <w:ind w:left="1134" w:firstLine="851"/>
        <w:jc w:val="both"/>
        <w:rPr>
          <w:iCs/>
        </w:rPr>
      </w:pPr>
      <w:r w:rsidRPr="00A27AFD">
        <w:t>Considérant que</w:t>
      </w:r>
      <w:r w:rsidR="00A15A52" w:rsidRPr="00A27AFD">
        <w:t xml:space="preserve"> dans ces conditions et sans avoir à examiner les autres motifs de manquement, le comptable aurait dû suspendre le paiement</w:t>
      </w:r>
      <w:r w:rsidR="00B82127">
        <w:t xml:space="preserve"> </w:t>
      </w:r>
      <w:r w:rsidR="00E04AAF" w:rsidRPr="00A27AFD">
        <w:t>en application de l’article 37 du règlement général sur la comptabilité publique</w:t>
      </w:r>
      <w:r w:rsidR="00984084">
        <w:t> ;</w:t>
      </w:r>
      <w:r w:rsidR="00E04AAF" w:rsidRPr="00A27AFD">
        <w:t xml:space="preserve"> </w:t>
      </w:r>
      <w:r w:rsidR="00984084">
        <w:rPr>
          <w:iCs/>
        </w:rPr>
        <w:t xml:space="preserve">que, dès lors, la Cour constate que M. </w:t>
      </w:r>
      <w:r w:rsidR="00996248">
        <w:rPr>
          <w:iCs/>
        </w:rPr>
        <w:t>X</w:t>
      </w:r>
      <w:r w:rsidR="00984084">
        <w:rPr>
          <w:iCs/>
        </w:rPr>
        <w:t xml:space="preserve"> a manqué à ses obligations </w:t>
      </w:r>
      <w:r w:rsidR="00984084">
        <w:t xml:space="preserve">de contrôle de </w:t>
      </w:r>
      <w:r w:rsidR="00984084" w:rsidRPr="00A27AFD">
        <w:t>la disponibilité des créd</w:t>
      </w:r>
      <w:r w:rsidR="00984084">
        <w:t>its d’une part et de</w:t>
      </w:r>
      <w:r w:rsidR="00984084" w:rsidRPr="00A27AFD">
        <w:t xml:space="preserve"> la validité de la créance et </w:t>
      </w:r>
      <w:r w:rsidR="00C85FCD">
        <w:t xml:space="preserve">de </w:t>
      </w:r>
      <w:r w:rsidR="00984084" w:rsidRPr="00A27AFD">
        <w:t>l’exactitude des calculs de liquidation</w:t>
      </w:r>
      <w:r w:rsidR="00984084">
        <w:t xml:space="preserve"> d’autre part,</w:t>
      </w:r>
      <w:r w:rsidR="001E4430">
        <w:t xml:space="preserve"> </w:t>
      </w:r>
      <w:r w:rsidR="00984084">
        <w:t>telles que définies par les</w:t>
      </w:r>
      <w:r w:rsidR="00984084" w:rsidRPr="00A27AFD">
        <w:t xml:space="preserve"> articles 12 B et 13 du règlement général sur la comptabilité publique</w:t>
      </w:r>
      <w:r w:rsidR="00984084" w:rsidRPr="00A27AFD">
        <w:rPr>
          <w:iCs/>
        </w:rPr>
        <w:t> ;</w:t>
      </w:r>
    </w:p>
    <w:p w:rsidR="002205BC" w:rsidRPr="004F73DF" w:rsidRDefault="00151BE3" w:rsidP="00D60B5B">
      <w:pPr>
        <w:pStyle w:val="Corpsdetexte"/>
        <w:keepLines w:val="0"/>
        <w:ind w:firstLine="851"/>
        <w:rPr>
          <w:rFonts w:ascii="Times New Roman" w:hAnsi="Times New Roman" w:cs="Times New Roman"/>
        </w:rPr>
      </w:pPr>
      <w:r>
        <w:rPr>
          <w:rFonts w:ascii="Times New Roman" w:hAnsi="Times New Roman" w:cs="Times New Roman"/>
        </w:rPr>
        <w:t>Considérant qu’il ressort des pièces du dossier transmis à la Cour</w:t>
      </w:r>
      <w:r w:rsidRPr="00A27AFD">
        <w:rPr>
          <w:rFonts w:ascii="Times New Roman" w:hAnsi="Times New Roman" w:cs="Times New Roman"/>
        </w:rPr>
        <w:t xml:space="preserve"> </w:t>
      </w:r>
      <w:r w:rsidRPr="008E6635">
        <w:rPr>
          <w:rFonts w:ascii="Times New Roman" w:hAnsi="Times New Roman" w:cs="Times New Roman"/>
        </w:rPr>
        <w:t xml:space="preserve">que le versement du 3 avril 2009, </w:t>
      </w:r>
      <w:r w:rsidRPr="008E6635">
        <w:rPr>
          <w:rFonts w:ascii="Times New Roman" w:hAnsi="Times New Roman" w:cs="Times New Roman"/>
          <w:iCs/>
        </w:rPr>
        <w:t>à l’exclusion des 45 M€ de préjudice moral,</w:t>
      </w:r>
      <w:r w:rsidRPr="00A27AFD">
        <w:rPr>
          <w:rFonts w:ascii="Times New Roman" w:hAnsi="Times New Roman" w:cs="Times New Roman"/>
        </w:rPr>
        <w:t xml:space="preserve"> correspondait effectivement </w:t>
      </w:r>
      <w:r w:rsidRPr="00AF4FDE">
        <w:rPr>
          <w:rFonts w:ascii="Times New Roman" w:hAnsi="Times New Roman" w:cs="Times New Roman"/>
        </w:rPr>
        <w:t xml:space="preserve">à la deuxième </w:t>
      </w:r>
      <w:r>
        <w:rPr>
          <w:rFonts w:ascii="Times New Roman" w:hAnsi="Times New Roman" w:cs="Times New Roman"/>
        </w:rPr>
        <w:t>tranche du montant dû par l’EPFR en garantie du CDR sur le fondement de la sentence arbitrale</w:t>
      </w:r>
      <w:r w:rsidRPr="001E4430">
        <w:rPr>
          <w:rFonts w:ascii="Times New Roman" w:hAnsi="Times New Roman" w:cs="Times New Roman"/>
        </w:rPr>
        <w:t> ;</w:t>
      </w:r>
      <w:r w:rsidRPr="001E4430">
        <w:rPr>
          <w:rFonts w:ascii="Times New Roman" w:hAnsi="Times New Roman" w:cs="Times New Roman"/>
          <w:iCs/>
        </w:rPr>
        <w:t xml:space="preserve"> </w:t>
      </w:r>
      <w:r w:rsidRPr="00151BE3">
        <w:rPr>
          <w:rFonts w:ascii="Times New Roman" w:hAnsi="Times New Roman" w:cs="Times New Roman"/>
          <w:iCs/>
        </w:rPr>
        <w:t>que</w:t>
      </w:r>
      <w:r w:rsidR="001E3002" w:rsidRPr="00151BE3">
        <w:rPr>
          <w:rFonts w:ascii="Times New Roman" w:hAnsi="Times New Roman" w:cs="Times New Roman"/>
          <w:iCs/>
        </w:rPr>
        <w:t xml:space="preserve"> les 12</w:t>
      </w:r>
      <w:r w:rsidR="001E4430">
        <w:rPr>
          <w:rFonts w:ascii="Times New Roman" w:hAnsi="Times New Roman" w:cs="Times New Roman"/>
          <w:iCs/>
        </w:rPr>
        <w:t> </w:t>
      </w:r>
      <w:r w:rsidR="001E3002" w:rsidRPr="00151BE3">
        <w:rPr>
          <w:rFonts w:ascii="Times New Roman" w:hAnsi="Times New Roman" w:cs="Times New Roman"/>
          <w:iCs/>
        </w:rPr>
        <w:t xml:space="preserve">M€ dont les liquidateurs du groupe </w:t>
      </w:r>
      <w:r w:rsidR="00CF1AEB">
        <w:rPr>
          <w:rFonts w:ascii="Times New Roman" w:hAnsi="Times New Roman" w:cs="Times New Roman"/>
          <w:iCs/>
        </w:rPr>
        <w:t>A</w:t>
      </w:r>
      <w:r w:rsidR="001E3002" w:rsidRPr="00151BE3">
        <w:rPr>
          <w:rFonts w:ascii="Times New Roman" w:hAnsi="Times New Roman" w:cs="Times New Roman"/>
          <w:iCs/>
        </w:rPr>
        <w:t xml:space="preserve"> avai</w:t>
      </w:r>
      <w:r w:rsidR="00631657" w:rsidRPr="00151BE3">
        <w:rPr>
          <w:rFonts w:ascii="Times New Roman" w:hAnsi="Times New Roman" w:cs="Times New Roman"/>
          <w:iCs/>
        </w:rPr>
        <w:t>en</w:t>
      </w:r>
      <w:r w:rsidR="001E3002" w:rsidRPr="00151BE3">
        <w:rPr>
          <w:rFonts w:ascii="Times New Roman" w:hAnsi="Times New Roman" w:cs="Times New Roman"/>
          <w:iCs/>
        </w:rPr>
        <w:t>t accepté le paiement</w:t>
      </w:r>
      <w:r w:rsidR="001E4430">
        <w:rPr>
          <w:rFonts w:ascii="Times New Roman" w:hAnsi="Times New Roman" w:cs="Times New Roman"/>
          <w:iCs/>
        </w:rPr>
        <w:t xml:space="preserve"> </w:t>
      </w:r>
      <w:r w:rsidRPr="00151BE3">
        <w:rPr>
          <w:rFonts w:ascii="Times New Roman" w:hAnsi="Times New Roman" w:cs="Times New Roman"/>
          <w:iCs/>
        </w:rPr>
        <w:t>avaient bien été déduits du versement</w:t>
      </w:r>
      <w:r w:rsidR="001E4430">
        <w:rPr>
          <w:rFonts w:ascii="Times New Roman" w:hAnsi="Times New Roman" w:cs="Times New Roman"/>
          <w:iCs/>
        </w:rPr>
        <w:t> ;</w:t>
      </w:r>
      <w:r w:rsidR="001E3002" w:rsidRPr="00151BE3">
        <w:rPr>
          <w:rFonts w:ascii="Times New Roman" w:hAnsi="Times New Roman" w:cs="Times New Roman"/>
          <w:iCs/>
        </w:rPr>
        <w:t xml:space="preserve"> </w:t>
      </w:r>
      <w:r w:rsidR="00C85FCD" w:rsidRPr="00151BE3">
        <w:rPr>
          <w:rFonts w:ascii="Times New Roman" w:hAnsi="Times New Roman" w:cs="Times New Roman"/>
          <w:iCs/>
        </w:rPr>
        <w:t xml:space="preserve">que cette partie du versement n’a </w:t>
      </w:r>
      <w:r w:rsidR="004F73DF">
        <w:rPr>
          <w:rFonts w:ascii="Times New Roman" w:hAnsi="Times New Roman" w:cs="Times New Roman"/>
          <w:iCs/>
        </w:rPr>
        <w:t xml:space="preserve">donc </w:t>
      </w:r>
      <w:r w:rsidR="00C85FCD" w:rsidRPr="00151BE3">
        <w:rPr>
          <w:rFonts w:ascii="Times New Roman" w:hAnsi="Times New Roman" w:cs="Times New Roman"/>
          <w:iCs/>
        </w:rPr>
        <w:t>pas entrainé un préjudice financier pour l’EPFR</w:t>
      </w:r>
      <w:r w:rsidR="001E4430">
        <w:rPr>
          <w:rFonts w:ascii="Times New Roman" w:hAnsi="Times New Roman" w:cs="Times New Roman"/>
          <w:iCs/>
        </w:rPr>
        <w:t xml:space="preserve"> </w:t>
      </w:r>
      <w:r w:rsidRPr="00A27AFD">
        <w:rPr>
          <w:rFonts w:ascii="Times New Roman" w:hAnsi="Times New Roman" w:cs="Times New Roman"/>
        </w:rPr>
        <w:t>au sens du paragraphe VI alinéa 2 de l’article 60 de la loi du 23 février 1963 ;</w:t>
      </w:r>
    </w:p>
    <w:p w:rsidR="00C66FFE" w:rsidRPr="003B49E7" w:rsidRDefault="00C85FCD" w:rsidP="00D60B5B">
      <w:pPr>
        <w:keepLines/>
        <w:spacing w:before="360"/>
        <w:ind w:left="1134" w:firstLine="851"/>
        <w:jc w:val="both"/>
        <w:rPr>
          <w:iCs/>
        </w:rPr>
      </w:pPr>
      <w:r>
        <w:rPr>
          <w:iCs/>
        </w:rPr>
        <w:t>C</w:t>
      </w:r>
      <w:r w:rsidR="001E3002" w:rsidRPr="00A27AFD">
        <w:rPr>
          <w:iCs/>
        </w:rPr>
        <w:t>onsidérant</w:t>
      </w:r>
      <w:r>
        <w:rPr>
          <w:iCs/>
        </w:rPr>
        <w:t xml:space="preserve">, en revanche, </w:t>
      </w:r>
      <w:r w:rsidRPr="00A27AFD">
        <w:t xml:space="preserve">qu’en prenant en charge le préjudice moral dû aux époux </w:t>
      </w:r>
      <w:r w:rsidR="00CF1AEB">
        <w:t>A</w:t>
      </w:r>
      <w:r w:rsidRPr="00A27AFD">
        <w:t>,</w:t>
      </w:r>
      <w:r>
        <w:t xml:space="preserve"> le comptable</w:t>
      </w:r>
      <w:r w:rsidRPr="00A27AFD">
        <w:t xml:space="preserve"> a effectué un trop versé</w:t>
      </w:r>
      <w:r>
        <w:t xml:space="preserve"> ; </w:t>
      </w:r>
      <w:r w:rsidRPr="00A27AFD">
        <w:rPr>
          <w:iCs/>
        </w:rPr>
        <w:t>qu’en application de l’article 60 de la loi du 23 février 1963 susvisée, la responsabilité personnelle et pécuniaire du comptable se trouve engagée dès lors qu’une dépense a été irrégulièrement payée</w:t>
      </w:r>
      <w:r>
        <w:t> ;</w:t>
      </w:r>
    </w:p>
    <w:p w:rsidR="00B90A3C" w:rsidRDefault="00B90A3C" w:rsidP="00D60B5B">
      <w:pPr>
        <w:keepLines/>
        <w:spacing w:before="360"/>
        <w:ind w:left="1134" w:firstLine="851"/>
        <w:jc w:val="both"/>
      </w:pPr>
      <w:r w:rsidRPr="00A27AFD">
        <w:t>Considé</w:t>
      </w:r>
      <w:r w:rsidR="006A41E9">
        <w:t>rant que ce trop versé constitue</w:t>
      </w:r>
      <w:r w:rsidR="00553521">
        <w:t>, à la date du présent jugement,</w:t>
      </w:r>
      <w:r w:rsidRPr="00A27AFD">
        <w:t xml:space="preserve"> un</w:t>
      </w:r>
      <w:r w:rsidR="006A41E9">
        <w:t xml:space="preserve"> préjudice financier pour l’EPFR</w:t>
      </w:r>
      <w:r w:rsidRPr="00A27AFD">
        <w:t> ; qu’il y a</w:t>
      </w:r>
      <w:r w:rsidR="006A41E9">
        <w:t>urait</w:t>
      </w:r>
      <w:r w:rsidRPr="00A27AFD">
        <w:t xml:space="preserve"> lieu</w:t>
      </w:r>
      <w:r w:rsidR="00F527C1">
        <w:t>, sur ce motif,</w:t>
      </w:r>
      <w:r w:rsidRPr="00A27AFD">
        <w:t xml:space="preserve"> de constituer en débet M. </w:t>
      </w:r>
      <w:r w:rsidR="00996248">
        <w:t>X</w:t>
      </w:r>
      <w:r w:rsidRPr="00A27AFD">
        <w:t>, au titre de l’exercice 2009, de la somme de 45 M€</w:t>
      </w:r>
      <w:r w:rsidR="00D865DC" w:rsidRPr="00A27AFD">
        <w:t> ;</w:t>
      </w:r>
    </w:p>
    <w:p w:rsidR="006A41E9" w:rsidRDefault="006A41E9" w:rsidP="00D60B5B">
      <w:pPr>
        <w:keepLines/>
        <w:spacing w:before="360"/>
        <w:ind w:left="1134" w:firstLine="851"/>
        <w:jc w:val="both"/>
      </w:pPr>
      <w:r>
        <w:lastRenderedPageBreak/>
        <w:t>C</w:t>
      </w:r>
      <w:r w:rsidR="005B77B3">
        <w:t xml:space="preserve">onsidérant </w:t>
      </w:r>
      <w:r w:rsidR="00F527C1">
        <w:t xml:space="preserve">néanmoins </w:t>
      </w:r>
      <w:r w:rsidR="00553521">
        <w:t xml:space="preserve">qu’une instance est </w:t>
      </w:r>
      <w:r w:rsidR="005B77B3">
        <w:t>engagée</w:t>
      </w:r>
      <w:r>
        <w:t xml:space="preserve"> </w:t>
      </w:r>
      <w:r w:rsidR="005B77B3">
        <w:t>devant la Cour d’a</w:t>
      </w:r>
      <w:r w:rsidR="00553521">
        <w:t>ppel de Paris portant sur</w:t>
      </w:r>
      <w:r>
        <w:t xml:space="preserve"> la validité de la sentence arbitral</w:t>
      </w:r>
      <w:r w:rsidR="005B77B3">
        <w:t>e</w:t>
      </w:r>
      <w:r>
        <w:t> ;</w:t>
      </w:r>
      <w:r w:rsidR="0058378C">
        <w:t xml:space="preserve"> que l</w:t>
      </w:r>
      <w:r w:rsidR="00553521">
        <w:t xml:space="preserve">’issue de cette instance </w:t>
      </w:r>
      <w:r w:rsidR="00F527C1">
        <w:t>dans des délais rapprochés e</w:t>
      </w:r>
      <w:r w:rsidR="00553521">
        <w:t>st susceptible d’emporter des conséquences</w:t>
      </w:r>
      <w:r w:rsidR="0058378C">
        <w:t xml:space="preserve"> </w:t>
      </w:r>
      <w:r w:rsidR="00553521">
        <w:t>sur l’appréciation du préjudice financier</w:t>
      </w:r>
      <w:r w:rsidR="005B77B3">
        <w:t xml:space="preserve"> subi par</w:t>
      </w:r>
      <w:r w:rsidR="0058378C">
        <w:t xml:space="preserve"> l’EPFR</w:t>
      </w:r>
      <w:r w:rsidR="001E4430">
        <w:t xml:space="preserve"> </w:t>
      </w:r>
      <w:r w:rsidR="00553521">
        <w:t xml:space="preserve">à raison du manquement du comptable, </w:t>
      </w:r>
      <w:r w:rsidR="001C5E3D" w:rsidRPr="00A27AFD">
        <w:t>au sens du paragraphe VI alinéa 2 de l’article 60 de la loi du 23 février 1963</w:t>
      </w:r>
      <w:r w:rsidR="00553521">
        <w:t xml:space="preserve"> ; </w:t>
      </w:r>
    </w:p>
    <w:p w:rsidR="0058378C" w:rsidRDefault="000B02E1" w:rsidP="00D60B5B">
      <w:pPr>
        <w:keepLines/>
        <w:spacing w:before="360"/>
        <w:ind w:left="1134" w:firstLine="851"/>
        <w:jc w:val="both"/>
      </w:pPr>
      <w:r>
        <w:t>Considérant</w:t>
      </w:r>
      <w:r w:rsidR="001C5E3D">
        <w:t xml:space="preserve"> donc</w:t>
      </w:r>
      <w:r w:rsidR="0058378C">
        <w:t xml:space="preserve">, au cas d’espèce et dans le souci d’une bonne administration de la justice, </w:t>
      </w:r>
      <w:r>
        <w:t>qu’</w:t>
      </w:r>
      <w:r w:rsidR="0058378C">
        <w:t>il y a lieu de surse</w:t>
      </w:r>
      <w:r w:rsidR="004B204C">
        <w:t>oir au jugement sur le</w:t>
      </w:r>
      <w:r w:rsidR="0058378C">
        <w:t xml:space="preserve"> manquement constaté à l’occasion du versement du 3 avril 2009 ;</w:t>
      </w:r>
    </w:p>
    <w:p w:rsidR="00013650" w:rsidRDefault="00013650" w:rsidP="00D60B5B">
      <w:pPr>
        <w:keepLines/>
        <w:spacing w:before="360"/>
        <w:ind w:left="1134" w:firstLine="851"/>
        <w:jc w:val="both"/>
      </w:pPr>
    </w:p>
    <w:p w:rsidR="007C5EF8" w:rsidRDefault="007C5EF8" w:rsidP="009F2448">
      <w:pPr>
        <w:keepLines/>
        <w:spacing w:before="360"/>
        <w:ind w:left="1134" w:firstLine="851"/>
        <w:jc w:val="both"/>
        <w:rPr>
          <w:b/>
        </w:rPr>
      </w:pPr>
      <w:r w:rsidRPr="005D5EB7">
        <w:rPr>
          <w:b/>
        </w:rPr>
        <w:t>Par ces motifs :</w:t>
      </w:r>
    </w:p>
    <w:p w:rsidR="00013650" w:rsidRDefault="00013650" w:rsidP="009F2448">
      <w:pPr>
        <w:keepLines/>
        <w:spacing w:before="360"/>
        <w:ind w:left="1134" w:firstLine="851"/>
        <w:jc w:val="both"/>
        <w:rPr>
          <w:b/>
        </w:rPr>
      </w:pPr>
    </w:p>
    <w:p w:rsidR="009F2448" w:rsidRPr="005D5EB7" w:rsidRDefault="009F2448" w:rsidP="009F2448">
      <w:pPr>
        <w:keepLines/>
        <w:spacing w:before="120"/>
        <w:ind w:left="4105" w:firstLine="851"/>
        <w:jc w:val="both"/>
        <w:rPr>
          <w:b/>
        </w:rPr>
      </w:pPr>
      <w:r>
        <w:rPr>
          <w:b/>
        </w:rPr>
        <w:t>DECIDE</w:t>
      </w:r>
    </w:p>
    <w:p w:rsidR="007C5EF8" w:rsidRPr="001E4430" w:rsidRDefault="00BB09F4" w:rsidP="00BB09F4">
      <w:pPr>
        <w:keepLines/>
        <w:spacing w:before="360"/>
        <w:ind w:left="1985"/>
        <w:jc w:val="both"/>
      </w:pPr>
      <w:r w:rsidRPr="001E4430">
        <w:rPr>
          <w:u w:val="single"/>
        </w:rPr>
        <w:t>Article 1</w:t>
      </w:r>
      <w:r w:rsidRPr="001E4430">
        <w:rPr>
          <w:u w:val="single"/>
          <w:vertAlign w:val="superscript"/>
        </w:rPr>
        <w:t>er</w:t>
      </w:r>
      <w:r w:rsidRPr="001E4430">
        <w:t xml:space="preserve"> : </w:t>
      </w:r>
      <w:r w:rsidR="007C5EF8" w:rsidRPr="001E4430">
        <w:t xml:space="preserve">Première charge : M. </w:t>
      </w:r>
      <w:r w:rsidR="007C0762" w:rsidRPr="001E4430">
        <w:t>X</w:t>
      </w:r>
      <w:r w:rsidR="007C5EF8" w:rsidRPr="001E4430">
        <w:t xml:space="preserve"> devra</w:t>
      </w:r>
      <w:r w:rsidR="008314D9" w:rsidRPr="001E4430">
        <w:t>,</w:t>
      </w:r>
      <w:r w:rsidR="007C5EF8" w:rsidRPr="001E4430">
        <w:t xml:space="preserve"> </w:t>
      </w:r>
      <w:r w:rsidR="008314D9" w:rsidRPr="001E4430">
        <w:t xml:space="preserve">au titre de l’exercice 2008, </w:t>
      </w:r>
      <w:r w:rsidR="007C5EF8" w:rsidRPr="001E4430">
        <w:t xml:space="preserve">s’acquitter d’une somme non rémissible de </w:t>
      </w:r>
      <w:r w:rsidR="005541F1" w:rsidRPr="001E4430">
        <w:t>1</w:t>
      </w:r>
      <w:r w:rsidR="001E4430" w:rsidRPr="001E4430">
        <w:t> </w:t>
      </w:r>
      <w:r w:rsidR="005541F1" w:rsidRPr="001E4430">
        <w:t>168,50</w:t>
      </w:r>
      <w:r w:rsidR="001E4430" w:rsidRPr="001E4430">
        <w:t> </w:t>
      </w:r>
      <w:r w:rsidR="005541F1" w:rsidRPr="001E4430">
        <w:t>€</w:t>
      </w:r>
      <w:r w:rsidR="008314D9" w:rsidRPr="001E4430">
        <w:rPr>
          <w:rFonts w:cs="Arial"/>
        </w:rPr>
        <w:t>, en application du deuxième alinéa du paragraphe VI de l’article 60 de la loi n° 63-156 du 23 février 1963 ; cette somme ne peut faire l’objet d’une remise gracieuse en vertu du paragraphe IX de l’article 60 précité.</w:t>
      </w:r>
    </w:p>
    <w:p w:rsidR="005541F1" w:rsidRDefault="00BB09F4" w:rsidP="00BB09F4">
      <w:pPr>
        <w:keepLines/>
        <w:spacing w:before="360"/>
        <w:ind w:left="1985"/>
        <w:jc w:val="both"/>
      </w:pPr>
      <w:r w:rsidRPr="00132C9B">
        <w:rPr>
          <w:u w:val="single"/>
        </w:rPr>
        <w:t>Article 2</w:t>
      </w:r>
      <w:r w:rsidRPr="00132C9B">
        <w:t xml:space="preserve"> : </w:t>
      </w:r>
      <w:r w:rsidR="005541F1" w:rsidRPr="00132C9B">
        <w:t xml:space="preserve">Deuxième charge : Il est sursis à statuer sur le manquement </w:t>
      </w:r>
      <w:r w:rsidR="005541F1">
        <w:t>du comptable.</w:t>
      </w:r>
    </w:p>
    <w:p w:rsidR="00BB09F4" w:rsidRDefault="005D5EB7" w:rsidP="005D5EB7">
      <w:pPr>
        <w:keepLines/>
        <w:spacing w:before="360"/>
        <w:ind w:firstLine="1134"/>
        <w:jc w:val="center"/>
      </w:pPr>
      <w:r>
        <w:t>-------</w:t>
      </w:r>
    </w:p>
    <w:p w:rsidR="004B75EA" w:rsidRDefault="0097663B" w:rsidP="00384525">
      <w:pPr>
        <w:keepLines/>
        <w:spacing w:before="360"/>
        <w:ind w:left="1134" w:firstLine="851"/>
        <w:jc w:val="both"/>
        <w:rPr>
          <w:iCs/>
        </w:rPr>
      </w:pPr>
      <w:r>
        <w:t>Fait et jugé en la Cour des comptes, première chambre, troisième section</w:t>
      </w:r>
      <w:r w:rsidR="005D5EB7">
        <w:t xml:space="preserve">, les </w:t>
      </w:r>
      <w:r w:rsidR="00384525">
        <w:t xml:space="preserve">trente septembre, </w:t>
      </w:r>
      <w:r w:rsidR="005D5EB7">
        <w:t xml:space="preserve"> </w:t>
      </w:r>
      <w:r w:rsidR="00384525">
        <w:t>huit et treize octobre deux mil quatorze</w:t>
      </w:r>
      <w:r>
        <w:t>.</w:t>
      </w:r>
      <w:r w:rsidR="00384525">
        <w:t xml:space="preserve"> </w:t>
      </w:r>
      <w:r w:rsidR="005D5EB7">
        <w:t xml:space="preserve">Présents : </w:t>
      </w:r>
      <w:r w:rsidR="00BB09F4">
        <w:t>M. Briet, président, M</w:t>
      </w:r>
      <w:r w:rsidR="00BB09F4" w:rsidRPr="001E4430">
        <w:rPr>
          <w:vertAlign w:val="superscript"/>
        </w:rPr>
        <w:t>me</w:t>
      </w:r>
      <w:r w:rsidR="00BB09F4">
        <w:t xml:space="preserve"> S</w:t>
      </w:r>
      <w:r w:rsidR="00BB09F4">
        <w:rPr>
          <w:iCs/>
        </w:rPr>
        <w:t xml:space="preserve">aliou, présidente de section, MM. </w:t>
      </w:r>
      <w:proofErr w:type="spellStart"/>
      <w:r w:rsidR="00BB09F4">
        <w:rPr>
          <w:iCs/>
        </w:rPr>
        <w:t>Pannier</w:t>
      </w:r>
      <w:proofErr w:type="spellEnd"/>
      <w:r w:rsidR="00BB09F4">
        <w:rPr>
          <w:iCs/>
        </w:rPr>
        <w:t xml:space="preserve">, Charpy, </w:t>
      </w:r>
      <w:proofErr w:type="spellStart"/>
      <w:r w:rsidR="00BB09F4">
        <w:rPr>
          <w:iCs/>
        </w:rPr>
        <w:t>Ory-Lavollée</w:t>
      </w:r>
      <w:proofErr w:type="spellEnd"/>
      <w:r w:rsidR="00BB09F4">
        <w:rPr>
          <w:iCs/>
        </w:rPr>
        <w:t>, Chouvet</w:t>
      </w:r>
      <w:r w:rsidR="00895754">
        <w:rPr>
          <w:iCs/>
        </w:rPr>
        <w:t xml:space="preserve"> et M</w:t>
      </w:r>
      <w:r w:rsidR="00895754" w:rsidRPr="001E4430">
        <w:rPr>
          <w:iCs/>
          <w:vertAlign w:val="superscript"/>
        </w:rPr>
        <w:t>me</w:t>
      </w:r>
      <w:r w:rsidR="00895754">
        <w:rPr>
          <w:iCs/>
        </w:rPr>
        <w:t xml:space="preserve"> </w:t>
      </w:r>
      <w:proofErr w:type="spellStart"/>
      <w:r w:rsidR="00895754">
        <w:rPr>
          <w:iCs/>
        </w:rPr>
        <w:t>Perin</w:t>
      </w:r>
      <w:proofErr w:type="spellEnd"/>
      <w:r w:rsidR="00895754">
        <w:rPr>
          <w:iCs/>
        </w:rPr>
        <w:t>, conseillers maîtres.</w:t>
      </w:r>
    </w:p>
    <w:p w:rsidR="007E0E02" w:rsidRDefault="007E0E02" w:rsidP="00384525">
      <w:pPr>
        <w:keepLines/>
        <w:spacing w:before="360"/>
        <w:ind w:left="1134" w:firstLine="851"/>
        <w:jc w:val="both"/>
        <w:rPr>
          <w:iCs/>
        </w:rPr>
      </w:pPr>
    </w:p>
    <w:p w:rsidR="007E0E02" w:rsidRDefault="007E0E02" w:rsidP="007E0E02">
      <w:pPr>
        <w:pStyle w:val="PS"/>
        <w:spacing w:after="240"/>
        <w:ind w:left="1134" w:firstLine="851"/>
      </w:pPr>
      <w:r>
        <w:t xml:space="preserve">Signé : Raoul </w:t>
      </w:r>
      <w:proofErr w:type="spellStart"/>
      <w:r>
        <w:t>Briet</w:t>
      </w:r>
      <w:proofErr w:type="spellEnd"/>
      <w:r>
        <w:t>, président, et Marie-Hélène Paris-Varin, greffier de séance.</w:t>
      </w:r>
    </w:p>
    <w:p w:rsidR="007E0E02" w:rsidRDefault="007E0E02" w:rsidP="007E0E02">
      <w:pPr>
        <w:pStyle w:val="PS"/>
        <w:spacing w:after="240"/>
        <w:ind w:left="1134" w:firstLine="851"/>
      </w:pPr>
      <w:r w:rsidRPr="006D6569">
        <w:t>Collationné, certifié conforme à la minute étant au greffe de la Cour des comptes.</w:t>
      </w:r>
    </w:p>
    <w:p w:rsidR="007E0E02" w:rsidRDefault="007E0E02">
      <w:pPr>
        <w:spacing w:after="200" w:line="276" w:lineRule="auto"/>
      </w:pPr>
      <w:r>
        <w:br w:type="page"/>
      </w:r>
    </w:p>
    <w:p w:rsidR="007E0E02" w:rsidRDefault="007E0E02" w:rsidP="007E0E02">
      <w:pPr>
        <w:pStyle w:val="PS"/>
        <w:ind w:left="1134" w:firstLine="851"/>
        <w:rPr>
          <w:rFonts w:cs="Arial"/>
        </w:rPr>
      </w:pPr>
      <w:r w:rsidRPr="006D6569">
        <w:rPr>
          <w:rFonts w:cs="Arial"/>
        </w:rPr>
        <w:lastRenderedPageBreak/>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7E0E02" w:rsidRPr="0007430D" w:rsidRDefault="007E0E02" w:rsidP="007E0E02">
      <w:pPr>
        <w:pStyle w:val="PS"/>
        <w:ind w:left="1134" w:firstLine="851"/>
      </w:pPr>
      <w:r w:rsidRPr="0007430D">
        <w:t>Délivré par moi, secrétaire général.</w:t>
      </w:r>
    </w:p>
    <w:p w:rsidR="007E0E02" w:rsidRPr="002C4257" w:rsidRDefault="007E0E02" w:rsidP="007E0E02">
      <w:pPr>
        <w:pStyle w:val="PS"/>
        <w:spacing w:after="0"/>
        <w:ind w:firstLine="1985"/>
        <w:jc w:val="center"/>
        <w:rPr>
          <w:b/>
          <w:bCs/>
        </w:rPr>
      </w:pPr>
      <w:r w:rsidRPr="002C4257">
        <w:rPr>
          <w:b/>
          <w:bCs/>
        </w:rPr>
        <w:t xml:space="preserve">Pour le </w:t>
      </w:r>
      <w:r>
        <w:rPr>
          <w:b/>
          <w:bCs/>
        </w:rPr>
        <w:t>s</w:t>
      </w:r>
      <w:r w:rsidRPr="002C4257">
        <w:rPr>
          <w:b/>
          <w:bCs/>
        </w:rPr>
        <w:t>ecrétaire général</w:t>
      </w:r>
    </w:p>
    <w:p w:rsidR="007E0E02" w:rsidRDefault="007E0E02" w:rsidP="007E0E02">
      <w:pPr>
        <w:pStyle w:val="PS"/>
        <w:spacing w:after="0"/>
        <w:ind w:firstLine="1985"/>
        <w:jc w:val="center"/>
        <w:rPr>
          <w:b/>
          <w:bCs/>
        </w:rPr>
      </w:pPr>
      <w:proofErr w:type="gramStart"/>
      <w:r w:rsidRPr="002C4257">
        <w:rPr>
          <w:b/>
          <w:bCs/>
        </w:rPr>
        <w:t>et</w:t>
      </w:r>
      <w:proofErr w:type="gramEnd"/>
      <w:r w:rsidRPr="002C4257">
        <w:rPr>
          <w:b/>
          <w:bCs/>
        </w:rPr>
        <w:t xml:space="preserve"> par délégation,</w:t>
      </w:r>
      <w:r>
        <w:rPr>
          <w:b/>
          <w:bCs/>
        </w:rPr>
        <w:t xml:space="preserve"> la greffière principale,</w:t>
      </w:r>
    </w:p>
    <w:p w:rsidR="007E0E02" w:rsidRPr="002C4257" w:rsidRDefault="007E0E02" w:rsidP="007E0E02">
      <w:pPr>
        <w:pStyle w:val="PS"/>
        <w:spacing w:after="0"/>
        <w:ind w:firstLine="1985"/>
        <w:jc w:val="center"/>
        <w:rPr>
          <w:b/>
          <w:bCs/>
        </w:rPr>
      </w:pPr>
      <w:r>
        <w:rPr>
          <w:b/>
          <w:bCs/>
        </w:rPr>
        <w:t>Chef du greffe de la Cour des comptes</w:t>
      </w:r>
    </w:p>
    <w:p w:rsidR="007E0E02" w:rsidRDefault="007E0E02" w:rsidP="007E0E02">
      <w:pPr>
        <w:pStyle w:val="PS"/>
        <w:spacing w:after="0"/>
        <w:ind w:firstLine="1985"/>
        <w:jc w:val="center"/>
        <w:rPr>
          <w:b/>
          <w:bCs/>
        </w:rPr>
      </w:pPr>
      <w:r>
        <w:rPr>
          <w:b/>
          <w:bCs/>
        </w:rPr>
        <w:t xml:space="preserve"> </w:t>
      </w:r>
    </w:p>
    <w:p w:rsidR="007E0E02" w:rsidRDefault="007E0E02" w:rsidP="007E0E02">
      <w:pPr>
        <w:pStyle w:val="PS"/>
        <w:spacing w:after="0"/>
        <w:ind w:firstLine="1985"/>
        <w:jc w:val="center"/>
        <w:rPr>
          <w:b/>
          <w:bCs/>
        </w:rPr>
      </w:pPr>
    </w:p>
    <w:p w:rsidR="007E0E02" w:rsidRDefault="007E0E02" w:rsidP="007E0E02">
      <w:pPr>
        <w:pStyle w:val="PS"/>
        <w:spacing w:after="0"/>
        <w:ind w:firstLine="1985"/>
        <w:jc w:val="center"/>
        <w:rPr>
          <w:b/>
          <w:bCs/>
        </w:rPr>
      </w:pPr>
    </w:p>
    <w:p w:rsidR="007E0E02" w:rsidRDefault="007E0E02" w:rsidP="007E0E02">
      <w:pPr>
        <w:pStyle w:val="PS"/>
        <w:spacing w:after="0"/>
        <w:ind w:firstLine="1985"/>
        <w:jc w:val="center"/>
        <w:rPr>
          <w:b/>
          <w:bCs/>
        </w:rPr>
      </w:pPr>
    </w:p>
    <w:p w:rsidR="007E0E02" w:rsidRDefault="007E0E02" w:rsidP="007E0E02">
      <w:pPr>
        <w:pStyle w:val="PS"/>
        <w:spacing w:after="0"/>
        <w:ind w:firstLine="1985"/>
        <w:jc w:val="center"/>
        <w:rPr>
          <w:b/>
          <w:bCs/>
        </w:rPr>
      </w:pPr>
    </w:p>
    <w:p w:rsidR="007E0E02" w:rsidRPr="002C4257" w:rsidRDefault="007E0E02" w:rsidP="007E0E02">
      <w:pPr>
        <w:pStyle w:val="PS"/>
        <w:spacing w:after="600"/>
        <w:ind w:firstLine="1985"/>
        <w:jc w:val="center"/>
        <w:rPr>
          <w:b/>
          <w:bCs/>
        </w:rPr>
      </w:pPr>
      <w:r>
        <w:rPr>
          <w:b/>
          <w:bCs/>
        </w:rPr>
        <w:t>Florence Biot</w:t>
      </w:r>
    </w:p>
    <w:bookmarkEnd w:id="12"/>
    <w:p w:rsidR="008F2DD8" w:rsidRPr="00A27AFD" w:rsidRDefault="008F2DD8" w:rsidP="00061418"/>
    <w:p w:rsidR="005D5EB7" w:rsidRPr="00A27AFD" w:rsidRDefault="005D5EB7"/>
    <w:sectPr w:rsidR="005D5EB7" w:rsidRPr="00A27AFD" w:rsidSect="000177A3">
      <w:headerReference w:type="default" r:id="rId8"/>
      <w:footerReference w:type="default" r:id="rId9"/>
      <w:pgSz w:w="11906" w:h="16838"/>
      <w:pgMar w:top="284"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C9C" w:rsidRDefault="00700C9C" w:rsidP="00061418">
      <w:r>
        <w:separator/>
      </w:r>
    </w:p>
  </w:endnote>
  <w:endnote w:type="continuationSeparator" w:id="0">
    <w:p w:rsidR="00700C9C" w:rsidRDefault="00700C9C" w:rsidP="0006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B74" w:rsidRDefault="00103B74">
    <w:pPr>
      <w:pStyle w:val="Pieddepage"/>
    </w:pPr>
  </w:p>
  <w:p w:rsidR="00103B74" w:rsidRDefault="00103B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C9C" w:rsidRDefault="00700C9C" w:rsidP="00061418">
      <w:r>
        <w:separator/>
      </w:r>
    </w:p>
  </w:footnote>
  <w:footnote w:type="continuationSeparator" w:id="0">
    <w:p w:rsidR="00700C9C" w:rsidRDefault="00700C9C" w:rsidP="00061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425191"/>
      <w:docPartObj>
        <w:docPartGallery w:val="Page Numbers (Top of Page)"/>
        <w:docPartUnique/>
      </w:docPartObj>
    </w:sdtPr>
    <w:sdtEndPr/>
    <w:sdtContent>
      <w:p w:rsidR="00D60B5B" w:rsidRDefault="00D60B5B">
        <w:pPr>
          <w:pStyle w:val="En-tte"/>
          <w:jc w:val="right"/>
        </w:pPr>
        <w:r>
          <w:fldChar w:fldCharType="begin"/>
        </w:r>
        <w:r>
          <w:instrText>PAGE   \* MERGEFORMAT</w:instrText>
        </w:r>
        <w:r>
          <w:fldChar w:fldCharType="separate"/>
        </w:r>
        <w:r w:rsidR="0017681E">
          <w:rPr>
            <w:noProof/>
          </w:rPr>
          <w:t>13</w:t>
        </w:r>
        <w:r>
          <w:fldChar w:fldCharType="end"/>
        </w:r>
      </w:p>
    </w:sdtContent>
  </w:sdt>
  <w:p w:rsidR="00D60B5B" w:rsidRDefault="00D60B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DA0"/>
    <w:multiLevelType w:val="hybridMultilevel"/>
    <w:tmpl w:val="AB4E3CE6"/>
    <w:lvl w:ilvl="0" w:tplc="6C2652E0">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51334890"/>
    <w:multiLevelType w:val="hybridMultilevel"/>
    <w:tmpl w:val="A8E034FE"/>
    <w:lvl w:ilvl="0" w:tplc="AECEB762">
      <w:numFmt w:val="bullet"/>
      <w:lvlText w:val="-"/>
      <w:lvlJc w:val="left"/>
      <w:pPr>
        <w:ind w:left="1495" w:hanging="360"/>
      </w:pPr>
      <w:rPr>
        <w:rFonts w:ascii="Times New Roman" w:eastAsiaTheme="minorHAnsi" w:hAnsi="Times New Roman" w:cs="Times New Roman"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18"/>
    <w:rsid w:val="000120E5"/>
    <w:rsid w:val="00013650"/>
    <w:rsid w:val="00014D7C"/>
    <w:rsid w:val="000177A3"/>
    <w:rsid w:val="0002515E"/>
    <w:rsid w:val="00061418"/>
    <w:rsid w:val="00061A2B"/>
    <w:rsid w:val="00062496"/>
    <w:rsid w:val="00084C99"/>
    <w:rsid w:val="00092E56"/>
    <w:rsid w:val="000B02E1"/>
    <w:rsid w:val="000B28FD"/>
    <w:rsid w:val="000D41F1"/>
    <w:rsid w:val="000E0DFB"/>
    <w:rsid w:val="000E20DD"/>
    <w:rsid w:val="000E32DE"/>
    <w:rsid w:val="00102795"/>
    <w:rsid w:val="00103B74"/>
    <w:rsid w:val="00122AF8"/>
    <w:rsid w:val="00132C9B"/>
    <w:rsid w:val="00133C97"/>
    <w:rsid w:val="001363AA"/>
    <w:rsid w:val="00151BE3"/>
    <w:rsid w:val="0016059C"/>
    <w:rsid w:val="00161FFD"/>
    <w:rsid w:val="0016482E"/>
    <w:rsid w:val="00170201"/>
    <w:rsid w:val="00171C55"/>
    <w:rsid w:val="0017681E"/>
    <w:rsid w:val="0018539F"/>
    <w:rsid w:val="00186B56"/>
    <w:rsid w:val="001912F8"/>
    <w:rsid w:val="0019696D"/>
    <w:rsid w:val="001A572A"/>
    <w:rsid w:val="001B407D"/>
    <w:rsid w:val="001C5E3D"/>
    <w:rsid w:val="001E3002"/>
    <w:rsid w:val="001E4430"/>
    <w:rsid w:val="001E5D8F"/>
    <w:rsid w:val="001F59C4"/>
    <w:rsid w:val="001F71A4"/>
    <w:rsid w:val="002205BC"/>
    <w:rsid w:val="00224A15"/>
    <w:rsid w:val="00226F28"/>
    <w:rsid w:val="00231C9E"/>
    <w:rsid w:val="002328DF"/>
    <w:rsid w:val="00281D25"/>
    <w:rsid w:val="00282BF7"/>
    <w:rsid w:val="0029411D"/>
    <w:rsid w:val="00295019"/>
    <w:rsid w:val="00295DF5"/>
    <w:rsid w:val="002A1784"/>
    <w:rsid w:val="002A1A3B"/>
    <w:rsid w:val="002C6D22"/>
    <w:rsid w:val="002C781C"/>
    <w:rsid w:val="002C7C67"/>
    <w:rsid w:val="00301D2F"/>
    <w:rsid w:val="00314EFA"/>
    <w:rsid w:val="003221AD"/>
    <w:rsid w:val="0032493D"/>
    <w:rsid w:val="00352942"/>
    <w:rsid w:val="00364A8E"/>
    <w:rsid w:val="00365F4A"/>
    <w:rsid w:val="00372D07"/>
    <w:rsid w:val="00383C8C"/>
    <w:rsid w:val="00384525"/>
    <w:rsid w:val="00384FDE"/>
    <w:rsid w:val="0039780C"/>
    <w:rsid w:val="003A1EC8"/>
    <w:rsid w:val="003B49E7"/>
    <w:rsid w:val="003B7EEE"/>
    <w:rsid w:val="003C23EB"/>
    <w:rsid w:val="003C6C3F"/>
    <w:rsid w:val="00413319"/>
    <w:rsid w:val="0043121B"/>
    <w:rsid w:val="004358E2"/>
    <w:rsid w:val="0046177B"/>
    <w:rsid w:val="004801BC"/>
    <w:rsid w:val="00492735"/>
    <w:rsid w:val="0049592F"/>
    <w:rsid w:val="004A41D2"/>
    <w:rsid w:val="004B204C"/>
    <w:rsid w:val="004B5D5C"/>
    <w:rsid w:val="004B6475"/>
    <w:rsid w:val="004B75EA"/>
    <w:rsid w:val="004E49AB"/>
    <w:rsid w:val="004F73DF"/>
    <w:rsid w:val="00526ACA"/>
    <w:rsid w:val="00531953"/>
    <w:rsid w:val="00553521"/>
    <w:rsid w:val="005541F1"/>
    <w:rsid w:val="00554AAB"/>
    <w:rsid w:val="00562116"/>
    <w:rsid w:val="0058378C"/>
    <w:rsid w:val="00593FA7"/>
    <w:rsid w:val="0059792E"/>
    <w:rsid w:val="005B02DA"/>
    <w:rsid w:val="005B77B3"/>
    <w:rsid w:val="005D5EB7"/>
    <w:rsid w:val="005E654C"/>
    <w:rsid w:val="005F3BD0"/>
    <w:rsid w:val="00605A4F"/>
    <w:rsid w:val="006172E8"/>
    <w:rsid w:val="00631657"/>
    <w:rsid w:val="00632ACF"/>
    <w:rsid w:val="006411B7"/>
    <w:rsid w:val="00686D91"/>
    <w:rsid w:val="00690832"/>
    <w:rsid w:val="006A0743"/>
    <w:rsid w:val="006A1B9A"/>
    <w:rsid w:val="006A41E9"/>
    <w:rsid w:val="006A6CFC"/>
    <w:rsid w:val="006D2EB9"/>
    <w:rsid w:val="006D6119"/>
    <w:rsid w:val="006D6312"/>
    <w:rsid w:val="006D7445"/>
    <w:rsid w:val="006E5AF0"/>
    <w:rsid w:val="00700C9C"/>
    <w:rsid w:val="007141A0"/>
    <w:rsid w:val="007617E6"/>
    <w:rsid w:val="00764E6A"/>
    <w:rsid w:val="00777BDC"/>
    <w:rsid w:val="0078508F"/>
    <w:rsid w:val="00785897"/>
    <w:rsid w:val="00786F5B"/>
    <w:rsid w:val="007C0762"/>
    <w:rsid w:val="007C2E9D"/>
    <w:rsid w:val="007C3F78"/>
    <w:rsid w:val="007C5EF8"/>
    <w:rsid w:val="007E0E02"/>
    <w:rsid w:val="007F739C"/>
    <w:rsid w:val="00803202"/>
    <w:rsid w:val="00812C35"/>
    <w:rsid w:val="00814EE9"/>
    <w:rsid w:val="00830E17"/>
    <w:rsid w:val="008314D9"/>
    <w:rsid w:val="00841878"/>
    <w:rsid w:val="008455F6"/>
    <w:rsid w:val="0087391B"/>
    <w:rsid w:val="00886AA1"/>
    <w:rsid w:val="00890644"/>
    <w:rsid w:val="00895754"/>
    <w:rsid w:val="008A3D9E"/>
    <w:rsid w:val="008C5B39"/>
    <w:rsid w:val="008D56F7"/>
    <w:rsid w:val="008E3973"/>
    <w:rsid w:val="008E6635"/>
    <w:rsid w:val="008F2DD8"/>
    <w:rsid w:val="00907437"/>
    <w:rsid w:val="00922866"/>
    <w:rsid w:val="00937E65"/>
    <w:rsid w:val="009412B9"/>
    <w:rsid w:val="00952011"/>
    <w:rsid w:val="00963DB9"/>
    <w:rsid w:val="00967700"/>
    <w:rsid w:val="00971F72"/>
    <w:rsid w:val="0097663B"/>
    <w:rsid w:val="00982B94"/>
    <w:rsid w:val="00984084"/>
    <w:rsid w:val="009853F2"/>
    <w:rsid w:val="00996248"/>
    <w:rsid w:val="009967D7"/>
    <w:rsid w:val="009F2448"/>
    <w:rsid w:val="00A05460"/>
    <w:rsid w:val="00A15A52"/>
    <w:rsid w:val="00A15E19"/>
    <w:rsid w:val="00A17AC6"/>
    <w:rsid w:val="00A27AFD"/>
    <w:rsid w:val="00A455E1"/>
    <w:rsid w:val="00A54245"/>
    <w:rsid w:val="00A60042"/>
    <w:rsid w:val="00A93804"/>
    <w:rsid w:val="00A9427F"/>
    <w:rsid w:val="00AA68A5"/>
    <w:rsid w:val="00AB4350"/>
    <w:rsid w:val="00AB45FD"/>
    <w:rsid w:val="00AE20CD"/>
    <w:rsid w:val="00AE5775"/>
    <w:rsid w:val="00AF4FDE"/>
    <w:rsid w:val="00B02264"/>
    <w:rsid w:val="00B059D9"/>
    <w:rsid w:val="00B10F5D"/>
    <w:rsid w:val="00B124E7"/>
    <w:rsid w:val="00B234EE"/>
    <w:rsid w:val="00B3431A"/>
    <w:rsid w:val="00B476AD"/>
    <w:rsid w:val="00B50302"/>
    <w:rsid w:val="00B5248F"/>
    <w:rsid w:val="00B54E9A"/>
    <w:rsid w:val="00B82127"/>
    <w:rsid w:val="00B90A3C"/>
    <w:rsid w:val="00BB09F4"/>
    <w:rsid w:val="00BE514D"/>
    <w:rsid w:val="00BF36E9"/>
    <w:rsid w:val="00C02954"/>
    <w:rsid w:val="00C03856"/>
    <w:rsid w:val="00C03E49"/>
    <w:rsid w:val="00C115BD"/>
    <w:rsid w:val="00C13B5E"/>
    <w:rsid w:val="00C34146"/>
    <w:rsid w:val="00C3748B"/>
    <w:rsid w:val="00C40DB0"/>
    <w:rsid w:val="00C42A7C"/>
    <w:rsid w:val="00C477D3"/>
    <w:rsid w:val="00C503F1"/>
    <w:rsid w:val="00C524A2"/>
    <w:rsid w:val="00C52864"/>
    <w:rsid w:val="00C52F3A"/>
    <w:rsid w:val="00C57F97"/>
    <w:rsid w:val="00C66FFE"/>
    <w:rsid w:val="00C84B3E"/>
    <w:rsid w:val="00C8504C"/>
    <w:rsid w:val="00C85FCD"/>
    <w:rsid w:val="00CA158C"/>
    <w:rsid w:val="00CE26BB"/>
    <w:rsid w:val="00CE29CE"/>
    <w:rsid w:val="00CF0235"/>
    <w:rsid w:val="00CF0436"/>
    <w:rsid w:val="00CF1AEB"/>
    <w:rsid w:val="00D20448"/>
    <w:rsid w:val="00D23869"/>
    <w:rsid w:val="00D2720D"/>
    <w:rsid w:val="00D407DA"/>
    <w:rsid w:val="00D42170"/>
    <w:rsid w:val="00D54433"/>
    <w:rsid w:val="00D57BC7"/>
    <w:rsid w:val="00D60B5B"/>
    <w:rsid w:val="00D61842"/>
    <w:rsid w:val="00D66119"/>
    <w:rsid w:val="00D72F27"/>
    <w:rsid w:val="00D865DC"/>
    <w:rsid w:val="00DA02A5"/>
    <w:rsid w:val="00DF6173"/>
    <w:rsid w:val="00DF689C"/>
    <w:rsid w:val="00E04AAF"/>
    <w:rsid w:val="00E07C4B"/>
    <w:rsid w:val="00E145D9"/>
    <w:rsid w:val="00E31D6D"/>
    <w:rsid w:val="00E41007"/>
    <w:rsid w:val="00E41A0C"/>
    <w:rsid w:val="00E45593"/>
    <w:rsid w:val="00E50724"/>
    <w:rsid w:val="00E60EA4"/>
    <w:rsid w:val="00E7163A"/>
    <w:rsid w:val="00E97F19"/>
    <w:rsid w:val="00EA54CF"/>
    <w:rsid w:val="00EA7F6B"/>
    <w:rsid w:val="00EB2298"/>
    <w:rsid w:val="00EC3A54"/>
    <w:rsid w:val="00EC47AB"/>
    <w:rsid w:val="00ED3B43"/>
    <w:rsid w:val="00ED5B76"/>
    <w:rsid w:val="00ED5EF8"/>
    <w:rsid w:val="00ED7E02"/>
    <w:rsid w:val="00F02588"/>
    <w:rsid w:val="00F0559E"/>
    <w:rsid w:val="00F1497F"/>
    <w:rsid w:val="00F234A8"/>
    <w:rsid w:val="00F527C1"/>
    <w:rsid w:val="00F60023"/>
    <w:rsid w:val="00F60064"/>
    <w:rsid w:val="00F807EB"/>
    <w:rsid w:val="00FA72A1"/>
    <w:rsid w:val="00FB02C0"/>
    <w:rsid w:val="00FB2851"/>
    <w:rsid w:val="00FB3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41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basedOn w:val="Policepardfaut"/>
    <w:link w:val="Notedebasdepage"/>
    <w:uiPriority w:val="99"/>
    <w:semiHidden/>
    <w:locked/>
    <w:rsid w:val="00061418"/>
  </w:style>
  <w:style w:type="paragraph" w:styleId="Notedebasdepage">
    <w:name w:val="footnote text"/>
    <w:aliases w:val="Note de bas de page Car Car,Note de bas de page Car2 Car Car,Note de bas de page Car1 Car Car Car,Note de bas de page Car Car Car Car Car,Note de bas de page Car1 Car Car Car Car Car"/>
    <w:basedOn w:val="Normal"/>
    <w:link w:val="NotedebasdepageCar"/>
    <w:uiPriority w:val="99"/>
    <w:semiHidden/>
    <w:unhideWhenUsed/>
    <w:rsid w:val="00061418"/>
    <w:rPr>
      <w:rFonts w:asciiTheme="minorHAnsi" w:eastAsiaTheme="minorHAnsi" w:hAnsiTheme="minorHAnsi" w:cstheme="minorBidi"/>
      <w:sz w:val="22"/>
      <w:szCs w:val="22"/>
      <w:lang w:eastAsia="en-US"/>
    </w:rPr>
  </w:style>
  <w:style w:type="character" w:customStyle="1" w:styleId="NotedebasdepageCar1">
    <w:name w:val="Note de bas de page Car1"/>
    <w:basedOn w:val="Policepardfaut"/>
    <w:uiPriority w:val="99"/>
    <w:semiHidden/>
    <w:rsid w:val="00061418"/>
    <w:rPr>
      <w:rFonts w:ascii="Times New Roman" w:eastAsia="Times New Roman" w:hAnsi="Times New Roman" w:cs="Times New Roman"/>
      <w:sz w:val="20"/>
      <w:szCs w:val="20"/>
      <w:lang w:eastAsia="fr-FR"/>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link w:val="Corpsdetexte"/>
    <w:locked/>
    <w:rsid w:val="00061418"/>
    <w:rPr>
      <w:sz w:val="24"/>
      <w:szCs w:val="24"/>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2"/>
    <w:unhideWhenUsed/>
    <w:rsid w:val="00061418"/>
    <w:pPr>
      <w:keepLines/>
      <w:spacing w:before="360"/>
      <w:ind w:left="1134" w:firstLine="1497"/>
      <w:jc w:val="both"/>
    </w:pPr>
    <w:rPr>
      <w:rFonts w:asciiTheme="minorHAnsi" w:eastAsiaTheme="minorHAnsi" w:hAnsiTheme="minorHAnsi" w:cstheme="minorBidi"/>
      <w:lang w:eastAsia="en-US"/>
    </w:rPr>
  </w:style>
  <w:style w:type="character" w:customStyle="1" w:styleId="CorpsdetexteCar">
    <w:name w:val="Corps de texte Car"/>
    <w:basedOn w:val="Policepardfaut"/>
    <w:uiPriority w:val="99"/>
    <w:semiHidden/>
    <w:rsid w:val="00061418"/>
    <w:rPr>
      <w:rFonts w:ascii="Times New Roman" w:eastAsia="Times New Roman" w:hAnsi="Times New Roman" w:cs="Times New Roman"/>
      <w:sz w:val="24"/>
      <w:szCs w:val="24"/>
      <w:lang w:eastAsia="fr-FR"/>
    </w:rPr>
  </w:style>
  <w:style w:type="character" w:styleId="Appelnotedebasdep">
    <w:name w:val="footnote reference"/>
    <w:aliases w:val="titre, titre"/>
    <w:uiPriority w:val="99"/>
    <w:semiHidden/>
    <w:unhideWhenUsed/>
    <w:rsid w:val="00061418"/>
    <w:rPr>
      <w:vertAlign w:val="superscript"/>
    </w:rPr>
  </w:style>
  <w:style w:type="paragraph" w:customStyle="1" w:styleId="CarCar1CarCarCar">
    <w:name w:val="Car Car1 Car Car Car"/>
    <w:basedOn w:val="Normal"/>
    <w:rsid w:val="00014D7C"/>
    <w:pPr>
      <w:spacing w:after="160" w:line="240" w:lineRule="exact"/>
    </w:pPr>
    <w:rPr>
      <w:sz w:val="20"/>
      <w:szCs w:val="20"/>
    </w:rPr>
  </w:style>
  <w:style w:type="paragraph" w:styleId="En-tte">
    <w:name w:val="header"/>
    <w:basedOn w:val="Normal"/>
    <w:link w:val="En-tteCar"/>
    <w:uiPriority w:val="99"/>
    <w:unhideWhenUsed/>
    <w:rsid w:val="00103B74"/>
    <w:pPr>
      <w:tabs>
        <w:tab w:val="center" w:pos="4536"/>
        <w:tab w:val="right" w:pos="9072"/>
      </w:tabs>
    </w:pPr>
  </w:style>
  <w:style w:type="character" w:customStyle="1" w:styleId="En-tteCar">
    <w:name w:val="En-tête Car"/>
    <w:basedOn w:val="Policepardfaut"/>
    <w:link w:val="En-tte"/>
    <w:uiPriority w:val="99"/>
    <w:rsid w:val="00103B7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103B74"/>
    <w:pPr>
      <w:tabs>
        <w:tab w:val="center" w:pos="4536"/>
        <w:tab w:val="right" w:pos="9072"/>
      </w:tabs>
    </w:pPr>
  </w:style>
  <w:style w:type="character" w:customStyle="1" w:styleId="PieddepageCar">
    <w:name w:val="Pied de page Car"/>
    <w:basedOn w:val="Policepardfaut"/>
    <w:link w:val="Pieddepage"/>
    <w:uiPriority w:val="99"/>
    <w:rsid w:val="00103B7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124E7"/>
    <w:rPr>
      <w:rFonts w:ascii="Tahoma" w:hAnsi="Tahoma" w:cs="Tahoma"/>
      <w:sz w:val="16"/>
      <w:szCs w:val="16"/>
    </w:rPr>
  </w:style>
  <w:style w:type="character" w:customStyle="1" w:styleId="TextedebullesCar">
    <w:name w:val="Texte de bulles Car"/>
    <w:basedOn w:val="Policepardfaut"/>
    <w:link w:val="Textedebulles"/>
    <w:uiPriority w:val="99"/>
    <w:semiHidden/>
    <w:rsid w:val="00B124E7"/>
    <w:rPr>
      <w:rFonts w:ascii="Tahoma" w:eastAsia="Times New Roman" w:hAnsi="Tahoma" w:cs="Tahoma"/>
      <w:sz w:val="16"/>
      <w:szCs w:val="16"/>
      <w:lang w:eastAsia="fr-FR"/>
    </w:rPr>
  </w:style>
  <w:style w:type="paragraph" w:styleId="Paragraphedeliste">
    <w:name w:val="List Paragraph"/>
    <w:basedOn w:val="Normal"/>
    <w:uiPriority w:val="34"/>
    <w:qFormat/>
    <w:rsid w:val="007C5EF8"/>
    <w:pPr>
      <w:ind w:left="720"/>
      <w:contextualSpacing/>
    </w:pPr>
  </w:style>
  <w:style w:type="paragraph" w:customStyle="1" w:styleId="P0">
    <w:name w:val="P0"/>
    <w:link w:val="P0Car"/>
    <w:rsid w:val="007E0E02"/>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s="Times New Roman"/>
      <w:color w:val="000000"/>
      <w:sz w:val="24"/>
      <w:szCs w:val="24"/>
      <w:u w:color="000000"/>
      <w:bdr w:val="nil"/>
      <w:lang w:eastAsia="fr-FR"/>
    </w:rPr>
  </w:style>
  <w:style w:type="character" w:customStyle="1" w:styleId="P0Car">
    <w:name w:val="P0 Car"/>
    <w:link w:val="P0"/>
    <w:rsid w:val="007E0E02"/>
    <w:rPr>
      <w:rFonts w:ascii="Times New Roman" w:eastAsia="Times New Roman" w:hAnsi="Times New Roman" w:cs="Times New Roman"/>
      <w:color w:val="000000"/>
      <w:sz w:val="24"/>
      <w:szCs w:val="24"/>
      <w:u w:color="000000"/>
      <w:bdr w:val="nil"/>
      <w:lang w:eastAsia="fr-FR"/>
    </w:rPr>
  </w:style>
  <w:style w:type="paragraph" w:customStyle="1" w:styleId="PS">
    <w:name w:val="PS"/>
    <w:basedOn w:val="Normal"/>
    <w:link w:val="PSCar"/>
    <w:rsid w:val="007E0E02"/>
    <w:pPr>
      <w:spacing w:after="480"/>
      <w:ind w:left="1701" w:firstLine="1134"/>
      <w:jc w:val="both"/>
    </w:pPr>
  </w:style>
  <w:style w:type="character" w:customStyle="1" w:styleId="PSCar">
    <w:name w:val="PS Car"/>
    <w:link w:val="PS"/>
    <w:rsid w:val="007E0E02"/>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DF689C"/>
    <w:rPr>
      <w:sz w:val="16"/>
      <w:szCs w:val="16"/>
    </w:rPr>
  </w:style>
  <w:style w:type="paragraph" w:styleId="Commentaire">
    <w:name w:val="annotation text"/>
    <w:basedOn w:val="Normal"/>
    <w:link w:val="CommentaireCar"/>
    <w:uiPriority w:val="99"/>
    <w:semiHidden/>
    <w:unhideWhenUsed/>
    <w:rsid w:val="00DF689C"/>
    <w:rPr>
      <w:sz w:val="20"/>
      <w:szCs w:val="20"/>
    </w:rPr>
  </w:style>
  <w:style w:type="character" w:customStyle="1" w:styleId="CommentaireCar">
    <w:name w:val="Commentaire Car"/>
    <w:basedOn w:val="Policepardfaut"/>
    <w:link w:val="Commentaire"/>
    <w:uiPriority w:val="99"/>
    <w:semiHidden/>
    <w:rsid w:val="00DF689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F689C"/>
    <w:rPr>
      <w:b/>
      <w:bCs/>
    </w:rPr>
  </w:style>
  <w:style w:type="character" w:customStyle="1" w:styleId="ObjetducommentaireCar">
    <w:name w:val="Objet du commentaire Car"/>
    <w:basedOn w:val="CommentaireCar"/>
    <w:link w:val="Objetducommentaire"/>
    <w:uiPriority w:val="99"/>
    <w:semiHidden/>
    <w:rsid w:val="00DF689C"/>
    <w:rPr>
      <w:rFonts w:ascii="Times New Roman" w:eastAsia="Times New Roman" w:hAnsi="Times New Roman" w:cs="Times New Roman"/>
      <w:b/>
      <w:bCs/>
      <w:sz w:val="20"/>
      <w:szCs w:val="20"/>
      <w:lang w:eastAsia="fr-FR"/>
    </w:rPr>
  </w:style>
  <w:style w:type="paragraph" w:styleId="Rvision">
    <w:name w:val="Revision"/>
    <w:hidden/>
    <w:uiPriority w:val="99"/>
    <w:semiHidden/>
    <w:rsid w:val="00DF689C"/>
    <w:pPr>
      <w:spacing w:after="0"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41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basedOn w:val="Policepardfaut"/>
    <w:link w:val="Notedebasdepage"/>
    <w:uiPriority w:val="99"/>
    <w:semiHidden/>
    <w:locked/>
    <w:rsid w:val="00061418"/>
  </w:style>
  <w:style w:type="paragraph" w:styleId="Notedebasdepage">
    <w:name w:val="footnote text"/>
    <w:aliases w:val="Note de bas de page Car Car,Note de bas de page Car2 Car Car,Note de bas de page Car1 Car Car Car,Note de bas de page Car Car Car Car Car,Note de bas de page Car1 Car Car Car Car Car"/>
    <w:basedOn w:val="Normal"/>
    <w:link w:val="NotedebasdepageCar"/>
    <w:uiPriority w:val="99"/>
    <w:semiHidden/>
    <w:unhideWhenUsed/>
    <w:rsid w:val="00061418"/>
    <w:rPr>
      <w:rFonts w:asciiTheme="minorHAnsi" w:eastAsiaTheme="minorHAnsi" w:hAnsiTheme="minorHAnsi" w:cstheme="minorBidi"/>
      <w:sz w:val="22"/>
      <w:szCs w:val="22"/>
      <w:lang w:eastAsia="en-US"/>
    </w:rPr>
  </w:style>
  <w:style w:type="character" w:customStyle="1" w:styleId="NotedebasdepageCar1">
    <w:name w:val="Note de bas de page Car1"/>
    <w:basedOn w:val="Policepardfaut"/>
    <w:uiPriority w:val="99"/>
    <w:semiHidden/>
    <w:rsid w:val="00061418"/>
    <w:rPr>
      <w:rFonts w:ascii="Times New Roman" w:eastAsia="Times New Roman" w:hAnsi="Times New Roman" w:cs="Times New Roman"/>
      <w:sz w:val="20"/>
      <w:szCs w:val="20"/>
      <w:lang w:eastAsia="fr-FR"/>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link w:val="Corpsdetexte"/>
    <w:locked/>
    <w:rsid w:val="00061418"/>
    <w:rPr>
      <w:sz w:val="24"/>
      <w:szCs w:val="24"/>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2"/>
    <w:unhideWhenUsed/>
    <w:rsid w:val="00061418"/>
    <w:pPr>
      <w:keepLines/>
      <w:spacing w:before="360"/>
      <w:ind w:left="1134" w:firstLine="1497"/>
      <w:jc w:val="both"/>
    </w:pPr>
    <w:rPr>
      <w:rFonts w:asciiTheme="minorHAnsi" w:eastAsiaTheme="minorHAnsi" w:hAnsiTheme="minorHAnsi" w:cstheme="minorBidi"/>
      <w:lang w:eastAsia="en-US"/>
    </w:rPr>
  </w:style>
  <w:style w:type="character" w:customStyle="1" w:styleId="CorpsdetexteCar">
    <w:name w:val="Corps de texte Car"/>
    <w:basedOn w:val="Policepardfaut"/>
    <w:uiPriority w:val="99"/>
    <w:semiHidden/>
    <w:rsid w:val="00061418"/>
    <w:rPr>
      <w:rFonts w:ascii="Times New Roman" w:eastAsia="Times New Roman" w:hAnsi="Times New Roman" w:cs="Times New Roman"/>
      <w:sz w:val="24"/>
      <w:szCs w:val="24"/>
      <w:lang w:eastAsia="fr-FR"/>
    </w:rPr>
  </w:style>
  <w:style w:type="character" w:styleId="Appelnotedebasdep">
    <w:name w:val="footnote reference"/>
    <w:aliases w:val="titre, titre"/>
    <w:uiPriority w:val="99"/>
    <w:semiHidden/>
    <w:unhideWhenUsed/>
    <w:rsid w:val="00061418"/>
    <w:rPr>
      <w:vertAlign w:val="superscript"/>
    </w:rPr>
  </w:style>
  <w:style w:type="paragraph" w:customStyle="1" w:styleId="CarCar1CarCarCar">
    <w:name w:val="Car Car1 Car Car Car"/>
    <w:basedOn w:val="Normal"/>
    <w:rsid w:val="00014D7C"/>
    <w:pPr>
      <w:spacing w:after="160" w:line="240" w:lineRule="exact"/>
    </w:pPr>
    <w:rPr>
      <w:sz w:val="20"/>
      <w:szCs w:val="20"/>
    </w:rPr>
  </w:style>
  <w:style w:type="paragraph" w:styleId="En-tte">
    <w:name w:val="header"/>
    <w:basedOn w:val="Normal"/>
    <w:link w:val="En-tteCar"/>
    <w:uiPriority w:val="99"/>
    <w:unhideWhenUsed/>
    <w:rsid w:val="00103B74"/>
    <w:pPr>
      <w:tabs>
        <w:tab w:val="center" w:pos="4536"/>
        <w:tab w:val="right" w:pos="9072"/>
      </w:tabs>
    </w:pPr>
  </w:style>
  <w:style w:type="character" w:customStyle="1" w:styleId="En-tteCar">
    <w:name w:val="En-tête Car"/>
    <w:basedOn w:val="Policepardfaut"/>
    <w:link w:val="En-tte"/>
    <w:uiPriority w:val="99"/>
    <w:rsid w:val="00103B7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103B74"/>
    <w:pPr>
      <w:tabs>
        <w:tab w:val="center" w:pos="4536"/>
        <w:tab w:val="right" w:pos="9072"/>
      </w:tabs>
    </w:pPr>
  </w:style>
  <w:style w:type="character" w:customStyle="1" w:styleId="PieddepageCar">
    <w:name w:val="Pied de page Car"/>
    <w:basedOn w:val="Policepardfaut"/>
    <w:link w:val="Pieddepage"/>
    <w:uiPriority w:val="99"/>
    <w:rsid w:val="00103B7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124E7"/>
    <w:rPr>
      <w:rFonts w:ascii="Tahoma" w:hAnsi="Tahoma" w:cs="Tahoma"/>
      <w:sz w:val="16"/>
      <w:szCs w:val="16"/>
    </w:rPr>
  </w:style>
  <w:style w:type="character" w:customStyle="1" w:styleId="TextedebullesCar">
    <w:name w:val="Texte de bulles Car"/>
    <w:basedOn w:val="Policepardfaut"/>
    <w:link w:val="Textedebulles"/>
    <w:uiPriority w:val="99"/>
    <w:semiHidden/>
    <w:rsid w:val="00B124E7"/>
    <w:rPr>
      <w:rFonts w:ascii="Tahoma" w:eastAsia="Times New Roman" w:hAnsi="Tahoma" w:cs="Tahoma"/>
      <w:sz w:val="16"/>
      <w:szCs w:val="16"/>
      <w:lang w:eastAsia="fr-FR"/>
    </w:rPr>
  </w:style>
  <w:style w:type="paragraph" w:styleId="Paragraphedeliste">
    <w:name w:val="List Paragraph"/>
    <w:basedOn w:val="Normal"/>
    <w:uiPriority w:val="34"/>
    <w:qFormat/>
    <w:rsid w:val="007C5EF8"/>
    <w:pPr>
      <w:ind w:left="720"/>
      <w:contextualSpacing/>
    </w:pPr>
  </w:style>
  <w:style w:type="paragraph" w:customStyle="1" w:styleId="P0">
    <w:name w:val="P0"/>
    <w:link w:val="P0Car"/>
    <w:rsid w:val="007E0E02"/>
    <w:pPr>
      <w:pBdr>
        <w:top w:val="nil"/>
        <w:left w:val="nil"/>
        <w:bottom w:val="nil"/>
        <w:right w:val="nil"/>
        <w:between w:val="nil"/>
        <w:bar w:val="nil"/>
      </w:pBdr>
      <w:spacing w:before="240" w:after="240" w:line="240" w:lineRule="atLeast"/>
      <w:ind w:left="1701" w:firstLine="567"/>
      <w:jc w:val="both"/>
    </w:pPr>
    <w:rPr>
      <w:rFonts w:ascii="Times New Roman" w:eastAsia="Times New Roman" w:hAnsi="Times New Roman" w:cs="Times New Roman"/>
      <w:color w:val="000000"/>
      <w:sz w:val="24"/>
      <w:szCs w:val="24"/>
      <w:u w:color="000000"/>
      <w:bdr w:val="nil"/>
      <w:lang w:eastAsia="fr-FR"/>
    </w:rPr>
  </w:style>
  <w:style w:type="character" w:customStyle="1" w:styleId="P0Car">
    <w:name w:val="P0 Car"/>
    <w:link w:val="P0"/>
    <w:rsid w:val="007E0E02"/>
    <w:rPr>
      <w:rFonts w:ascii="Times New Roman" w:eastAsia="Times New Roman" w:hAnsi="Times New Roman" w:cs="Times New Roman"/>
      <w:color w:val="000000"/>
      <w:sz w:val="24"/>
      <w:szCs w:val="24"/>
      <w:u w:color="000000"/>
      <w:bdr w:val="nil"/>
      <w:lang w:eastAsia="fr-FR"/>
    </w:rPr>
  </w:style>
  <w:style w:type="paragraph" w:customStyle="1" w:styleId="PS">
    <w:name w:val="PS"/>
    <w:basedOn w:val="Normal"/>
    <w:link w:val="PSCar"/>
    <w:rsid w:val="007E0E02"/>
    <w:pPr>
      <w:spacing w:after="480"/>
      <w:ind w:left="1701" w:firstLine="1134"/>
      <w:jc w:val="both"/>
    </w:pPr>
  </w:style>
  <w:style w:type="character" w:customStyle="1" w:styleId="PSCar">
    <w:name w:val="PS Car"/>
    <w:link w:val="PS"/>
    <w:rsid w:val="007E0E02"/>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DF689C"/>
    <w:rPr>
      <w:sz w:val="16"/>
      <w:szCs w:val="16"/>
    </w:rPr>
  </w:style>
  <w:style w:type="paragraph" w:styleId="Commentaire">
    <w:name w:val="annotation text"/>
    <w:basedOn w:val="Normal"/>
    <w:link w:val="CommentaireCar"/>
    <w:uiPriority w:val="99"/>
    <w:semiHidden/>
    <w:unhideWhenUsed/>
    <w:rsid w:val="00DF689C"/>
    <w:rPr>
      <w:sz w:val="20"/>
      <w:szCs w:val="20"/>
    </w:rPr>
  </w:style>
  <w:style w:type="character" w:customStyle="1" w:styleId="CommentaireCar">
    <w:name w:val="Commentaire Car"/>
    <w:basedOn w:val="Policepardfaut"/>
    <w:link w:val="Commentaire"/>
    <w:uiPriority w:val="99"/>
    <w:semiHidden/>
    <w:rsid w:val="00DF689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F689C"/>
    <w:rPr>
      <w:b/>
      <w:bCs/>
    </w:rPr>
  </w:style>
  <w:style w:type="character" w:customStyle="1" w:styleId="ObjetducommentaireCar">
    <w:name w:val="Objet du commentaire Car"/>
    <w:basedOn w:val="CommentaireCar"/>
    <w:link w:val="Objetducommentaire"/>
    <w:uiPriority w:val="99"/>
    <w:semiHidden/>
    <w:rsid w:val="00DF689C"/>
    <w:rPr>
      <w:rFonts w:ascii="Times New Roman" w:eastAsia="Times New Roman" w:hAnsi="Times New Roman" w:cs="Times New Roman"/>
      <w:b/>
      <w:bCs/>
      <w:sz w:val="20"/>
      <w:szCs w:val="20"/>
      <w:lang w:eastAsia="fr-FR"/>
    </w:rPr>
  </w:style>
  <w:style w:type="paragraph" w:styleId="Rvision">
    <w:name w:val="Revision"/>
    <w:hidden/>
    <w:uiPriority w:val="99"/>
    <w:semiHidden/>
    <w:rsid w:val="00DF689C"/>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4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4785</Words>
  <Characters>26318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Saliou, Monique</dc:creator>
  <cp:lastModifiedBy>Lecroisey, Marie Thérèse</cp:lastModifiedBy>
  <cp:revision>7</cp:revision>
  <cp:lastPrinted>2014-11-04T14:55:00Z</cp:lastPrinted>
  <dcterms:created xsi:type="dcterms:W3CDTF">2014-11-14T14:08:00Z</dcterms:created>
  <dcterms:modified xsi:type="dcterms:W3CDTF">2014-12-02T15:58:00Z</dcterms:modified>
</cp:coreProperties>
</file>