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46" w:rsidRPr="00E8779E" w:rsidRDefault="00A14F46" w:rsidP="00113DF3">
      <w:pPr>
        <w:spacing w:after="80"/>
        <w:ind w:right="6096"/>
        <w:jc w:val="center"/>
        <w:rPr>
          <w:b/>
          <w:sz w:val="24"/>
          <w:szCs w:val="24"/>
        </w:rPr>
      </w:pPr>
      <w:r w:rsidRPr="00E8779E">
        <w:rPr>
          <w:b/>
          <w:sz w:val="24"/>
          <w:szCs w:val="24"/>
        </w:rPr>
        <w:t>COUR DES COMPTES</w:t>
      </w:r>
    </w:p>
    <w:p w:rsidR="00A14F46" w:rsidRPr="00E8779E" w:rsidRDefault="00A14F46" w:rsidP="00113DF3">
      <w:pPr>
        <w:spacing w:after="80"/>
        <w:ind w:right="6096"/>
        <w:jc w:val="center"/>
        <w:rPr>
          <w:b/>
          <w:sz w:val="24"/>
          <w:szCs w:val="24"/>
        </w:rPr>
      </w:pPr>
      <w:r w:rsidRPr="00E8779E">
        <w:rPr>
          <w:b/>
          <w:sz w:val="24"/>
          <w:szCs w:val="24"/>
        </w:rPr>
        <w:t>--------</w:t>
      </w:r>
    </w:p>
    <w:p w:rsidR="00A14F46" w:rsidRPr="00E8779E" w:rsidRDefault="00A14F46" w:rsidP="00113DF3">
      <w:pPr>
        <w:spacing w:after="80"/>
        <w:ind w:right="6096"/>
        <w:jc w:val="center"/>
        <w:rPr>
          <w:b/>
          <w:sz w:val="24"/>
          <w:szCs w:val="24"/>
        </w:rPr>
      </w:pPr>
      <w:r w:rsidRPr="00E8779E">
        <w:rPr>
          <w:b/>
          <w:sz w:val="24"/>
          <w:szCs w:val="24"/>
        </w:rPr>
        <w:t>QUATRIEME CHAMBRE</w:t>
      </w:r>
    </w:p>
    <w:p w:rsidR="00A14F46" w:rsidRPr="00E8779E" w:rsidRDefault="00A14F46" w:rsidP="00113DF3">
      <w:pPr>
        <w:spacing w:after="80"/>
        <w:ind w:right="6096"/>
        <w:jc w:val="center"/>
        <w:rPr>
          <w:b/>
          <w:sz w:val="24"/>
          <w:szCs w:val="24"/>
        </w:rPr>
      </w:pPr>
      <w:r w:rsidRPr="00E8779E">
        <w:rPr>
          <w:b/>
          <w:sz w:val="24"/>
          <w:szCs w:val="24"/>
        </w:rPr>
        <w:t>--------</w:t>
      </w:r>
    </w:p>
    <w:p w:rsidR="00A14F46" w:rsidRPr="00E8779E" w:rsidRDefault="00A14F46" w:rsidP="00113DF3">
      <w:pPr>
        <w:spacing w:after="80"/>
        <w:ind w:right="6096"/>
        <w:jc w:val="center"/>
        <w:rPr>
          <w:b/>
          <w:sz w:val="24"/>
          <w:szCs w:val="24"/>
        </w:rPr>
      </w:pPr>
      <w:r w:rsidRPr="00E8779E">
        <w:rPr>
          <w:b/>
          <w:sz w:val="24"/>
          <w:szCs w:val="24"/>
        </w:rPr>
        <w:t>PREMIERE SECTION</w:t>
      </w:r>
    </w:p>
    <w:p w:rsidR="00E40B28" w:rsidRPr="00E8779E" w:rsidRDefault="00E40B28" w:rsidP="00113DF3">
      <w:pPr>
        <w:spacing w:after="80"/>
        <w:ind w:right="6096"/>
        <w:jc w:val="center"/>
        <w:rPr>
          <w:b/>
          <w:sz w:val="24"/>
          <w:szCs w:val="24"/>
        </w:rPr>
      </w:pPr>
      <w:r w:rsidRPr="00E8779E">
        <w:rPr>
          <w:b/>
          <w:sz w:val="24"/>
          <w:szCs w:val="24"/>
        </w:rPr>
        <w:t>--------</w:t>
      </w:r>
    </w:p>
    <w:p w:rsidR="00A14F46" w:rsidRPr="00E8779E" w:rsidRDefault="00A14F46" w:rsidP="00113DF3">
      <w:pPr>
        <w:spacing w:after="80"/>
        <w:ind w:right="6096"/>
        <w:jc w:val="center"/>
        <w:rPr>
          <w:b/>
          <w:i/>
          <w:sz w:val="24"/>
          <w:szCs w:val="24"/>
        </w:rPr>
      </w:pPr>
      <w:r w:rsidRPr="00E8779E">
        <w:rPr>
          <w:b/>
          <w:i/>
          <w:sz w:val="24"/>
          <w:szCs w:val="24"/>
        </w:rPr>
        <w:t>Arrêt n°</w:t>
      </w:r>
      <w:r w:rsidR="00AF1C8F">
        <w:rPr>
          <w:b/>
          <w:i/>
          <w:sz w:val="24"/>
          <w:szCs w:val="24"/>
        </w:rPr>
        <w:t xml:space="preserve"> 71377</w:t>
      </w:r>
    </w:p>
    <w:p w:rsidR="00A14F46" w:rsidRPr="00C66C5A" w:rsidRDefault="00A14F46" w:rsidP="00C66C5A">
      <w:pPr>
        <w:ind w:left="3686" w:right="-708" w:firstLine="1417"/>
        <w:rPr>
          <w:sz w:val="24"/>
          <w:szCs w:val="24"/>
        </w:rPr>
      </w:pPr>
      <w:r w:rsidRPr="00C66C5A">
        <w:rPr>
          <w:sz w:val="24"/>
          <w:szCs w:val="24"/>
        </w:rPr>
        <w:t>COMMUNE DE JANZE (Ille-et-Vilaine)</w:t>
      </w:r>
    </w:p>
    <w:p w:rsidR="00A14F46" w:rsidRPr="00C66C5A" w:rsidRDefault="00A14F46" w:rsidP="00C66C5A">
      <w:pPr>
        <w:ind w:left="3686" w:right="-425" w:firstLine="1417"/>
        <w:rPr>
          <w:sz w:val="24"/>
          <w:szCs w:val="24"/>
        </w:rPr>
      </w:pPr>
    </w:p>
    <w:p w:rsidR="00A14F46" w:rsidRPr="00C66C5A" w:rsidRDefault="00A14F46" w:rsidP="00C66C5A">
      <w:pPr>
        <w:ind w:left="5103" w:right="-425"/>
        <w:rPr>
          <w:sz w:val="24"/>
          <w:szCs w:val="24"/>
        </w:rPr>
      </w:pPr>
      <w:r w:rsidRPr="00C66C5A">
        <w:rPr>
          <w:sz w:val="24"/>
          <w:szCs w:val="24"/>
        </w:rPr>
        <w:t>Appel d’un jugement de la chambre régionale des comptes de Bretagne</w:t>
      </w:r>
    </w:p>
    <w:p w:rsidR="00A14F46" w:rsidRPr="00C66C5A" w:rsidRDefault="00A14F46" w:rsidP="00C66C5A">
      <w:pPr>
        <w:ind w:left="3686" w:right="-425" w:firstLine="1417"/>
        <w:rPr>
          <w:sz w:val="24"/>
          <w:szCs w:val="24"/>
        </w:rPr>
      </w:pPr>
    </w:p>
    <w:p w:rsidR="00A14F46" w:rsidRPr="00C66C5A" w:rsidRDefault="00A14F46" w:rsidP="00C66C5A">
      <w:pPr>
        <w:ind w:left="3686" w:right="-425" w:firstLine="1417"/>
        <w:rPr>
          <w:sz w:val="24"/>
          <w:szCs w:val="24"/>
        </w:rPr>
      </w:pPr>
      <w:r w:rsidRPr="00C66C5A">
        <w:rPr>
          <w:sz w:val="24"/>
          <w:szCs w:val="24"/>
        </w:rPr>
        <w:t>Rapport n° 2014-680</w:t>
      </w:r>
      <w:r w:rsidR="00AD7589">
        <w:rPr>
          <w:sz w:val="24"/>
          <w:szCs w:val="24"/>
        </w:rPr>
        <w:t>-0</w:t>
      </w:r>
    </w:p>
    <w:p w:rsidR="00A14F46" w:rsidRPr="00C66C5A" w:rsidRDefault="00A14F46" w:rsidP="00C66C5A">
      <w:pPr>
        <w:ind w:left="3686" w:right="-425" w:firstLine="1417"/>
        <w:rPr>
          <w:sz w:val="24"/>
          <w:szCs w:val="24"/>
        </w:rPr>
      </w:pPr>
    </w:p>
    <w:p w:rsidR="00A14F46" w:rsidRDefault="00A14F46" w:rsidP="00C66C5A">
      <w:pPr>
        <w:ind w:left="3686" w:right="-425" w:firstLine="1417"/>
        <w:rPr>
          <w:sz w:val="24"/>
          <w:szCs w:val="24"/>
        </w:rPr>
      </w:pPr>
      <w:r w:rsidRPr="00C66C5A">
        <w:rPr>
          <w:sz w:val="24"/>
          <w:szCs w:val="24"/>
        </w:rPr>
        <w:t>Audience du 19 novembre 2014</w:t>
      </w:r>
    </w:p>
    <w:p w:rsidR="00C66C5A" w:rsidRPr="00C66C5A" w:rsidRDefault="00C66C5A" w:rsidP="00C66C5A">
      <w:pPr>
        <w:ind w:left="3686" w:right="-425" w:firstLine="1417"/>
        <w:rPr>
          <w:sz w:val="24"/>
          <w:szCs w:val="24"/>
        </w:rPr>
      </w:pPr>
    </w:p>
    <w:p w:rsidR="00A14F46" w:rsidRPr="00C66C5A" w:rsidRDefault="00A14F46" w:rsidP="00C66C5A">
      <w:pPr>
        <w:spacing w:after="80"/>
        <w:ind w:left="3686" w:right="-425" w:firstLine="1417"/>
        <w:rPr>
          <w:sz w:val="24"/>
          <w:szCs w:val="24"/>
        </w:rPr>
      </w:pPr>
      <w:r w:rsidRPr="00C66C5A">
        <w:rPr>
          <w:sz w:val="24"/>
          <w:szCs w:val="24"/>
        </w:rPr>
        <w:t xml:space="preserve">Lecture publique du </w:t>
      </w:r>
      <w:r w:rsidR="00C66C5A">
        <w:rPr>
          <w:sz w:val="24"/>
          <w:szCs w:val="24"/>
        </w:rPr>
        <w:t>18 décembre 2014</w:t>
      </w:r>
    </w:p>
    <w:p w:rsidR="00A14F46" w:rsidRPr="00E8779E" w:rsidRDefault="00A14F46" w:rsidP="00A14F46">
      <w:pPr>
        <w:spacing w:after="80"/>
        <w:rPr>
          <w:sz w:val="24"/>
          <w:szCs w:val="24"/>
        </w:rPr>
      </w:pPr>
    </w:p>
    <w:p w:rsidR="00A14F46" w:rsidRPr="00E8779E" w:rsidRDefault="00A14F46" w:rsidP="00A14F46">
      <w:pPr>
        <w:spacing w:after="80"/>
        <w:rPr>
          <w:sz w:val="24"/>
          <w:szCs w:val="24"/>
        </w:rPr>
      </w:pPr>
    </w:p>
    <w:p w:rsidR="009C7845" w:rsidRDefault="009C7845" w:rsidP="009C7845">
      <w:pPr>
        <w:pStyle w:val="P0"/>
        <w:spacing w:after="120"/>
        <w:ind w:left="540" w:right="-284" w:firstLine="595"/>
        <w:jc w:val="center"/>
      </w:pPr>
      <w:r w:rsidRPr="00690D05">
        <w:t>REPUBLIQUE FRANÇAISE</w:t>
      </w:r>
    </w:p>
    <w:p w:rsidR="009C7845" w:rsidRDefault="009C7845" w:rsidP="009C7845">
      <w:pPr>
        <w:pStyle w:val="P0"/>
        <w:spacing w:after="120"/>
        <w:ind w:left="539" w:right="-284" w:firstLine="595"/>
        <w:jc w:val="center"/>
      </w:pPr>
      <w:r w:rsidRPr="00690D05">
        <w:t>AU NOM DU PEUPLE FRANÇAIS</w:t>
      </w:r>
    </w:p>
    <w:p w:rsidR="009C7845" w:rsidRPr="00690D05" w:rsidRDefault="009C7845" w:rsidP="00113DF3">
      <w:pPr>
        <w:pStyle w:val="P0"/>
        <w:spacing w:after="480"/>
        <w:ind w:left="539" w:right="-284" w:firstLine="595"/>
        <w:jc w:val="center"/>
      </w:pPr>
      <w:r w:rsidRPr="00690D05">
        <w:t>LA COUR DES COMPTES a rendu l’arrêt suivant :</w:t>
      </w:r>
    </w:p>
    <w:p w:rsidR="000A7B33" w:rsidRPr="00113DF3" w:rsidRDefault="000A7B33" w:rsidP="000A7B33">
      <w:pPr>
        <w:pStyle w:val="PS"/>
        <w:ind w:left="1134" w:firstLine="567"/>
        <w:jc w:val="left"/>
        <w:rPr>
          <w:rFonts w:ascii="Times New Roman" w:hAnsi="Times New Roman"/>
          <w:color w:val="000000"/>
          <w:szCs w:val="24"/>
        </w:rPr>
      </w:pPr>
      <w:r w:rsidRPr="00113DF3">
        <w:rPr>
          <w:rFonts w:ascii="Times New Roman" w:hAnsi="Times New Roman"/>
          <w:color w:val="000000"/>
          <w:szCs w:val="24"/>
        </w:rPr>
        <w:t>La COUR,</w:t>
      </w:r>
    </w:p>
    <w:p w:rsidR="000A7B33" w:rsidRPr="00113DF3" w:rsidRDefault="00296774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Vu la requête enregistrée le 16 décembre 2013 au greffe de la chambre régionale des comptes de Bretagne, par laquelle </w:t>
      </w:r>
      <w:r w:rsidR="00772C38" w:rsidRPr="00113DF3">
        <w:rPr>
          <w:rFonts w:ascii="Times New Roman" w:hAnsi="Times New Roman"/>
          <w:szCs w:val="24"/>
        </w:rPr>
        <w:t>le</w:t>
      </w:r>
      <w:r w:rsidR="000A7B33" w:rsidRPr="00113DF3">
        <w:rPr>
          <w:rFonts w:ascii="Times New Roman" w:hAnsi="Times New Roman"/>
          <w:szCs w:val="24"/>
        </w:rPr>
        <w:t xml:space="preserve"> p</w:t>
      </w:r>
      <w:r w:rsidRPr="00113DF3">
        <w:rPr>
          <w:rFonts w:ascii="Times New Roman" w:hAnsi="Times New Roman"/>
          <w:szCs w:val="24"/>
        </w:rPr>
        <w:t>rocureur financier près ladite chambre</w:t>
      </w:r>
      <w:r w:rsidR="000A7B33" w:rsidRPr="00113DF3">
        <w:rPr>
          <w:rFonts w:ascii="Times New Roman" w:hAnsi="Times New Roman"/>
          <w:szCs w:val="24"/>
        </w:rPr>
        <w:t>,</w:t>
      </w:r>
      <w:r w:rsidRPr="00113DF3">
        <w:rPr>
          <w:rFonts w:ascii="Times New Roman" w:hAnsi="Times New Roman"/>
          <w:szCs w:val="24"/>
        </w:rPr>
        <w:t xml:space="preserve"> a </w:t>
      </w:r>
      <w:r w:rsidR="000A7B33" w:rsidRPr="00113DF3">
        <w:rPr>
          <w:rFonts w:ascii="Times New Roman" w:hAnsi="Times New Roman"/>
          <w:szCs w:val="24"/>
        </w:rPr>
        <w:t>interjeté</w:t>
      </w:r>
      <w:r w:rsidRPr="00113DF3">
        <w:rPr>
          <w:rFonts w:ascii="Times New Roman" w:hAnsi="Times New Roman"/>
          <w:szCs w:val="24"/>
        </w:rPr>
        <w:t xml:space="preserve"> appel </w:t>
      </w:r>
      <w:r w:rsidR="000A7B33" w:rsidRPr="00113DF3">
        <w:rPr>
          <w:rFonts w:ascii="Times New Roman" w:hAnsi="Times New Roman"/>
          <w:szCs w:val="24"/>
        </w:rPr>
        <w:t xml:space="preserve">des dispositions définitives </w:t>
      </w:r>
      <w:r w:rsidRPr="00113DF3">
        <w:rPr>
          <w:rFonts w:ascii="Times New Roman" w:hAnsi="Times New Roman"/>
          <w:szCs w:val="24"/>
        </w:rPr>
        <w:t>du jugement</w:t>
      </w:r>
      <w:r w:rsidR="00F12085" w:rsidRPr="00113DF3">
        <w:rPr>
          <w:rFonts w:ascii="Times New Roman" w:hAnsi="Times New Roman"/>
          <w:szCs w:val="24"/>
        </w:rPr>
        <w:t xml:space="preserve"> n° </w:t>
      </w:r>
      <w:r w:rsidRPr="00113DF3">
        <w:rPr>
          <w:rFonts w:ascii="Times New Roman" w:hAnsi="Times New Roman"/>
          <w:szCs w:val="24"/>
        </w:rPr>
        <w:t xml:space="preserve">2013-16 du 15 novembre 2013 par lequel </w:t>
      </w:r>
      <w:r w:rsidR="000A7B33" w:rsidRPr="00113DF3">
        <w:rPr>
          <w:rFonts w:ascii="Times New Roman" w:hAnsi="Times New Roman"/>
          <w:szCs w:val="24"/>
        </w:rPr>
        <w:t>cette juridiction</w:t>
      </w:r>
      <w:r w:rsidRPr="00113DF3">
        <w:rPr>
          <w:rFonts w:ascii="Times New Roman" w:hAnsi="Times New Roman"/>
          <w:szCs w:val="24"/>
        </w:rPr>
        <w:t xml:space="preserve"> a déclaré </w:t>
      </w:r>
      <w:r w:rsidR="00C200B6" w:rsidRPr="00113DF3">
        <w:rPr>
          <w:rFonts w:ascii="Times New Roman" w:hAnsi="Times New Roman"/>
          <w:szCs w:val="24"/>
        </w:rPr>
        <w:t xml:space="preserve">les comptables successifs de la commune de Janzé, </w:t>
      </w:r>
      <w:r w:rsidRPr="00113DF3">
        <w:rPr>
          <w:rFonts w:ascii="Times New Roman" w:hAnsi="Times New Roman"/>
          <w:szCs w:val="24"/>
        </w:rPr>
        <w:t>M.</w:t>
      </w:r>
      <w:r w:rsidR="00772C38" w:rsidRPr="00113DF3">
        <w:rPr>
          <w:rFonts w:ascii="Times New Roman" w:hAnsi="Times New Roman"/>
          <w:szCs w:val="24"/>
        </w:rPr>
        <w:t> </w:t>
      </w:r>
      <w:r w:rsidR="00837B94" w:rsidRPr="00113DF3">
        <w:rPr>
          <w:rFonts w:ascii="Times New Roman" w:hAnsi="Times New Roman"/>
          <w:szCs w:val="24"/>
        </w:rPr>
        <w:t>X</w:t>
      </w:r>
      <w:r w:rsidR="00C200B6" w:rsidRPr="00113DF3">
        <w:rPr>
          <w:rFonts w:ascii="Times New Roman" w:hAnsi="Times New Roman"/>
          <w:szCs w:val="24"/>
        </w:rPr>
        <w:t xml:space="preserve"> quitte et libéré de sa gestion</w:t>
      </w:r>
      <w:r w:rsidR="00783512" w:rsidRPr="00113DF3">
        <w:rPr>
          <w:rFonts w:ascii="Times New Roman" w:hAnsi="Times New Roman"/>
          <w:szCs w:val="24"/>
        </w:rPr>
        <w:t>,</w:t>
      </w:r>
      <w:r w:rsidR="00C200B6" w:rsidRPr="00113DF3">
        <w:rPr>
          <w:rFonts w:ascii="Times New Roman" w:hAnsi="Times New Roman"/>
          <w:szCs w:val="24"/>
        </w:rPr>
        <w:t xml:space="preserve"> terminée au 30 juin 2010,</w:t>
      </w:r>
      <w:r w:rsidRPr="00113DF3">
        <w:rPr>
          <w:rFonts w:ascii="Times New Roman" w:hAnsi="Times New Roman"/>
          <w:szCs w:val="24"/>
        </w:rPr>
        <w:t xml:space="preserve"> et </w:t>
      </w:r>
      <w:r w:rsidR="005B2036" w:rsidRPr="00113DF3">
        <w:rPr>
          <w:rFonts w:ascii="Times New Roman" w:hAnsi="Times New Roman"/>
          <w:szCs w:val="24"/>
        </w:rPr>
        <w:t xml:space="preserve">a déchargé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 xml:space="preserve"> </w:t>
      </w:r>
      <w:r w:rsidR="005B2036" w:rsidRPr="00113DF3">
        <w:rPr>
          <w:rFonts w:ascii="Times New Roman" w:hAnsi="Times New Roman"/>
          <w:szCs w:val="24"/>
        </w:rPr>
        <w:t>d</w:t>
      </w:r>
      <w:r w:rsidRPr="00113DF3">
        <w:rPr>
          <w:rFonts w:ascii="Times New Roman" w:hAnsi="Times New Roman"/>
          <w:szCs w:val="24"/>
        </w:rPr>
        <w:t>e sa gestion du 1</w:t>
      </w:r>
      <w:r w:rsidRPr="00113DF3">
        <w:rPr>
          <w:rFonts w:ascii="Times New Roman" w:hAnsi="Times New Roman"/>
          <w:szCs w:val="24"/>
          <w:vertAlign w:val="superscript"/>
        </w:rPr>
        <w:t>er</w:t>
      </w:r>
      <w:r w:rsidRPr="00113DF3">
        <w:rPr>
          <w:rFonts w:ascii="Times New Roman" w:hAnsi="Times New Roman"/>
          <w:szCs w:val="24"/>
        </w:rPr>
        <w:t xml:space="preserve"> juillet au 31 décembre 2010 ;</w:t>
      </w:r>
    </w:p>
    <w:p w:rsidR="000A7B33" w:rsidRPr="00113DF3" w:rsidRDefault="00296774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Vu le réquisitoire n° 2014-8 </w:t>
      </w:r>
      <w:r w:rsidR="000A7B33" w:rsidRPr="00113DF3">
        <w:rPr>
          <w:rFonts w:ascii="Times New Roman" w:hAnsi="Times New Roman"/>
          <w:szCs w:val="24"/>
        </w:rPr>
        <w:t xml:space="preserve">du 31 janvier 2014 </w:t>
      </w:r>
      <w:r w:rsidRPr="00113DF3">
        <w:rPr>
          <w:rFonts w:ascii="Times New Roman" w:hAnsi="Times New Roman"/>
          <w:szCs w:val="24"/>
        </w:rPr>
        <w:t xml:space="preserve">du Procureur général </w:t>
      </w:r>
      <w:r w:rsidR="000A7B33" w:rsidRPr="00113DF3">
        <w:rPr>
          <w:rFonts w:ascii="Times New Roman" w:hAnsi="Times New Roman"/>
          <w:szCs w:val="24"/>
        </w:rPr>
        <w:t xml:space="preserve">transmettant la requête précitée </w:t>
      </w:r>
      <w:r w:rsidRPr="00113DF3">
        <w:rPr>
          <w:rFonts w:ascii="Times New Roman" w:hAnsi="Times New Roman"/>
          <w:szCs w:val="24"/>
        </w:rPr>
        <w:t>à la Cour</w:t>
      </w:r>
      <w:r w:rsidR="00AC06EA">
        <w:rPr>
          <w:rFonts w:ascii="Times New Roman" w:hAnsi="Times New Roman"/>
          <w:szCs w:val="24"/>
        </w:rPr>
        <w:t> ;</w:t>
      </w:r>
    </w:p>
    <w:p w:rsidR="000A7B33" w:rsidRPr="00113DF3" w:rsidRDefault="00A14F4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les pièces de la procédure suivie en première instance</w:t>
      </w:r>
      <w:r w:rsidR="00AC06EA">
        <w:rPr>
          <w:rFonts w:ascii="Times New Roman" w:hAnsi="Times New Roman"/>
          <w:szCs w:val="24"/>
        </w:rPr>
        <w:t> ;</w:t>
      </w:r>
    </w:p>
    <w:p w:rsidR="00C200B6" w:rsidRPr="00113DF3" w:rsidRDefault="00C200B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</w:t>
      </w:r>
      <w:r w:rsidR="00630D1D" w:rsidRPr="00113DF3">
        <w:rPr>
          <w:rFonts w:ascii="Times New Roman" w:hAnsi="Times New Roman"/>
          <w:szCs w:val="24"/>
        </w:rPr>
        <w:t xml:space="preserve"> mémoire</w:t>
      </w:r>
      <w:r w:rsidRPr="00113DF3">
        <w:rPr>
          <w:rFonts w:ascii="Times New Roman" w:hAnsi="Times New Roman"/>
          <w:szCs w:val="24"/>
        </w:rPr>
        <w:t xml:space="preserve"> transmis le </w:t>
      </w:r>
      <w:r w:rsidR="00630D1D" w:rsidRPr="00113DF3">
        <w:rPr>
          <w:rFonts w:ascii="Times New Roman" w:hAnsi="Times New Roman"/>
          <w:szCs w:val="24"/>
        </w:rPr>
        <w:t xml:space="preserve">12 novembre 2014 </w:t>
      </w:r>
      <w:r w:rsidRPr="00113DF3">
        <w:rPr>
          <w:rFonts w:ascii="Times New Roman" w:hAnsi="Times New Roman"/>
          <w:szCs w:val="24"/>
        </w:rPr>
        <w:t xml:space="preserve">par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="00AC06EA">
        <w:rPr>
          <w:rFonts w:ascii="Times New Roman" w:hAnsi="Times New Roman"/>
          <w:szCs w:val="24"/>
        </w:rPr>
        <w:t> ;</w:t>
      </w:r>
    </w:p>
    <w:p w:rsidR="000A7B33" w:rsidRPr="00113DF3" w:rsidRDefault="00A14F4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 code des juridictions financières ;</w:t>
      </w:r>
    </w:p>
    <w:p w:rsidR="000A7B33" w:rsidRPr="00113DF3" w:rsidRDefault="000A7B33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 code général des collectivités territoriales</w:t>
      </w:r>
      <w:r w:rsidR="00AC06EA">
        <w:rPr>
          <w:rFonts w:ascii="Times New Roman" w:hAnsi="Times New Roman"/>
          <w:szCs w:val="24"/>
        </w:rPr>
        <w:t> ;</w:t>
      </w:r>
    </w:p>
    <w:p w:rsidR="000A7B33" w:rsidRPr="00113DF3" w:rsidRDefault="000A7B33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lastRenderedPageBreak/>
        <w:t>Vu l’article 60 de la loi de finances n° 63-156 du 23 février 1963</w:t>
      </w:r>
      <w:r w:rsidR="005B2036" w:rsidRPr="00113DF3">
        <w:rPr>
          <w:rFonts w:ascii="Times New Roman" w:hAnsi="Times New Roman"/>
          <w:szCs w:val="24"/>
        </w:rPr>
        <w:t> </w:t>
      </w:r>
      <w:r w:rsidRPr="00113DF3">
        <w:rPr>
          <w:rFonts w:ascii="Times New Roman" w:hAnsi="Times New Roman"/>
          <w:szCs w:val="24"/>
        </w:rPr>
        <w:t>;</w:t>
      </w:r>
    </w:p>
    <w:p w:rsidR="000A7B33" w:rsidRPr="00113DF3" w:rsidRDefault="00EC690D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 décret n° 2012-1386 du 10 décembre 2012 portant application du deuxième alinéa du VI de l’article 60 de la loi de finances n° 63-156 du 23 février 1963 modifiée, dans sa rédaction issue de l’article 90 de la loi n° 2011-1978 du 28 décembre 2011 de finances rectificative pour 2011 ;</w:t>
      </w:r>
    </w:p>
    <w:p w:rsidR="000A7B33" w:rsidRPr="00113DF3" w:rsidRDefault="008D4F2E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 décret n° 62-1587 du 29 décembre 1962 modifié, portant règlement général sur la comptabilité publique, en vigueur au moment des faits ;</w:t>
      </w:r>
    </w:p>
    <w:p w:rsidR="000A7B33" w:rsidRPr="00113DF3" w:rsidRDefault="00A14F4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Vu le rapport de M. </w:t>
      </w:r>
      <w:r w:rsidR="00A010F2" w:rsidRPr="00113DF3">
        <w:rPr>
          <w:rFonts w:ascii="Times New Roman" w:hAnsi="Times New Roman"/>
          <w:szCs w:val="24"/>
        </w:rPr>
        <w:t>Christophe R</w:t>
      </w:r>
      <w:r w:rsidR="000C6FC5" w:rsidRPr="00113DF3">
        <w:rPr>
          <w:rFonts w:ascii="Times New Roman" w:hAnsi="Times New Roman"/>
          <w:szCs w:val="24"/>
        </w:rPr>
        <w:t>ogue</w:t>
      </w:r>
      <w:r w:rsidRPr="00113DF3">
        <w:rPr>
          <w:rFonts w:ascii="Times New Roman" w:hAnsi="Times New Roman"/>
          <w:szCs w:val="24"/>
        </w:rPr>
        <w:t xml:space="preserve">, </w:t>
      </w:r>
      <w:r w:rsidR="00A010F2" w:rsidRPr="00113DF3">
        <w:rPr>
          <w:rFonts w:ascii="Times New Roman" w:hAnsi="Times New Roman"/>
          <w:szCs w:val="24"/>
        </w:rPr>
        <w:t>auditeur</w:t>
      </w:r>
      <w:r w:rsidRPr="00113DF3">
        <w:rPr>
          <w:rFonts w:ascii="Times New Roman" w:hAnsi="Times New Roman"/>
          <w:szCs w:val="24"/>
        </w:rPr>
        <w:t> ;</w:t>
      </w:r>
    </w:p>
    <w:p w:rsidR="000A7B33" w:rsidRPr="00113DF3" w:rsidRDefault="00A14F4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Vu les conc</w:t>
      </w:r>
      <w:r w:rsidR="00A010F2" w:rsidRPr="00113DF3">
        <w:rPr>
          <w:rFonts w:ascii="Times New Roman" w:hAnsi="Times New Roman"/>
          <w:szCs w:val="24"/>
        </w:rPr>
        <w:t xml:space="preserve">lusions du Procureur général n° 651 </w:t>
      </w:r>
      <w:r w:rsidRPr="00113DF3">
        <w:rPr>
          <w:rFonts w:ascii="Times New Roman" w:hAnsi="Times New Roman"/>
          <w:szCs w:val="24"/>
        </w:rPr>
        <w:t xml:space="preserve">du </w:t>
      </w:r>
      <w:r w:rsidR="00A010F2" w:rsidRPr="00113DF3">
        <w:rPr>
          <w:rFonts w:ascii="Times New Roman" w:hAnsi="Times New Roman"/>
          <w:szCs w:val="24"/>
        </w:rPr>
        <w:t>16 octobre 2014 ;</w:t>
      </w:r>
    </w:p>
    <w:p w:rsidR="000A7B33" w:rsidRPr="00113DF3" w:rsidRDefault="00A14F4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Entendu, lors de l’audience publique de ce jour, M.</w:t>
      </w:r>
      <w:r w:rsidR="00772C38" w:rsidRPr="00113DF3">
        <w:rPr>
          <w:rFonts w:ascii="Times New Roman" w:hAnsi="Times New Roman"/>
          <w:szCs w:val="24"/>
        </w:rPr>
        <w:t> </w:t>
      </w:r>
      <w:r w:rsidR="00A010F2" w:rsidRPr="00113DF3">
        <w:rPr>
          <w:rFonts w:ascii="Times New Roman" w:hAnsi="Times New Roman"/>
          <w:szCs w:val="24"/>
        </w:rPr>
        <w:t>R</w:t>
      </w:r>
      <w:r w:rsidR="000C6FC5" w:rsidRPr="00113DF3">
        <w:rPr>
          <w:rFonts w:ascii="Times New Roman" w:hAnsi="Times New Roman"/>
          <w:szCs w:val="24"/>
        </w:rPr>
        <w:t>ogue</w:t>
      </w:r>
      <w:r w:rsidRPr="00113DF3">
        <w:rPr>
          <w:rFonts w:ascii="Times New Roman" w:hAnsi="Times New Roman"/>
          <w:szCs w:val="24"/>
        </w:rPr>
        <w:t>, en son rapport, M.</w:t>
      </w:r>
      <w:r w:rsidR="00772C38" w:rsidRPr="00113DF3">
        <w:rPr>
          <w:rFonts w:ascii="Times New Roman" w:hAnsi="Times New Roman"/>
          <w:szCs w:val="24"/>
        </w:rPr>
        <w:t> </w:t>
      </w:r>
      <w:r w:rsidR="00A010F2" w:rsidRPr="00113DF3">
        <w:rPr>
          <w:rFonts w:ascii="Times New Roman" w:hAnsi="Times New Roman"/>
          <w:szCs w:val="24"/>
        </w:rPr>
        <w:t>Yves P</w:t>
      </w:r>
      <w:r w:rsidR="000C6FC5" w:rsidRPr="00113DF3">
        <w:rPr>
          <w:rFonts w:ascii="Times New Roman" w:hAnsi="Times New Roman"/>
          <w:szCs w:val="24"/>
        </w:rPr>
        <w:t>errin</w:t>
      </w:r>
      <w:r w:rsidRPr="00113DF3">
        <w:rPr>
          <w:rFonts w:ascii="Times New Roman" w:hAnsi="Times New Roman"/>
          <w:szCs w:val="24"/>
        </w:rPr>
        <w:t>, avocat général, en les conclusions du ministère public ;</w:t>
      </w:r>
    </w:p>
    <w:p w:rsidR="000A7B33" w:rsidRPr="00113DF3" w:rsidRDefault="00A14F46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Entendu en délibéré, M</w:t>
      </w:r>
      <w:r w:rsidR="00A010F2" w:rsidRPr="00AC06EA">
        <w:rPr>
          <w:rFonts w:ascii="Times New Roman" w:hAnsi="Times New Roman"/>
          <w:szCs w:val="24"/>
          <w:vertAlign w:val="superscript"/>
        </w:rPr>
        <w:t>me</w:t>
      </w:r>
      <w:r w:rsidR="00AC06EA">
        <w:rPr>
          <w:rFonts w:ascii="Times New Roman" w:hAnsi="Times New Roman"/>
          <w:szCs w:val="24"/>
        </w:rPr>
        <w:t xml:space="preserve"> </w:t>
      </w:r>
      <w:r w:rsidR="00A010F2" w:rsidRPr="00113DF3">
        <w:rPr>
          <w:rFonts w:ascii="Times New Roman" w:hAnsi="Times New Roman"/>
          <w:szCs w:val="24"/>
        </w:rPr>
        <w:t xml:space="preserve">Hélène </w:t>
      </w:r>
      <w:proofErr w:type="spellStart"/>
      <w:r w:rsidR="00A010F2" w:rsidRPr="00113DF3">
        <w:rPr>
          <w:rFonts w:ascii="Times New Roman" w:hAnsi="Times New Roman"/>
          <w:szCs w:val="24"/>
        </w:rPr>
        <w:t>G</w:t>
      </w:r>
      <w:r w:rsidR="00C200B6" w:rsidRPr="00113DF3">
        <w:rPr>
          <w:rFonts w:ascii="Times New Roman" w:hAnsi="Times New Roman"/>
          <w:szCs w:val="24"/>
        </w:rPr>
        <w:t>adriot</w:t>
      </w:r>
      <w:proofErr w:type="spellEnd"/>
      <w:r w:rsidR="00C200B6" w:rsidRPr="00113DF3">
        <w:rPr>
          <w:rFonts w:ascii="Times New Roman" w:hAnsi="Times New Roman"/>
          <w:szCs w:val="24"/>
        </w:rPr>
        <w:t>-Renard</w:t>
      </w:r>
      <w:r w:rsidRPr="00113DF3">
        <w:rPr>
          <w:rFonts w:ascii="Times New Roman" w:hAnsi="Times New Roman"/>
          <w:szCs w:val="24"/>
        </w:rPr>
        <w:t xml:space="preserve">, </w:t>
      </w:r>
      <w:r w:rsidR="00746D92" w:rsidRPr="00113DF3">
        <w:rPr>
          <w:rFonts w:ascii="Times New Roman" w:hAnsi="Times New Roman"/>
          <w:szCs w:val="24"/>
        </w:rPr>
        <w:t>conseillère maître</w:t>
      </w:r>
      <w:r w:rsidRPr="00113DF3">
        <w:rPr>
          <w:rFonts w:ascii="Times New Roman" w:hAnsi="Times New Roman"/>
          <w:szCs w:val="24"/>
        </w:rPr>
        <w:t>, en ses observations ;</w:t>
      </w:r>
    </w:p>
    <w:p w:rsidR="00E40B28" w:rsidRPr="00113DF3" w:rsidRDefault="00E40B28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</w:p>
    <w:p w:rsidR="000A7B33" w:rsidRPr="00113DF3" w:rsidRDefault="000A7B33" w:rsidP="000A7B33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Attendu</w:t>
      </w:r>
      <w:r w:rsidR="0017610B" w:rsidRPr="00113DF3">
        <w:rPr>
          <w:rFonts w:ascii="Times New Roman" w:hAnsi="Times New Roman"/>
          <w:szCs w:val="24"/>
        </w:rPr>
        <w:t xml:space="preserve"> que par réquisitoire n°</w:t>
      </w:r>
      <w:r w:rsidR="00772C38" w:rsidRPr="00113DF3">
        <w:rPr>
          <w:rFonts w:ascii="Times New Roman" w:hAnsi="Times New Roman"/>
          <w:szCs w:val="24"/>
        </w:rPr>
        <w:t> </w:t>
      </w:r>
      <w:r w:rsidR="0017610B" w:rsidRPr="00113DF3">
        <w:rPr>
          <w:rFonts w:ascii="Times New Roman" w:hAnsi="Times New Roman"/>
          <w:szCs w:val="24"/>
        </w:rPr>
        <w:t xml:space="preserve">2013-36 du 19 mars 2012, le </w:t>
      </w:r>
      <w:r w:rsidRPr="00113DF3">
        <w:rPr>
          <w:rFonts w:ascii="Times New Roman" w:hAnsi="Times New Roman"/>
          <w:szCs w:val="24"/>
        </w:rPr>
        <w:t xml:space="preserve">ministère public avait saisi la chambre </w:t>
      </w:r>
      <w:r w:rsidR="00772C38" w:rsidRPr="00113DF3">
        <w:rPr>
          <w:rFonts w:ascii="Times New Roman" w:hAnsi="Times New Roman"/>
          <w:szCs w:val="24"/>
        </w:rPr>
        <w:t xml:space="preserve">régionale des comptes de Bretagne </w:t>
      </w:r>
      <w:r w:rsidRPr="00113DF3">
        <w:rPr>
          <w:rFonts w:ascii="Times New Roman" w:hAnsi="Times New Roman"/>
          <w:szCs w:val="24"/>
        </w:rPr>
        <w:t>d’une présomption de charge à l’encontre des comptables</w:t>
      </w:r>
      <w:r w:rsidR="00AC06EA">
        <w:rPr>
          <w:rFonts w:ascii="Times New Roman" w:hAnsi="Times New Roman"/>
          <w:szCs w:val="24"/>
        </w:rPr>
        <w:t> ;</w:t>
      </w:r>
      <w:r w:rsidRPr="00113DF3">
        <w:rPr>
          <w:rFonts w:ascii="Times New Roman" w:hAnsi="Times New Roman"/>
          <w:szCs w:val="24"/>
        </w:rPr>
        <w:t xml:space="preserve"> que </w:t>
      </w:r>
      <w:r w:rsidR="00772C38" w:rsidRPr="00113DF3">
        <w:rPr>
          <w:rFonts w:ascii="Times New Roman" w:hAnsi="Times New Roman"/>
          <w:szCs w:val="24"/>
        </w:rPr>
        <w:t>cette présomption de charge portait sur</w:t>
      </w:r>
      <w:r w:rsidR="00C95AD4" w:rsidRPr="00113DF3">
        <w:rPr>
          <w:rFonts w:ascii="Times New Roman" w:hAnsi="Times New Roman"/>
          <w:szCs w:val="24"/>
        </w:rPr>
        <w:t xml:space="preserve"> le</w:t>
      </w:r>
      <w:r w:rsidR="003D6C61" w:rsidRPr="00113DF3">
        <w:rPr>
          <w:rFonts w:ascii="Times New Roman" w:hAnsi="Times New Roman"/>
          <w:szCs w:val="24"/>
        </w:rPr>
        <w:t>s</w:t>
      </w:r>
      <w:r w:rsidR="00C95AD4" w:rsidRPr="00113DF3">
        <w:rPr>
          <w:rFonts w:ascii="Times New Roman" w:hAnsi="Times New Roman"/>
          <w:szCs w:val="24"/>
        </w:rPr>
        <w:t xml:space="preserve"> manquement</w:t>
      </w:r>
      <w:r w:rsidR="003D6C61" w:rsidRPr="00113DF3">
        <w:rPr>
          <w:rFonts w:ascii="Times New Roman" w:hAnsi="Times New Roman"/>
          <w:szCs w:val="24"/>
        </w:rPr>
        <w:t>s</w:t>
      </w:r>
      <w:r w:rsidR="00C95AD4" w:rsidRPr="00113DF3">
        <w:rPr>
          <w:rFonts w:ascii="Times New Roman" w:hAnsi="Times New Roman"/>
          <w:szCs w:val="24"/>
        </w:rPr>
        <w:t xml:space="preserve"> commis en 2010, </w:t>
      </w:r>
      <w:r w:rsidR="003D6C61" w:rsidRPr="00113DF3">
        <w:rPr>
          <w:rFonts w:ascii="Times New Roman" w:hAnsi="Times New Roman"/>
          <w:szCs w:val="24"/>
        </w:rPr>
        <w:t xml:space="preserve">par </w:t>
      </w:r>
      <w:r w:rsidR="00837B94" w:rsidRPr="00113DF3">
        <w:rPr>
          <w:rFonts w:ascii="Times New Roman" w:hAnsi="Times New Roman"/>
          <w:szCs w:val="24"/>
        </w:rPr>
        <w:t>M. X</w:t>
      </w:r>
      <w:r w:rsidR="00C95AD4" w:rsidRPr="00113DF3">
        <w:rPr>
          <w:rFonts w:ascii="Times New Roman" w:hAnsi="Times New Roman"/>
          <w:szCs w:val="24"/>
        </w:rPr>
        <w:t xml:space="preserve"> puis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="00C95AD4" w:rsidRPr="00113DF3">
        <w:rPr>
          <w:rFonts w:ascii="Times New Roman" w:hAnsi="Times New Roman"/>
          <w:szCs w:val="24"/>
        </w:rPr>
        <w:t>, lors d</w:t>
      </w:r>
      <w:r w:rsidR="003D6C61" w:rsidRPr="00113DF3">
        <w:rPr>
          <w:rFonts w:ascii="Times New Roman" w:hAnsi="Times New Roman"/>
          <w:szCs w:val="24"/>
        </w:rPr>
        <w:t>es</w:t>
      </w:r>
      <w:r w:rsidR="00C95AD4" w:rsidRPr="00113DF3">
        <w:rPr>
          <w:rFonts w:ascii="Times New Roman" w:hAnsi="Times New Roman"/>
          <w:szCs w:val="24"/>
        </w:rPr>
        <w:t xml:space="preserve"> paiement</w:t>
      </w:r>
      <w:r w:rsidR="003D6C61" w:rsidRPr="00113DF3">
        <w:rPr>
          <w:rFonts w:ascii="Times New Roman" w:hAnsi="Times New Roman"/>
          <w:szCs w:val="24"/>
        </w:rPr>
        <w:t>s</w:t>
      </w:r>
      <w:r w:rsidR="00C95AD4" w:rsidRPr="00113DF3">
        <w:rPr>
          <w:rFonts w:ascii="Times New Roman" w:hAnsi="Times New Roman"/>
          <w:szCs w:val="24"/>
        </w:rPr>
        <w:t xml:space="preserve"> de respectivement dix-sept et cinq mandats justifiés par des</w:t>
      </w:r>
      <w:r w:rsidR="00772C38" w:rsidRPr="00113DF3">
        <w:rPr>
          <w:rFonts w:ascii="Times New Roman" w:hAnsi="Times New Roman"/>
          <w:szCs w:val="24"/>
        </w:rPr>
        <w:t xml:space="preserve"> bons de commandes </w:t>
      </w:r>
      <w:r w:rsidR="00C95AD4" w:rsidRPr="00113DF3">
        <w:rPr>
          <w:rFonts w:ascii="Times New Roman" w:hAnsi="Times New Roman"/>
          <w:szCs w:val="24"/>
        </w:rPr>
        <w:t xml:space="preserve">d’un marché, bons </w:t>
      </w:r>
      <w:r w:rsidR="00176016" w:rsidRPr="00113DF3">
        <w:rPr>
          <w:rFonts w:ascii="Times New Roman" w:hAnsi="Times New Roman"/>
          <w:szCs w:val="24"/>
        </w:rPr>
        <w:t xml:space="preserve">signés par le directeur des services techniques </w:t>
      </w:r>
      <w:r w:rsidR="00783512" w:rsidRPr="00113DF3">
        <w:rPr>
          <w:rFonts w:ascii="Times New Roman" w:hAnsi="Times New Roman"/>
          <w:szCs w:val="24"/>
        </w:rPr>
        <w:t xml:space="preserve">de la commune </w:t>
      </w:r>
      <w:r w:rsidR="00176016" w:rsidRPr="00113DF3">
        <w:rPr>
          <w:rFonts w:ascii="Times New Roman" w:hAnsi="Times New Roman"/>
          <w:szCs w:val="24"/>
        </w:rPr>
        <w:t>qui, selon le ministère public, ne disposait pas de délégation du maire à cet effet</w:t>
      </w:r>
      <w:r w:rsidR="00AC06EA">
        <w:rPr>
          <w:rFonts w:ascii="Times New Roman" w:hAnsi="Times New Roman"/>
          <w:szCs w:val="24"/>
        </w:rPr>
        <w:t> ;</w:t>
      </w:r>
    </w:p>
    <w:p w:rsidR="006671EB" w:rsidRPr="00113DF3" w:rsidRDefault="00AB4574" w:rsidP="006671EB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Attendu que par le jugement entrepris, </w:t>
      </w:r>
      <w:r w:rsidR="00837B94" w:rsidRPr="00113DF3">
        <w:rPr>
          <w:rFonts w:ascii="Times New Roman" w:hAnsi="Times New Roman"/>
          <w:szCs w:val="24"/>
        </w:rPr>
        <w:t>M. X</w:t>
      </w:r>
      <w:r w:rsidRPr="00113DF3">
        <w:rPr>
          <w:rFonts w:ascii="Times New Roman" w:hAnsi="Times New Roman"/>
          <w:szCs w:val="24"/>
        </w:rPr>
        <w:t xml:space="preserve"> a été déclaré quitte et libéré de sa gestion terminée au 30 juin 2010, et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 xml:space="preserve"> déchargée de sa gestion du 1</w:t>
      </w:r>
      <w:r w:rsidRPr="00113DF3">
        <w:rPr>
          <w:rFonts w:ascii="Times New Roman" w:hAnsi="Times New Roman"/>
          <w:szCs w:val="24"/>
          <w:vertAlign w:val="superscript"/>
        </w:rPr>
        <w:t>er</w:t>
      </w:r>
      <w:r w:rsidRPr="00113DF3">
        <w:rPr>
          <w:rFonts w:ascii="Times New Roman" w:hAnsi="Times New Roman"/>
          <w:szCs w:val="24"/>
        </w:rPr>
        <w:t xml:space="preserve"> juillet au 31 décembre 2010 ;</w:t>
      </w:r>
    </w:p>
    <w:p w:rsidR="004F00E1" w:rsidRPr="00113DF3" w:rsidRDefault="004F00E1" w:rsidP="00E40B28">
      <w:pPr>
        <w:pStyle w:val="PS"/>
        <w:spacing w:after="240"/>
        <w:ind w:left="1134" w:firstLine="567"/>
        <w:rPr>
          <w:rFonts w:ascii="Times New Roman" w:hAnsi="Times New Roman"/>
          <w:b/>
          <w:i/>
          <w:szCs w:val="24"/>
        </w:rPr>
      </w:pPr>
      <w:r w:rsidRPr="00113DF3">
        <w:rPr>
          <w:rFonts w:ascii="Times New Roman" w:hAnsi="Times New Roman"/>
          <w:b/>
          <w:i/>
          <w:szCs w:val="24"/>
        </w:rPr>
        <w:t>Sur le manquement</w:t>
      </w:r>
    </w:p>
    <w:p w:rsidR="00C95AD4" w:rsidRPr="00113DF3" w:rsidRDefault="0058502B" w:rsidP="006671EB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Attendu que le procureur financier</w:t>
      </w:r>
      <w:r w:rsidR="00176016" w:rsidRPr="00113DF3">
        <w:rPr>
          <w:rFonts w:ascii="Times New Roman" w:hAnsi="Times New Roman"/>
          <w:szCs w:val="24"/>
        </w:rPr>
        <w:t xml:space="preserve"> a fait appel de ce jugement ; </w:t>
      </w:r>
      <w:r w:rsidR="00C95AD4" w:rsidRPr="00113DF3">
        <w:rPr>
          <w:rFonts w:ascii="Times New Roman" w:hAnsi="Times New Roman"/>
          <w:szCs w:val="24"/>
        </w:rPr>
        <w:t xml:space="preserve">qu’il </w:t>
      </w:r>
      <w:r w:rsidR="003D6C61" w:rsidRPr="00113DF3">
        <w:rPr>
          <w:rFonts w:ascii="Times New Roman" w:hAnsi="Times New Roman"/>
          <w:szCs w:val="24"/>
        </w:rPr>
        <w:t xml:space="preserve">lui </w:t>
      </w:r>
      <w:r w:rsidR="00C95AD4" w:rsidRPr="00113DF3">
        <w:rPr>
          <w:rFonts w:ascii="Times New Roman" w:hAnsi="Times New Roman"/>
          <w:szCs w:val="24"/>
        </w:rPr>
        <w:t>fait grief de n’avoir pas statué explicitement sur la compétence du directeur des services techniques pour signer des bons de commande et estime que celui-ci n’</w:t>
      </w:r>
      <w:r w:rsidR="00AF6971" w:rsidRPr="00113DF3">
        <w:rPr>
          <w:rFonts w:ascii="Times New Roman" w:hAnsi="Times New Roman"/>
          <w:szCs w:val="24"/>
        </w:rPr>
        <w:t>était pas compétent ;</w:t>
      </w:r>
      <w:r w:rsidR="004F00E1" w:rsidRPr="00113DF3">
        <w:rPr>
          <w:rFonts w:ascii="Times New Roman" w:hAnsi="Times New Roman"/>
          <w:szCs w:val="24"/>
        </w:rPr>
        <w:t xml:space="preserve"> que dès lors, les comptables ont commis un manquement ;</w:t>
      </w:r>
    </w:p>
    <w:p w:rsidR="003D6C61" w:rsidRPr="00113DF3" w:rsidRDefault="003D6C61" w:rsidP="00AC06EA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Attendu que, dans son m</w:t>
      </w:r>
      <w:r w:rsidR="00AB4574" w:rsidRPr="00113DF3">
        <w:rPr>
          <w:rFonts w:ascii="Times New Roman" w:hAnsi="Times New Roman"/>
          <w:szCs w:val="24"/>
        </w:rPr>
        <w:t xml:space="preserve">émoire du 12 novembre 2014,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 xml:space="preserve"> fait valoir que les bordereaux </w:t>
      </w:r>
      <w:r w:rsidR="00E40B28" w:rsidRPr="00113DF3">
        <w:rPr>
          <w:rFonts w:ascii="Times New Roman" w:hAnsi="Times New Roman"/>
          <w:szCs w:val="24"/>
        </w:rPr>
        <w:t xml:space="preserve">de </w:t>
      </w:r>
      <w:r w:rsidRPr="00113DF3">
        <w:rPr>
          <w:rFonts w:ascii="Times New Roman" w:hAnsi="Times New Roman"/>
          <w:szCs w:val="24"/>
        </w:rPr>
        <w:t xml:space="preserve">mandats étaient dûment signés par le maire ; que ce fait n’est pas contesté ; que ce moyen est toutefois inopérant en ce que cette signature des mandats par le maire n’établit pas la compétence du directeur des services techniques pour signer les bons de </w:t>
      </w:r>
      <w:r w:rsidR="00AB4574" w:rsidRPr="00113DF3">
        <w:rPr>
          <w:rFonts w:ascii="Times New Roman" w:hAnsi="Times New Roman"/>
          <w:szCs w:val="24"/>
        </w:rPr>
        <w:t>commande</w:t>
      </w:r>
      <w:r w:rsidRPr="00113DF3">
        <w:rPr>
          <w:rFonts w:ascii="Times New Roman" w:hAnsi="Times New Roman"/>
          <w:szCs w:val="24"/>
        </w:rPr>
        <w:t> ;</w:t>
      </w:r>
    </w:p>
    <w:p w:rsidR="00FF2303" w:rsidRPr="00113DF3" w:rsidRDefault="00C95AD4" w:rsidP="006671EB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lastRenderedPageBreak/>
        <w:t xml:space="preserve">Attendu que dans </w:t>
      </w:r>
      <w:r w:rsidR="003D6C61" w:rsidRPr="00113DF3">
        <w:rPr>
          <w:rFonts w:ascii="Times New Roman" w:hAnsi="Times New Roman"/>
          <w:szCs w:val="24"/>
        </w:rPr>
        <w:t xml:space="preserve">ce même </w:t>
      </w:r>
      <w:r w:rsidRPr="00113DF3">
        <w:rPr>
          <w:rFonts w:ascii="Times New Roman" w:hAnsi="Times New Roman"/>
          <w:szCs w:val="24"/>
        </w:rPr>
        <w:t>mémoire</w:t>
      </w:r>
      <w:r w:rsidR="00AB4574" w:rsidRPr="00113DF3">
        <w:rPr>
          <w:rFonts w:ascii="Times New Roman" w:hAnsi="Times New Roman"/>
          <w:szCs w:val="24"/>
        </w:rPr>
        <w:t xml:space="preserve">,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="00AF6971" w:rsidRPr="00113DF3">
        <w:rPr>
          <w:rFonts w:ascii="Times New Roman" w:hAnsi="Times New Roman"/>
          <w:szCs w:val="24"/>
        </w:rPr>
        <w:t xml:space="preserve"> estime</w:t>
      </w:r>
      <w:r w:rsidR="003D6C61" w:rsidRPr="00113DF3">
        <w:rPr>
          <w:rFonts w:ascii="Times New Roman" w:hAnsi="Times New Roman"/>
          <w:szCs w:val="24"/>
        </w:rPr>
        <w:t>,</w:t>
      </w:r>
      <w:r w:rsidR="00AF6971" w:rsidRPr="00113DF3">
        <w:rPr>
          <w:rFonts w:ascii="Times New Roman" w:hAnsi="Times New Roman"/>
          <w:szCs w:val="24"/>
        </w:rPr>
        <w:t xml:space="preserve"> </w:t>
      </w:r>
      <w:r w:rsidR="003D6C61" w:rsidRPr="00113DF3">
        <w:rPr>
          <w:rFonts w:ascii="Times New Roman" w:hAnsi="Times New Roman"/>
          <w:szCs w:val="24"/>
        </w:rPr>
        <w:t>contrairement à l’appelant,</w:t>
      </w:r>
      <w:r w:rsidR="00AF6971" w:rsidRPr="00113DF3">
        <w:rPr>
          <w:rFonts w:ascii="Times New Roman" w:hAnsi="Times New Roman"/>
          <w:szCs w:val="24"/>
        </w:rPr>
        <w:t xml:space="preserve"> que le directeur des services techniques était habilité à signer les bons de commande du marché conclu le 11 décembre 2009 pour approvisionner la commune en fioul ; qu’en effet l’article 2 de </w:t>
      </w:r>
      <w:r w:rsidR="00783512" w:rsidRPr="00113DF3">
        <w:rPr>
          <w:rFonts w:ascii="Times New Roman" w:hAnsi="Times New Roman"/>
          <w:szCs w:val="24"/>
        </w:rPr>
        <w:t>l</w:t>
      </w:r>
      <w:r w:rsidR="00A33FF0" w:rsidRPr="00113DF3">
        <w:rPr>
          <w:rFonts w:ascii="Times New Roman" w:hAnsi="Times New Roman"/>
          <w:szCs w:val="24"/>
        </w:rPr>
        <w:t xml:space="preserve">a décision d’attribution du marché prise par le maire le 24 novembre 2009 </w:t>
      </w:r>
      <w:r w:rsidR="00AF6971" w:rsidRPr="00113DF3">
        <w:rPr>
          <w:rFonts w:ascii="Times New Roman" w:hAnsi="Times New Roman"/>
          <w:szCs w:val="24"/>
        </w:rPr>
        <w:t>précisait que « </w:t>
      </w:r>
      <w:r w:rsidR="00AF6971" w:rsidRPr="00113DF3">
        <w:rPr>
          <w:rFonts w:ascii="Times New Roman" w:hAnsi="Times New Roman"/>
          <w:i/>
          <w:szCs w:val="24"/>
        </w:rPr>
        <w:t xml:space="preserve">le directeur des services techniques… sont chargés chacun en </w:t>
      </w:r>
      <w:r w:rsidR="00A33FF0" w:rsidRPr="00113DF3">
        <w:rPr>
          <w:rFonts w:ascii="Times New Roman" w:hAnsi="Times New Roman"/>
          <w:i/>
          <w:szCs w:val="24"/>
        </w:rPr>
        <w:t xml:space="preserve"> ce qui le</w:t>
      </w:r>
      <w:r w:rsidR="00AF6971" w:rsidRPr="00113DF3">
        <w:rPr>
          <w:rFonts w:ascii="Times New Roman" w:hAnsi="Times New Roman"/>
          <w:i/>
          <w:szCs w:val="24"/>
        </w:rPr>
        <w:t>s</w:t>
      </w:r>
      <w:r w:rsidR="00A33FF0" w:rsidRPr="00113DF3">
        <w:rPr>
          <w:rFonts w:ascii="Times New Roman" w:hAnsi="Times New Roman"/>
          <w:i/>
          <w:szCs w:val="24"/>
        </w:rPr>
        <w:t xml:space="preserve"> concern</w:t>
      </w:r>
      <w:r w:rsidR="00AF6971" w:rsidRPr="00113DF3">
        <w:rPr>
          <w:rFonts w:ascii="Times New Roman" w:hAnsi="Times New Roman"/>
          <w:i/>
          <w:szCs w:val="24"/>
        </w:rPr>
        <w:t>e de l’exécution de la présente décision </w:t>
      </w:r>
      <w:r w:rsidR="00AF6971" w:rsidRPr="00113DF3">
        <w:rPr>
          <w:rFonts w:ascii="Times New Roman" w:hAnsi="Times New Roman"/>
          <w:szCs w:val="24"/>
        </w:rPr>
        <w:t>», à savoir, selon elle, de</w:t>
      </w:r>
      <w:r w:rsidR="00A33FF0" w:rsidRPr="00113DF3">
        <w:rPr>
          <w:rFonts w:ascii="Times New Roman" w:hAnsi="Times New Roman"/>
          <w:szCs w:val="24"/>
        </w:rPr>
        <w:t xml:space="preserve"> </w:t>
      </w:r>
      <w:r w:rsidR="004E08EC" w:rsidRPr="00113DF3">
        <w:rPr>
          <w:rFonts w:ascii="Times New Roman" w:hAnsi="Times New Roman"/>
          <w:szCs w:val="24"/>
        </w:rPr>
        <w:t>l’</w:t>
      </w:r>
      <w:r w:rsidR="00772C38" w:rsidRPr="00113DF3">
        <w:rPr>
          <w:rFonts w:ascii="Times New Roman" w:hAnsi="Times New Roman"/>
          <w:szCs w:val="24"/>
        </w:rPr>
        <w:t>« </w:t>
      </w:r>
      <w:r w:rsidR="004E08EC" w:rsidRPr="00113DF3">
        <w:rPr>
          <w:rFonts w:ascii="Times New Roman" w:hAnsi="Times New Roman"/>
          <w:i/>
          <w:szCs w:val="24"/>
        </w:rPr>
        <w:t xml:space="preserve">exécution </w:t>
      </w:r>
      <w:r w:rsidR="009F3DC7" w:rsidRPr="00113DF3">
        <w:rPr>
          <w:rFonts w:ascii="Times New Roman" w:hAnsi="Times New Roman"/>
          <w:i/>
          <w:szCs w:val="24"/>
        </w:rPr>
        <w:t>du</w:t>
      </w:r>
      <w:r w:rsidR="004E08EC" w:rsidRPr="00113DF3">
        <w:rPr>
          <w:rFonts w:ascii="Times New Roman" w:hAnsi="Times New Roman"/>
          <w:i/>
          <w:szCs w:val="24"/>
        </w:rPr>
        <w:t xml:space="preserve"> marché</w:t>
      </w:r>
      <w:r w:rsidR="00772C38" w:rsidRPr="00113DF3">
        <w:rPr>
          <w:rFonts w:ascii="Times New Roman" w:hAnsi="Times New Roman"/>
          <w:szCs w:val="24"/>
        </w:rPr>
        <w:t> »</w:t>
      </w:r>
      <w:r w:rsidR="00A33FF0" w:rsidRPr="00113DF3">
        <w:rPr>
          <w:rFonts w:ascii="Times New Roman" w:hAnsi="Times New Roman"/>
          <w:szCs w:val="24"/>
        </w:rPr>
        <w:t xml:space="preserve"> ; </w:t>
      </w:r>
      <w:r w:rsidR="00FF2303" w:rsidRPr="00113DF3">
        <w:rPr>
          <w:rFonts w:ascii="Times New Roman" w:hAnsi="Times New Roman"/>
          <w:szCs w:val="24"/>
        </w:rPr>
        <w:t>qu’en outre l’article 5-2 du cahier des charges de ce marché précisait que « </w:t>
      </w:r>
      <w:r w:rsidR="00FF2303" w:rsidRPr="00113DF3">
        <w:rPr>
          <w:rFonts w:ascii="Times New Roman" w:hAnsi="Times New Roman"/>
          <w:i/>
          <w:szCs w:val="24"/>
        </w:rPr>
        <w:t>les commandes seront établies par le biais d’un bon de commande délivré par les services techniques de la ville </w:t>
      </w:r>
      <w:r w:rsidR="00AC06EA">
        <w:rPr>
          <w:rFonts w:ascii="Times New Roman" w:hAnsi="Times New Roman"/>
          <w:szCs w:val="24"/>
        </w:rPr>
        <w:t>» ;</w:t>
      </w:r>
    </w:p>
    <w:p w:rsidR="00FF2303" w:rsidRPr="00113DF3" w:rsidRDefault="00FF2303" w:rsidP="006671EB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Attendu toutefois </w:t>
      </w:r>
      <w:r w:rsidR="00A33FF0" w:rsidRPr="00113DF3">
        <w:rPr>
          <w:rFonts w:ascii="Times New Roman" w:hAnsi="Times New Roman"/>
          <w:szCs w:val="24"/>
        </w:rPr>
        <w:t>que</w:t>
      </w:r>
      <w:r w:rsidR="003D6C61" w:rsidRPr="00113DF3">
        <w:rPr>
          <w:rFonts w:ascii="Times New Roman" w:hAnsi="Times New Roman"/>
          <w:szCs w:val="24"/>
        </w:rPr>
        <w:t>,</w:t>
      </w:r>
      <w:r w:rsidR="00A33FF0" w:rsidRPr="00113DF3">
        <w:rPr>
          <w:rFonts w:ascii="Times New Roman" w:hAnsi="Times New Roman"/>
          <w:szCs w:val="24"/>
        </w:rPr>
        <w:t xml:space="preserve"> ni </w:t>
      </w:r>
      <w:r w:rsidRPr="00113DF3">
        <w:rPr>
          <w:rFonts w:ascii="Times New Roman" w:hAnsi="Times New Roman"/>
          <w:szCs w:val="24"/>
        </w:rPr>
        <w:t>la</w:t>
      </w:r>
      <w:r w:rsidR="00A33FF0" w:rsidRPr="00113DF3">
        <w:rPr>
          <w:rFonts w:ascii="Times New Roman" w:hAnsi="Times New Roman"/>
          <w:szCs w:val="24"/>
        </w:rPr>
        <w:t xml:space="preserve"> décision</w:t>
      </w:r>
      <w:r w:rsidRPr="00113DF3">
        <w:rPr>
          <w:rFonts w:ascii="Times New Roman" w:hAnsi="Times New Roman"/>
          <w:szCs w:val="24"/>
        </w:rPr>
        <w:t xml:space="preserve"> du 24 novembre 2009</w:t>
      </w:r>
      <w:r w:rsidR="00A33FF0" w:rsidRPr="00113DF3">
        <w:rPr>
          <w:rFonts w:ascii="Times New Roman" w:hAnsi="Times New Roman"/>
          <w:szCs w:val="24"/>
        </w:rPr>
        <w:t>, ni l’article 5-2 du cahier des charges</w:t>
      </w:r>
      <w:r w:rsidR="00382904" w:rsidRPr="00113DF3">
        <w:rPr>
          <w:rFonts w:ascii="Times New Roman" w:hAnsi="Times New Roman"/>
          <w:szCs w:val="24"/>
        </w:rPr>
        <w:t xml:space="preserve"> du marché</w:t>
      </w:r>
      <w:r w:rsidR="00A33FF0" w:rsidRPr="00113DF3">
        <w:rPr>
          <w:rFonts w:ascii="Times New Roman" w:hAnsi="Times New Roman"/>
          <w:szCs w:val="24"/>
        </w:rPr>
        <w:t xml:space="preserve"> </w:t>
      </w:r>
      <w:r w:rsidR="00630D1D" w:rsidRPr="00113DF3">
        <w:rPr>
          <w:rFonts w:ascii="Times New Roman" w:hAnsi="Times New Roman"/>
          <w:szCs w:val="24"/>
        </w:rPr>
        <w:t>ne</w:t>
      </w:r>
      <w:r w:rsidR="00A33FF0" w:rsidRPr="00113DF3">
        <w:rPr>
          <w:rFonts w:ascii="Times New Roman" w:hAnsi="Times New Roman"/>
          <w:szCs w:val="24"/>
        </w:rPr>
        <w:t xml:space="preserve"> constituent une </w:t>
      </w:r>
      <w:r w:rsidR="00CD5CE5" w:rsidRPr="00113DF3">
        <w:rPr>
          <w:rFonts w:ascii="Times New Roman" w:hAnsi="Times New Roman"/>
          <w:szCs w:val="24"/>
        </w:rPr>
        <w:t xml:space="preserve">délégation de signature expresse du maire </w:t>
      </w:r>
      <w:r w:rsidR="00382904" w:rsidRPr="00113DF3">
        <w:rPr>
          <w:rFonts w:ascii="Times New Roman" w:hAnsi="Times New Roman"/>
          <w:szCs w:val="24"/>
        </w:rPr>
        <w:t xml:space="preserve">au directeur des services techniques </w:t>
      </w:r>
      <w:r w:rsidR="00CD5CE5" w:rsidRPr="00113DF3">
        <w:rPr>
          <w:rFonts w:ascii="Times New Roman" w:hAnsi="Times New Roman"/>
          <w:szCs w:val="24"/>
        </w:rPr>
        <w:t xml:space="preserve">pour </w:t>
      </w:r>
      <w:r w:rsidR="0062753A" w:rsidRPr="00113DF3">
        <w:rPr>
          <w:rFonts w:ascii="Times New Roman" w:hAnsi="Times New Roman"/>
          <w:szCs w:val="24"/>
        </w:rPr>
        <w:t>signer les bons de commande ;</w:t>
      </w:r>
      <w:r w:rsidR="00A33FF0" w:rsidRPr="00113DF3">
        <w:rPr>
          <w:rFonts w:ascii="Times New Roman" w:hAnsi="Times New Roman"/>
          <w:szCs w:val="24"/>
        </w:rPr>
        <w:t xml:space="preserve"> </w:t>
      </w:r>
      <w:r w:rsidRPr="00113DF3">
        <w:rPr>
          <w:rFonts w:ascii="Times New Roman" w:hAnsi="Times New Roman"/>
          <w:szCs w:val="24"/>
        </w:rPr>
        <w:t xml:space="preserve">qu’en effet, si, </w:t>
      </w:r>
      <w:r w:rsidR="00382904" w:rsidRPr="00113DF3">
        <w:rPr>
          <w:rFonts w:ascii="Times New Roman" w:hAnsi="Times New Roman"/>
          <w:szCs w:val="24"/>
        </w:rPr>
        <w:t xml:space="preserve">en application </w:t>
      </w:r>
      <w:r w:rsidR="004A3F74" w:rsidRPr="00113DF3">
        <w:rPr>
          <w:rFonts w:ascii="Times New Roman" w:hAnsi="Times New Roman"/>
          <w:szCs w:val="24"/>
        </w:rPr>
        <w:t xml:space="preserve"> de l’article L</w:t>
      </w:r>
      <w:r w:rsidR="00E40B28" w:rsidRPr="00113DF3">
        <w:rPr>
          <w:rFonts w:ascii="Times New Roman" w:hAnsi="Times New Roman"/>
          <w:szCs w:val="24"/>
        </w:rPr>
        <w:t>.</w:t>
      </w:r>
      <w:r w:rsidR="004A3F74" w:rsidRPr="00113DF3">
        <w:rPr>
          <w:rFonts w:ascii="Times New Roman" w:hAnsi="Times New Roman"/>
          <w:szCs w:val="24"/>
        </w:rPr>
        <w:t xml:space="preserve"> 2122-19 du code général des collectivités territoriales, le maire </w:t>
      </w:r>
      <w:r w:rsidR="003D6C61" w:rsidRPr="00113DF3">
        <w:rPr>
          <w:rFonts w:ascii="Times New Roman" w:hAnsi="Times New Roman"/>
          <w:szCs w:val="24"/>
        </w:rPr>
        <w:t>aurait pu</w:t>
      </w:r>
      <w:r w:rsidR="004A3F74" w:rsidRPr="00113DF3">
        <w:rPr>
          <w:rFonts w:ascii="Times New Roman" w:hAnsi="Times New Roman"/>
          <w:szCs w:val="24"/>
        </w:rPr>
        <w:t xml:space="preserve"> donner délégation de signature au directeur des services techniques</w:t>
      </w:r>
      <w:r w:rsidRPr="00113DF3">
        <w:rPr>
          <w:rFonts w:ascii="Times New Roman" w:hAnsi="Times New Roman"/>
          <w:szCs w:val="24"/>
        </w:rPr>
        <w:t>,</w:t>
      </w:r>
      <w:r w:rsidR="00382904" w:rsidRPr="00113DF3">
        <w:rPr>
          <w:rFonts w:ascii="Times New Roman" w:hAnsi="Times New Roman"/>
          <w:szCs w:val="24"/>
        </w:rPr>
        <w:t xml:space="preserve"> </w:t>
      </w:r>
      <w:r w:rsidR="004A3F74" w:rsidRPr="00113DF3">
        <w:rPr>
          <w:rFonts w:ascii="Times New Roman" w:hAnsi="Times New Roman"/>
          <w:szCs w:val="24"/>
        </w:rPr>
        <w:t xml:space="preserve">une telle délégation </w:t>
      </w:r>
      <w:r w:rsidR="003D6C61" w:rsidRPr="00113DF3">
        <w:rPr>
          <w:rFonts w:ascii="Times New Roman" w:hAnsi="Times New Roman"/>
          <w:szCs w:val="24"/>
        </w:rPr>
        <w:t xml:space="preserve">aurait dû être </w:t>
      </w:r>
      <w:r w:rsidR="004A3F74" w:rsidRPr="00113DF3">
        <w:rPr>
          <w:rFonts w:ascii="Times New Roman" w:hAnsi="Times New Roman"/>
          <w:szCs w:val="24"/>
        </w:rPr>
        <w:t xml:space="preserve"> nominative et faire l’objet d’un arrêté ; </w:t>
      </w:r>
      <w:r w:rsidR="003D6C61" w:rsidRPr="00113DF3">
        <w:rPr>
          <w:rFonts w:ascii="Times New Roman" w:hAnsi="Times New Roman"/>
          <w:szCs w:val="24"/>
        </w:rPr>
        <w:t>qu</w:t>
      </w:r>
      <w:r w:rsidR="00783512" w:rsidRPr="00113DF3">
        <w:rPr>
          <w:rFonts w:ascii="Times New Roman" w:hAnsi="Times New Roman"/>
          <w:szCs w:val="24"/>
        </w:rPr>
        <w:t>’il ne ressort pas des pièces du dossier qu</w:t>
      </w:r>
      <w:r w:rsidR="003D6C61" w:rsidRPr="00113DF3">
        <w:rPr>
          <w:rFonts w:ascii="Times New Roman" w:hAnsi="Times New Roman"/>
          <w:szCs w:val="24"/>
        </w:rPr>
        <w:t xml:space="preserve">e le maire de la commune de Janzé </w:t>
      </w:r>
      <w:r w:rsidR="00783512" w:rsidRPr="00113DF3">
        <w:rPr>
          <w:rFonts w:ascii="Times New Roman" w:hAnsi="Times New Roman"/>
          <w:szCs w:val="24"/>
        </w:rPr>
        <w:t>ait</w:t>
      </w:r>
      <w:r w:rsidR="003D6C61" w:rsidRPr="00113DF3">
        <w:rPr>
          <w:rFonts w:ascii="Times New Roman" w:hAnsi="Times New Roman"/>
          <w:szCs w:val="24"/>
        </w:rPr>
        <w:t xml:space="preserve"> délégué ainsi sa signature au directeur des services techniques ; </w:t>
      </w:r>
    </w:p>
    <w:p w:rsidR="004A3F74" w:rsidRPr="00113DF3" w:rsidRDefault="00FF2303" w:rsidP="006671EB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Attendu que</w:t>
      </w:r>
      <w:r w:rsidR="003D6C61" w:rsidRPr="00113DF3">
        <w:rPr>
          <w:rFonts w:ascii="Times New Roman" w:hAnsi="Times New Roman"/>
          <w:szCs w:val="24"/>
        </w:rPr>
        <w:t>,</w:t>
      </w:r>
      <w:r w:rsidRPr="00113DF3">
        <w:rPr>
          <w:rFonts w:ascii="Times New Roman" w:hAnsi="Times New Roman"/>
          <w:szCs w:val="24"/>
        </w:rPr>
        <w:t xml:space="preserve"> </w:t>
      </w:r>
      <w:r w:rsidR="003D6C61" w:rsidRPr="00113DF3">
        <w:rPr>
          <w:rFonts w:ascii="Times New Roman" w:hAnsi="Times New Roman"/>
          <w:szCs w:val="24"/>
        </w:rPr>
        <w:t xml:space="preserve">dès lors, </w:t>
      </w:r>
      <w:r w:rsidR="00AB4574" w:rsidRPr="00113DF3">
        <w:rPr>
          <w:rFonts w:ascii="Times New Roman" w:hAnsi="Times New Roman"/>
          <w:szCs w:val="24"/>
        </w:rPr>
        <w:t xml:space="preserve">le moyen de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 xml:space="preserve"> manque en droit ; qu’il y a lieu, en revanche</w:t>
      </w:r>
      <w:r w:rsidR="003D6C61" w:rsidRPr="00113DF3">
        <w:rPr>
          <w:rFonts w:ascii="Times New Roman" w:hAnsi="Times New Roman"/>
          <w:szCs w:val="24"/>
        </w:rPr>
        <w:t>,</w:t>
      </w:r>
      <w:r w:rsidRPr="00113DF3">
        <w:rPr>
          <w:rFonts w:ascii="Times New Roman" w:hAnsi="Times New Roman"/>
          <w:szCs w:val="24"/>
        </w:rPr>
        <w:t xml:space="preserve"> d’admettre celui du requérant</w:t>
      </w:r>
      <w:r w:rsidR="004F00E1" w:rsidRPr="00113DF3">
        <w:rPr>
          <w:rFonts w:ascii="Times New Roman" w:hAnsi="Times New Roman"/>
          <w:szCs w:val="24"/>
        </w:rPr>
        <w:t>,</w:t>
      </w:r>
      <w:r w:rsidRPr="00113DF3">
        <w:rPr>
          <w:rFonts w:ascii="Times New Roman" w:hAnsi="Times New Roman"/>
          <w:szCs w:val="24"/>
        </w:rPr>
        <w:t xml:space="preserve"> et d’infirmer le jugement entrepris</w:t>
      </w:r>
      <w:r w:rsidR="004F00E1" w:rsidRPr="00113DF3">
        <w:rPr>
          <w:rFonts w:ascii="Times New Roman" w:hAnsi="Times New Roman"/>
          <w:szCs w:val="24"/>
        </w:rPr>
        <w:t xml:space="preserve"> et de dire que les comptables ont manqué à leur obligation de contrôler les pièces justificatives prévue à l’article 13 du décret du 29 décembre 1962 susvisé</w:t>
      </w:r>
      <w:r w:rsidR="004A3F74" w:rsidRPr="00113DF3">
        <w:rPr>
          <w:rFonts w:ascii="Times New Roman" w:hAnsi="Times New Roman"/>
          <w:szCs w:val="24"/>
        </w:rPr>
        <w:t> ;</w:t>
      </w:r>
    </w:p>
    <w:p w:rsidR="004F00E1" w:rsidRPr="00113DF3" w:rsidRDefault="004F00E1" w:rsidP="00E40B28">
      <w:pPr>
        <w:pStyle w:val="PS"/>
        <w:spacing w:after="240"/>
        <w:ind w:left="1134" w:firstLine="567"/>
        <w:rPr>
          <w:rFonts w:ascii="Times New Roman" w:hAnsi="Times New Roman"/>
          <w:b/>
          <w:i/>
          <w:szCs w:val="24"/>
        </w:rPr>
      </w:pPr>
      <w:r w:rsidRPr="00113DF3">
        <w:rPr>
          <w:rFonts w:ascii="Times New Roman" w:hAnsi="Times New Roman"/>
          <w:b/>
          <w:i/>
          <w:szCs w:val="24"/>
        </w:rPr>
        <w:t>Sur le préjudice financier</w:t>
      </w:r>
    </w:p>
    <w:p w:rsidR="004F00E1" w:rsidRPr="00113DF3" w:rsidRDefault="004F00E1" w:rsidP="006671EB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Attendu qu’il n’est pas contesté que les fournitures commandées ont été livrées ; que dès lors</w:t>
      </w:r>
      <w:r w:rsidR="00783512" w:rsidRPr="00113DF3">
        <w:rPr>
          <w:rFonts w:ascii="Times New Roman" w:hAnsi="Times New Roman"/>
          <w:szCs w:val="24"/>
        </w:rPr>
        <w:t xml:space="preserve"> </w:t>
      </w:r>
      <w:r w:rsidRPr="00113DF3">
        <w:rPr>
          <w:rFonts w:ascii="Times New Roman" w:hAnsi="Times New Roman"/>
          <w:szCs w:val="24"/>
        </w:rPr>
        <w:t>les sommes irrégulièrement payées étaient dues</w:t>
      </w:r>
      <w:r w:rsidR="00783512" w:rsidRPr="00113DF3">
        <w:rPr>
          <w:rFonts w:ascii="Times New Roman" w:hAnsi="Times New Roman"/>
          <w:szCs w:val="24"/>
        </w:rPr>
        <w:t xml:space="preserve"> par la commune </w:t>
      </w:r>
      <w:r w:rsidRPr="00113DF3">
        <w:rPr>
          <w:rFonts w:ascii="Times New Roman" w:hAnsi="Times New Roman"/>
          <w:szCs w:val="24"/>
        </w:rPr>
        <w:t>au titulaire du marché</w:t>
      </w:r>
      <w:r w:rsidR="00783512" w:rsidRPr="00113DF3">
        <w:rPr>
          <w:rFonts w:ascii="Times New Roman" w:hAnsi="Times New Roman"/>
          <w:szCs w:val="24"/>
        </w:rPr>
        <w:t>, en application du marché</w:t>
      </w:r>
      <w:r w:rsidRPr="00113DF3">
        <w:rPr>
          <w:rFonts w:ascii="Times New Roman" w:hAnsi="Times New Roman"/>
          <w:szCs w:val="24"/>
        </w:rPr>
        <w:t xml:space="preserve"> ; qu’ainsi les manquements </w:t>
      </w:r>
      <w:r w:rsidR="00783512" w:rsidRPr="00113DF3">
        <w:rPr>
          <w:rFonts w:ascii="Times New Roman" w:hAnsi="Times New Roman"/>
          <w:szCs w:val="24"/>
        </w:rPr>
        <w:t>des comptable</w:t>
      </w:r>
      <w:r w:rsidR="00E40B28" w:rsidRPr="00113DF3">
        <w:rPr>
          <w:rFonts w:ascii="Times New Roman" w:hAnsi="Times New Roman"/>
          <w:szCs w:val="24"/>
        </w:rPr>
        <w:t>s</w:t>
      </w:r>
      <w:r w:rsidR="00783512" w:rsidRPr="00113DF3">
        <w:rPr>
          <w:rFonts w:ascii="Times New Roman" w:hAnsi="Times New Roman"/>
          <w:szCs w:val="24"/>
        </w:rPr>
        <w:t xml:space="preserve"> </w:t>
      </w:r>
      <w:r w:rsidRPr="00113DF3">
        <w:rPr>
          <w:rFonts w:ascii="Times New Roman" w:hAnsi="Times New Roman"/>
          <w:szCs w:val="24"/>
        </w:rPr>
        <w:t>n’ont pas causé de préjudice financier à la commune ;</w:t>
      </w:r>
    </w:p>
    <w:p w:rsidR="004F00E1" w:rsidRPr="00113DF3" w:rsidRDefault="004F00E1" w:rsidP="00E40B28">
      <w:pPr>
        <w:pStyle w:val="PS"/>
        <w:spacing w:after="240"/>
        <w:ind w:left="1134" w:firstLine="567"/>
        <w:rPr>
          <w:rFonts w:ascii="Times New Roman" w:hAnsi="Times New Roman"/>
          <w:b/>
          <w:i/>
          <w:szCs w:val="24"/>
        </w:rPr>
      </w:pPr>
      <w:r w:rsidRPr="00113DF3">
        <w:rPr>
          <w:rFonts w:ascii="Times New Roman" w:hAnsi="Times New Roman"/>
          <w:b/>
          <w:i/>
          <w:szCs w:val="24"/>
        </w:rPr>
        <w:t>Sur la somme irrémissible</w:t>
      </w:r>
    </w:p>
    <w:p w:rsidR="000F026A" w:rsidRPr="00113DF3" w:rsidRDefault="000F026A" w:rsidP="00AC06EA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Attendu que selon le VI de l’article 60 de la loi du 23 février 1963 susvisé « </w:t>
      </w:r>
      <w:r w:rsidRPr="00113DF3">
        <w:rPr>
          <w:rFonts w:ascii="Times New Roman" w:hAnsi="Times New Roman"/>
          <w:i/>
          <w:szCs w:val="24"/>
        </w:rPr>
        <w:t>Lorsque le manquement du comptable aux obligations mentionnées au I n’a pas causé de préjudice financier à l’organisme public concerné, le juge des comptes peut l’obliger à s’acquitter d’une somme arrêtée, pour chaque exercice, en tenant</w:t>
      </w:r>
      <w:r w:rsidR="00AC06EA">
        <w:rPr>
          <w:rFonts w:ascii="Times New Roman" w:hAnsi="Times New Roman"/>
          <w:i/>
          <w:szCs w:val="24"/>
        </w:rPr>
        <w:t xml:space="preserve"> </w:t>
      </w:r>
      <w:r w:rsidRPr="00113DF3">
        <w:rPr>
          <w:rFonts w:ascii="Times New Roman" w:hAnsi="Times New Roman"/>
          <w:i/>
          <w:szCs w:val="24"/>
        </w:rPr>
        <w:t>compte des circonstances de l’espèce. Le montant maximal de cette somme est fixé par décret en Conseil d’Etat en fonction du niveau des garanties mentionnées au II</w:t>
      </w:r>
      <w:r w:rsidRPr="00113DF3">
        <w:rPr>
          <w:rFonts w:ascii="Times New Roman" w:hAnsi="Times New Roman"/>
          <w:szCs w:val="24"/>
        </w:rPr>
        <w:t> » ;</w:t>
      </w:r>
    </w:p>
    <w:p w:rsidR="0068257F" w:rsidRPr="00113DF3" w:rsidRDefault="000F026A" w:rsidP="00B7708A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Attendu </w:t>
      </w:r>
      <w:r w:rsidR="0068257F" w:rsidRPr="00113DF3">
        <w:rPr>
          <w:rFonts w:ascii="Times New Roman" w:hAnsi="Times New Roman"/>
          <w:szCs w:val="24"/>
        </w:rPr>
        <w:t xml:space="preserve">qu’aux termes des dispositions du décret </w:t>
      </w:r>
      <w:r w:rsidRPr="00113DF3">
        <w:rPr>
          <w:rFonts w:ascii="Times New Roman" w:hAnsi="Times New Roman"/>
          <w:szCs w:val="24"/>
        </w:rPr>
        <w:t>du 10 décembre 2012 susvisé</w:t>
      </w:r>
      <w:r w:rsidR="0068257F" w:rsidRPr="00113DF3">
        <w:rPr>
          <w:rFonts w:ascii="Times New Roman" w:hAnsi="Times New Roman"/>
          <w:szCs w:val="24"/>
        </w:rPr>
        <w:t>,</w:t>
      </w:r>
      <w:r w:rsidR="00E45923" w:rsidRPr="00113DF3">
        <w:rPr>
          <w:rFonts w:ascii="Times New Roman" w:hAnsi="Times New Roman"/>
          <w:szCs w:val="24"/>
        </w:rPr>
        <w:t xml:space="preserve"> </w:t>
      </w:r>
      <w:r w:rsidRPr="00113DF3">
        <w:rPr>
          <w:rFonts w:ascii="Times New Roman" w:hAnsi="Times New Roman"/>
          <w:szCs w:val="24"/>
        </w:rPr>
        <w:t xml:space="preserve">le montant maximal de </w:t>
      </w:r>
      <w:r w:rsidR="00E45923" w:rsidRPr="00113DF3">
        <w:rPr>
          <w:rFonts w:ascii="Times New Roman" w:hAnsi="Times New Roman"/>
          <w:szCs w:val="24"/>
        </w:rPr>
        <w:t xml:space="preserve">la somme exigible </w:t>
      </w:r>
      <w:r w:rsidR="00D31A9F" w:rsidRPr="00113DF3">
        <w:rPr>
          <w:rFonts w:ascii="Times New Roman" w:hAnsi="Times New Roman"/>
          <w:szCs w:val="24"/>
        </w:rPr>
        <w:t>s’élève</w:t>
      </w:r>
      <w:r w:rsidR="00B7708A" w:rsidRPr="00113DF3">
        <w:rPr>
          <w:rFonts w:ascii="Times New Roman" w:hAnsi="Times New Roman"/>
          <w:szCs w:val="24"/>
        </w:rPr>
        <w:t>, par exercice,</w:t>
      </w:r>
      <w:r w:rsidR="00D31A9F" w:rsidRPr="00113DF3">
        <w:rPr>
          <w:rFonts w:ascii="Times New Roman" w:hAnsi="Times New Roman"/>
          <w:szCs w:val="24"/>
        </w:rPr>
        <w:t xml:space="preserve"> au millième et demi du montant du cautionnement prévu pour le poste comptable </w:t>
      </w:r>
      <w:r w:rsidR="00B7708A" w:rsidRPr="00113DF3">
        <w:rPr>
          <w:rFonts w:ascii="Times New Roman" w:hAnsi="Times New Roman"/>
          <w:szCs w:val="24"/>
        </w:rPr>
        <w:t>concerné ; que ce cautionnement s’élevait au moment des faits à 149 000 € ;</w:t>
      </w:r>
      <w:r w:rsidR="00D31A9F" w:rsidRPr="00113DF3">
        <w:rPr>
          <w:rFonts w:ascii="Times New Roman" w:hAnsi="Times New Roman"/>
          <w:szCs w:val="24"/>
        </w:rPr>
        <w:t xml:space="preserve"> </w:t>
      </w:r>
      <w:r w:rsidRPr="00113DF3">
        <w:rPr>
          <w:rFonts w:ascii="Times New Roman" w:hAnsi="Times New Roman"/>
          <w:szCs w:val="24"/>
        </w:rPr>
        <w:t>qu’au cas d’espèce, ce montant maximal est d</w:t>
      </w:r>
      <w:r w:rsidR="00783512" w:rsidRPr="00113DF3">
        <w:rPr>
          <w:rFonts w:ascii="Times New Roman" w:hAnsi="Times New Roman"/>
          <w:szCs w:val="24"/>
        </w:rPr>
        <w:t>onc de</w:t>
      </w:r>
      <w:r w:rsidRPr="00113DF3">
        <w:rPr>
          <w:rFonts w:ascii="Times New Roman" w:hAnsi="Times New Roman"/>
          <w:szCs w:val="24"/>
        </w:rPr>
        <w:t xml:space="preserve"> 223,50 € ; </w:t>
      </w:r>
    </w:p>
    <w:p w:rsidR="000F026A" w:rsidRPr="00113DF3" w:rsidRDefault="000F026A" w:rsidP="00B7708A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lastRenderedPageBreak/>
        <w:t>Attendu que ne figure au dossier aucun élément sur les circonstances de l’espèce susceptible de conduire à arrêter un</w:t>
      </w:r>
      <w:r w:rsidR="00AB4574" w:rsidRPr="00113DF3">
        <w:rPr>
          <w:rFonts w:ascii="Times New Roman" w:hAnsi="Times New Roman"/>
          <w:szCs w:val="24"/>
        </w:rPr>
        <w:t xml:space="preserve"> montant</w:t>
      </w:r>
      <w:r w:rsidRPr="00113DF3">
        <w:rPr>
          <w:rFonts w:ascii="Times New Roman" w:hAnsi="Times New Roman"/>
          <w:szCs w:val="24"/>
        </w:rPr>
        <w:t xml:space="preserve"> inférieur au maximum réglementaire ; qu’il convient de considérer que les dix-sept manquements de M. </w:t>
      </w:r>
      <w:r w:rsidR="00837B94" w:rsidRPr="00113DF3">
        <w:rPr>
          <w:rFonts w:ascii="Times New Roman" w:hAnsi="Times New Roman"/>
          <w:szCs w:val="24"/>
        </w:rPr>
        <w:t>X</w:t>
      </w:r>
      <w:r w:rsidRPr="00113DF3">
        <w:rPr>
          <w:rFonts w:ascii="Times New Roman" w:hAnsi="Times New Roman"/>
          <w:szCs w:val="24"/>
        </w:rPr>
        <w:t xml:space="preserve"> constituent un seul manquement de même nature ; qu’il convient de considérer qu’il en est de même pour les cinq man</w:t>
      </w:r>
      <w:r w:rsidR="00AB4574" w:rsidRPr="00113DF3">
        <w:rPr>
          <w:rFonts w:ascii="Times New Roman" w:hAnsi="Times New Roman"/>
          <w:szCs w:val="24"/>
        </w:rPr>
        <w:t xml:space="preserve">quements de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>; que, par conséquent, il y a lieu d’obliger M. </w:t>
      </w:r>
      <w:r w:rsidR="00837B94" w:rsidRPr="00113DF3">
        <w:rPr>
          <w:rFonts w:ascii="Times New Roman" w:hAnsi="Times New Roman"/>
          <w:szCs w:val="24"/>
        </w:rPr>
        <w:t>X</w:t>
      </w:r>
      <w:r w:rsidRPr="00113DF3">
        <w:rPr>
          <w:rFonts w:ascii="Times New Roman" w:hAnsi="Times New Roman"/>
          <w:szCs w:val="24"/>
        </w:rPr>
        <w:t xml:space="preserve"> à payer le somme de 223,50 €</w:t>
      </w:r>
      <w:r w:rsidR="00AB4574" w:rsidRPr="00113DF3">
        <w:rPr>
          <w:rFonts w:ascii="Times New Roman" w:hAnsi="Times New Roman"/>
          <w:szCs w:val="24"/>
        </w:rPr>
        <w:t xml:space="preserve"> et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="00AB4574" w:rsidRPr="00113DF3">
        <w:rPr>
          <w:rFonts w:ascii="Times New Roman" w:hAnsi="Times New Roman"/>
          <w:szCs w:val="24"/>
        </w:rPr>
        <w:t xml:space="preserve"> à payer </w:t>
      </w:r>
      <w:r w:rsidR="00783512" w:rsidRPr="00113DF3">
        <w:rPr>
          <w:rFonts w:ascii="Times New Roman" w:hAnsi="Times New Roman"/>
          <w:szCs w:val="24"/>
        </w:rPr>
        <w:t xml:space="preserve">également </w:t>
      </w:r>
      <w:r w:rsidR="00AB4574" w:rsidRPr="00113DF3">
        <w:rPr>
          <w:rFonts w:ascii="Times New Roman" w:hAnsi="Times New Roman"/>
          <w:szCs w:val="24"/>
        </w:rPr>
        <w:t>la somme de 223,50 € ;</w:t>
      </w:r>
    </w:p>
    <w:p w:rsidR="00AB4574" w:rsidRPr="00113DF3" w:rsidRDefault="00AB4574" w:rsidP="00B7708A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 xml:space="preserve">Attendus que ces sommes constituent des charges ; que dès lors </w:t>
      </w:r>
      <w:r w:rsidR="00837B94" w:rsidRPr="00113DF3">
        <w:rPr>
          <w:rFonts w:ascii="Times New Roman" w:hAnsi="Times New Roman"/>
          <w:szCs w:val="24"/>
        </w:rPr>
        <w:t>M. X</w:t>
      </w:r>
      <w:r w:rsidRPr="00113DF3">
        <w:rPr>
          <w:rFonts w:ascii="Times New Roman" w:hAnsi="Times New Roman"/>
          <w:szCs w:val="24"/>
        </w:rPr>
        <w:t xml:space="preserve"> ne peut être déchargé de sa gestion du 1</w:t>
      </w:r>
      <w:r w:rsidRPr="00113DF3">
        <w:rPr>
          <w:rFonts w:ascii="Times New Roman" w:hAnsi="Times New Roman"/>
          <w:szCs w:val="24"/>
          <w:vertAlign w:val="superscript"/>
        </w:rPr>
        <w:t>er</w:t>
      </w:r>
      <w:r w:rsidRPr="00113DF3">
        <w:rPr>
          <w:rFonts w:ascii="Times New Roman" w:hAnsi="Times New Roman"/>
          <w:szCs w:val="24"/>
        </w:rPr>
        <w:t xml:space="preserve"> janvier au 30 juin 2010 ; que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 xml:space="preserve"> ne peut être </w:t>
      </w:r>
      <w:r w:rsidR="00783512" w:rsidRPr="00113DF3">
        <w:rPr>
          <w:rFonts w:ascii="Times New Roman" w:hAnsi="Times New Roman"/>
          <w:szCs w:val="24"/>
        </w:rPr>
        <w:t>déchargée</w:t>
      </w:r>
      <w:r w:rsidRPr="00113DF3">
        <w:rPr>
          <w:rFonts w:ascii="Times New Roman" w:hAnsi="Times New Roman"/>
          <w:szCs w:val="24"/>
        </w:rPr>
        <w:t xml:space="preserve"> de sa gestion du 1</w:t>
      </w:r>
      <w:r w:rsidRPr="00113DF3">
        <w:rPr>
          <w:rFonts w:ascii="Times New Roman" w:hAnsi="Times New Roman"/>
          <w:szCs w:val="24"/>
          <w:vertAlign w:val="superscript"/>
        </w:rPr>
        <w:t>er</w:t>
      </w:r>
      <w:r w:rsidRPr="00113DF3">
        <w:rPr>
          <w:rFonts w:ascii="Times New Roman" w:hAnsi="Times New Roman"/>
          <w:szCs w:val="24"/>
        </w:rPr>
        <w:t xml:space="preserve"> juillet au 31 décembre 2010 ; qu’il y a lieu par conséquent d’infirmer le jugement entrepris en ce qu’il </w:t>
      </w:r>
      <w:r w:rsidR="00783512" w:rsidRPr="00113DF3">
        <w:rPr>
          <w:rFonts w:ascii="Times New Roman" w:hAnsi="Times New Roman"/>
          <w:szCs w:val="24"/>
        </w:rPr>
        <w:t xml:space="preserve">a </w:t>
      </w:r>
      <w:r w:rsidRPr="00113DF3">
        <w:rPr>
          <w:rFonts w:ascii="Times New Roman" w:hAnsi="Times New Roman"/>
          <w:szCs w:val="24"/>
        </w:rPr>
        <w:t>déchargé M. </w:t>
      </w:r>
      <w:r w:rsidR="00837B94" w:rsidRPr="00113DF3">
        <w:rPr>
          <w:rFonts w:ascii="Times New Roman" w:hAnsi="Times New Roman"/>
          <w:szCs w:val="24"/>
        </w:rPr>
        <w:t>X</w:t>
      </w:r>
      <w:r w:rsidRPr="00113DF3">
        <w:rPr>
          <w:rFonts w:ascii="Times New Roman" w:hAnsi="Times New Roman"/>
          <w:szCs w:val="24"/>
        </w:rPr>
        <w:t xml:space="preserve"> de sa gestion et l’a déclaré quitte et libéré au 30 juin 2010 ; qu’il y a lieu</w:t>
      </w:r>
      <w:r w:rsidR="00783512" w:rsidRPr="00113DF3">
        <w:rPr>
          <w:rFonts w:ascii="Times New Roman" w:hAnsi="Times New Roman"/>
          <w:szCs w:val="24"/>
        </w:rPr>
        <w:t xml:space="preserve"> également d’infirmer</w:t>
      </w:r>
      <w:r w:rsidRPr="00113DF3">
        <w:rPr>
          <w:rFonts w:ascii="Times New Roman" w:hAnsi="Times New Roman"/>
          <w:szCs w:val="24"/>
        </w:rPr>
        <w:t xml:space="preserve"> le jugement en ce qu’il a déc</w:t>
      </w:r>
      <w:r w:rsidR="00DE6896" w:rsidRPr="00113DF3">
        <w:rPr>
          <w:rFonts w:ascii="Times New Roman" w:hAnsi="Times New Roman"/>
          <w:szCs w:val="24"/>
        </w:rPr>
        <w:t>hargé</w:t>
      </w:r>
      <w:r w:rsidRPr="00113DF3">
        <w:rPr>
          <w:rFonts w:ascii="Times New Roman" w:hAnsi="Times New Roman"/>
          <w:szCs w:val="24"/>
        </w:rPr>
        <w:t xml:space="preserve">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Pr="00113DF3">
        <w:rPr>
          <w:rFonts w:ascii="Times New Roman" w:hAnsi="Times New Roman"/>
          <w:szCs w:val="24"/>
        </w:rPr>
        <w:t xml:space="preserve"> de sa gestion au 31 décembre 2010 ;</w:t>
      </w:r>
    </w:p>
    <w:p w:rsidR="00B7708A" w:rsidRPr="00113DF3" w:rsidRDefault="00B7708A" w:rsidP="006671EB">
      <w:pPr>
        <w:ind w:left="1134" w:firstLine="567"/>
        <w:jc w:val="both"/>
        <w:rPr>
          <w:sz w:val="24"/>
          <w:szCs w:val="24"/>
        </w:rPr>
      </w:pPr>
    </w:p>
    <w:p w:rsidR="006671EB" w:rsidRPr="00113DF3" w:rsidRDefault="006671EB" w:rsidP="006671EB">
      <w:pPr>
        <w:ind w:left="1134" w:firstLine="567"/>
        <w:jc w:val="both"/>
        <w:rPr>
          <w:sz w:val="24"/>
          <w:szCs w:val="24"/>
        </w:rPr>
      </w:pPr>
      <w:r w:rsidRPr="00113DF3">
        <w:rPr>
          <w:sz w:val="24"/>
          <w:szCs w:val="24"/>
        </w:rPr>
        <w:t>Par ces motifs,</w:t>
      </w:r>
    </w:p>
    <w:p w:rsidR="006671EB" w:rsidRPr="00113DF3" w:rsidRDefault="006671EB" w:rsidP="006671EB">
      <w:pPr>
        <w:ind w:left="1134" w:firstLine="567"/>
        <w:rPr>
          <w:sz w:val="24"/>
          <w:szCs w:val="24"/>
        </w:rPr>
      </w:pPr>
    </w:p>
    <w:p w:rsidR="006671EB" w:rsidRPr="00113DF3" w:rsidRDefault="006671EB" w:rsidP="00AC06EA">
      <w:pPr>
        <w:pStyle w:val="PS"/>
        <w:ind w:left="1134" w:firstLine="0"/>
        <w:jc w:val="center"/>
        <w:rPr>
          <w:rFonts w:ascii="Times New Roman" w:hAnsi="Times New Roman"/>
          <w:szCs w:val="24"/>
        </w:rPr>
      </w:pPr>
      <w:r w:rsidRPr="00113DF3">
        <w:rPr>
          <w:rFonts w:ascii="Times New Roman" w:hAnsi="Times New Roman"/>
          <w:szCs w:val="24"/>
        </w:rPr>
        <w:t>DECIDE :</w:t>
      </w:r>
    </w:p>
    <w:p w:rsidR="0054548A" w:rsidRPr="00113DF3" w:rsidRDefault="006671EB" w:rsidP="0054548A">
      <w:pPr>
        <w:pStyle w:val="PS"/>
        <w:spacing w:after="120"/>
        <w:ind w:left="1134" w:firstLine="567"/>
        <w:rPr>
          <w:rFonts w:ascii="Times New Roman" w:hAnsi="Times New Roman"/>
          <w:szCs w:val="24"/>
        </w:rPr>
      </w:pPr>
      <w:r w:rsidRPr="00AC06EA">
        <w:rPr>
          <w:rFonts w:ascii="Times New Roman" w:hAnsi="Times New Roman"/>
          <w:szCs w:val="24"/>
          <w:u w:val="single"/>
        </w:rPr>
        <w:t>Article 1</w:t>
      </w:r>
      <w:r w:rsidRPr="00113DF3">
        <w:rPr>
          <w:rFonts w:ascii="Times New Roman" w:hAnsi="Times New Roman"/>
          <w:szCs w:val="24"/>
        </w:rPr>
        <w:t xml:space="preserve"> </w:t>
      </w:r>
      <w:r w:rsidR="00A14F46" w:rsidRPr="00113DF3">
        <w:rPr>
          <w:rFonts w:ascii="Times New Roman" w:hAnsi="Times New Roman"/>
          <w:szCs w:val="24"/>
        </w:rPr>
        <w:t xml:space="preserve">- Le jugement </w:t>
      </w:r>
      <w:r w:rsidR="003719FC" w:rsidRPr="00113DF3">
        <w:rPr>
          <w:rFonts w:ascii="Times New Roman" w:hAnsi="Times New Roman"/>
          <w:szCs w:val="24"/>
        </w:rPr>
        <w:t>n°</w:t>
      </w:r>
      <w:r w:rsidR="00E40B28" w:rsidRPr="00113DF3">
        <w:rPr>
          <w:rFonts w:ascii="Times New Roman" w:hAnsi="Times New Roman"/>
          <w:szCs w:val="24"/>
        </w:rPr>
        <w:t xml:space="preserve"> </w:t>
      </w:r>
      <w:r w:rsidR="003719FC" w:rsidRPr="00113DF3">
        <w:rPr>
          <w:rFonts w:ascii="Times New Roman" w:hAnsi="Times New Roman"/>
          <w:szCs w:val="24"/>
        </w:rPr>
        <w:t xml:space="preserve">2013-16 </w:t>
      </w:r>
      <w:r w:rsidR="00A14F46" w:rsidRPr="00113DF3">
        <w:rPr>
          <w:rFonts w:ascii="Times New Roman" w:hAnsi="Times New Roman"/>
          <w:szCs w:val="24"/>
        </w:rPr>
        <w:t xml:space="preserve">du </w:t>
      </w:r>
      <w:r w:rsidR="003719FC" w:rsidRPr="00113DF3">
        <w:rPr>
          <w:rFonts w:ascii="Times New Roman" w:hAnsi="Times New Roman"/>
          <w:szCs w:val="24"/>
        </w:rPr>
        <w:t>15 novembre 2013</w:t>
      </w:r>
      <w:r w:rsidR="00A14F46" w:rsidRPr="00113DF3">
        <w:rPr>
          <w:rFonts w:ascii="Times New Roman" w:hAnsi="Times New Roman"/>
          <w:szCs w:val="24"/>
        </w:rPr>
        <w:t xml:space="preserve"> de la chambre régionale des comptes de </w:t>
      </w:r>
      <w:r w:rsidR="00640559" w:rsidRPr="00113DF3">
        <w:rPr>
          <w:rFonts w:ascii="Times New Roman" w:hAnsi="Times New Roman"/>
          <w:szCs w:val="24"/>
        </w:rPr>
        <w:t>Bretagne est infirmé</w:t>
      </w:r>
      <w:r w:rsidR="00783512" w:rsidRPr="00113DF3">
        <w:rPr>
          <w:rFonts w:ascii="Times New Roman" w:hAnsi="Times New Roman"/>
          <w:szCs w:val="24"/>
        </w:rPr>
        <w:t>.</w:t>
      </w:r>
    </w:p>
    <w:p w:rsidR="00A14F46" w:rsidRPr="00113DF3" w:rsidRDefault="00640559" w:rsidP="0054548A">
      <w:pPr>
        <w:pStyle w:val="PS"/>
        <w:spacing w:after="120"/>
        <w:ind w:left="1134" w:firstLine="567"/>
        <w:rPr>
          <w:rFonts w:ascii="Times New Roman" w:hAnsi="Times New Roman"/>
          <w:szCs w:val="24"/>
        </w:rPr>
      </w:pPr>
      <w:r w:rsidRPr="00AC06EA">
        <w:rPr>
          <w:rFonts w:ascii="Times New Roman" w:hAnsi="Times New Roman"/>
          <w:szCs w:val="24"/>
          <w:u w:val="single"/>
        </w:rPr>
        <w:t>Article 2</w:t>
      </w:r>
      <w:r w:rsidRPr="00113DF3">
        <w:rPr>
          <w:rFonts w:ascii="Times New Roman" w:hAnsi="Times New Roman"/>
          <w:szCs w:val="24"/>
        </w:rPr>
        <w:t>. M.</w:t>
      </w:r>
      <w:r w:rsidR="00AB4574" w:rsidRPr="00113DF3">
        <w:rPr>
          <w:rFonts w:ascii="Times New Roman" w:hAnsi="Times New Roman"/>
          <w:szCs w:val="24"/>
        </w:rPr>
        <w:t> </w:t>
      </w:r>
      <w:r w:rsidR="00837B94" w:rsidRPr="00113DF3">
        <w:rPr>
          <w:rFonts w:ascii="Times New Roman" w:hAnsi="Times New Roman"/>
          <w:szCs w:val="24"/>
        </w:rPr>
        <w:t>X</w:t>
      </w:r>
      <w:r w:rsidRPr="00113DF3">
        <w:rPr>
          <w:rFonts w:ascii="Times New Roman" w:hAnsi="Times New Roman"/>
          <w:szCs w:val="24"/>
        </w:rPr>
        <w:t xml:space="preserve"> et </w:t>
      </w:r>
      <w:r w:rsidR="00837B94" w:rsidRPr="00113DF3">
        <w:rPr>
          <w:rFonts w:ascii="Times New Roman" w:hAnsi="Times New Roman"/>
          <w:szCs w:val="24"/>
        </w:rPr>
        <w:t>M</w:t>
      </w:r>
      <w:r w:rsidR="00837B94" w:rsidRPr="00AC06EA">
        <w:rPr>
          <w:rFonts w:ascii="Times New Roman" w:hAnsi="Times New Roman"/>
          <w:szCs w:val="24"/>
          <w:vertAlign w:val="superscript"/>
        </w:rPr>
        <w:t>me</w:t>
      </w:r>
      <w:r w:rsidR="00837B94" w:rsidRPr="00113DF3">
        <w:rPr>
          <w:rFonts w:ascii="Times New Roman" w:hAnsi="Times New Roman"/>
          <w:szCs w:val="24"/>
        </w:rPr>
        <w:t xml:space="preserve"> Y</w:t>
      </w:r>
      <w:r w:rsidR="00C200B6" w:rsidRPr="00113DF3">
        <w:rPr>
          <w:rFonts w:ascii="Times New Roman" w:hAnsi="Times New Roman"/>
          <w:szCs w:val="24"/>
        </w:rPr>
        <w:t xml:space="preserve"> </w:t>
      </w:r>
      <w:r w:rsidRPr="00113DF3">
        <w:rPr>
          <w:rFonts w:ascii="Times New Roman" w:hAnsi="Times New Roman"/>
          <w:szCs w:val="24"/>
        </w:rPr>
        <w:t xml:space="preserve">sont chacun </w:t>
      </w:r>
      <w:r w:rsidR="00AB4574" w:rsidRPr="00113DF3">
        <w:rPr>
          <w:rFonts w:ascii="Times New Roman" w:hAnsi="Times New Roman"/>
          <w:szCs w:val="24"/>
        </w:rPr>
        <w:t>obligés</w:t>
      </w:r>
      <w:r w:rsidRPr="00113DF3">
        <w:rPr>
          <w:rFonts w:ascii="Times New Roman" w:hAnsi="Times New Roman"/>
          <w:szCs w:val="24"/>
        </w:rPr>
        <w:t xml:space="preserve"> à s’acquitter d</w:t>
      </w:r>
      <w:r w:rsidR="00AB4574" w:rsidRPr="00113DF3">
        <w:rPr>
          <w:rFonts w:ascii="Times New Roman" w:hAnsi="Times New Roman"/>
          <w:szCs w:val="24"/>
        </w:rPr>
        <w:t>e la</w:t>
      </w:r>
      <w:r w:rsidRPr="00113DF3">
        <w:rPr>
          <w:rFonts w:ascii="Times New Roman" w:hAnsi="Times New Roman"/>
          <w:szCs w:val="24"/>
        </w:rPr>
        <w:t xml:space="preserve"> somme de 2</w:t>
      </w:r>
      <w:r w:rsidR="00C200B6" w:rsidRPr="00113DF3">
        <w:rPr>
          <w:rFonts w:ascii="Times New Roman" w:hAnsi="Times New Roman"/>
          <w:szCs w:val="24"/>
        </w:rPr>
        <w:t>23,50</w:t>
      </w:r>
      <w:r w:rsidRPr="00113DF3">
        <w:rPr>
          <w:rFonts w:ascii="Times New Roman" w:hAnsi="Times New Roman"/>
          <w:szCs w:val="24"/>
        </w:rPr>
        <w:t> €.</w:t>
      </w:r>
    </w:p>
    <w:p w:rsidR="00A14F46" w:rsidRPr="00113DF3" w:rsidRDefault="00A14F46" w:rsidP="00E8779E">
      <w:pPr>
        <w:spacing w:after="80"/>
        <w:jc w:val="both"/>
        <w:rPr>
          <w:sz w:val="24"/>
          <w:szCs w:val="24"/>
        </w:rPr>
      </w:pPr>
    </w:p>
    <w:p w:rsidR="00B7708A" w:rsidRPr="00113DF3" w:rsidRDefault="00B7708A" w:rsidP="00E40B28">
      <w:pPr>
        <w:tabs>
          <w:tab w:val="center" w:pos="5245"/>
        </w:tabs>
        <w:spacing w:after="80"/>
        <w:ind w:firstLine="1134"/>
        <w:jc w:val="center"/>
        <w:rPr>
          <w:sz w:val="24"/>
          <w:szCs w:val="24"/>
        </w:rPr>
      </w:pPr>
      <w:r w:rsidRPr="00113DF3">
        <w:rPr>
          <w:sz w:val="24"/>
          <w:szCs w:val="24"/>
        </w:rPr>
        <w:t>------------</w:t>
      </w:r>
    </w:p>
    <w:p w:rsidR="00B7708A" w:rsidRPr="00113DF3" w:rsidRDefault="00E40B28" w:rsidP="00B7708A">
      <w:pPr>
        <w:spacing w:after="80"/>
        <w:rPr>
          <w:sz w:val="24"/>
          <w:szCs w:val="24"/>
        </w:rPr>
      </w:pPr>
      <w:r w:rsidRPr="00113DF3">
        <w:rPr>
          <w:sz w:val="24"/>
          <w:szCs w:val="24"/>
        </w:rPr>
        <w:br w:type="page"/>
      </w:r>
    </w:p>
    <w:p w:rsidR="00B7708A" w:rsidRPr="00113DF3" w:rsidRDefault="00B7708A" w:rsidP="00E40B28">
      <w:pPr>
        <w:ind w:left="1134" w:firstLine="567"/>
        <w:jc w:val="both"/>
        <w:rPr>
          <w:sz w:val="24"/>
          <w:szCs w:val="24"/>
        </w:rPr>
      </w:pPr>
      <w:r w:rsidRPr="00113DF3">
        <w:rPr>
          <w:sz w:val="24"/>
          <w:szCs w:val="24"/>
        </w:rPr>
        <w:lastRenderedPageBreak/>
        <w:t>Fait et jugé en la Cour des comptes, quatrième chambre, première section. Présents : M. Ganser, président</w:t>
      </w:r>
      <w:r w:rsidR="00D63BDE" w:rsidRPr="00113DF3">
        <w:rPr>
          <w:sz w:val="24"/>
          <w:szCs w:val="24"/>
        </w:rPr>
        <w:t xml:space="preserve"> de section, président de la formation</w:t>
      </w:r>
      <w:r w:rsidRPr="00113DF3">
        <w:rPr>
          <w:sz w:val="24"/>
          <w:szCs w:val="24"/>
        </w:rPr>
        <w:t>, M</w:t>
      </w:r>
      <w:r w:rsidRPr="00AC06EA">
        <w:rPr>
          <w:sz w:val="24"/>
          <w:szCs w:val="24"/>
          <w:vertAlign w:val="superscript"/>
        </w:rPr>
        <w:t>me</w:t>
      </w:r>
      <w:r w:rsidR="00AC06EA">
        <w:rPr>
          <w:sz w:val="24"/>
          <w:szCs w:val="24"/>
        </w:rPr>
        <w:t> </w:t>
      </w:r>
      <w:r w:rsidRPr="00113DF3">
        <w:rPr>
          <w:sz w:val="24"/>
          <w:szCs w:val="24"/>
        </w:rPr>
        <w:t>Froment-</w:t>
      </w:r>
      <w:proofErr w:type="spellStart"/>
      <w:r w:rsidRPr="00113DF3">
        <w:rPr>
          <w:sz w:val="24"/>
          <w:szCs w:val="24"/>
        </w:rPr>
        <w:t>Meurice</w:t>
      </w:r>
      <w:proofErr w:type="spellEnd"/>
      <w:r w:rsidRPr="00113DF3">
        <w:rPr>
          <w:sz w:val="24"/>
          <w:szCs w:val="24"/>
        </w:rPr>
        <w:t>, présidente de chambre maintenue en activité, M. Bertucci, M</w:t>
      </w:r>
      <w:bookmarkStart w:id="0" w:name="_GoBack"/>
      <w:r w:rsidRPr="00AC06EA">
        <w:rPr>
          <w:sz w:val="24"/>
          <w:szCs w:val="24"/>
          <w:vertAlign w:val="superscript"/>
        </w:rPr>
        <w:t>me</w:t>
      </w:r>
      <w:bookmarkEnd w:id="0"/>
      <w:r w:rsidRPr="00113DF3">
        <w:rPr>
          <w:sz w:val="24"/>
          <w:szCs w:val="24"/>
        </w:rPr>
        <w:t xml:space="preserve"> Gadriot-Renard</w:t>
      </w:r>
      <w:r w:rsidR="00D63BDE" w:rsidRPr="00113DF3">
        <w:rPr>
          <w:sz w:val="24"/>
          <w:szCs w:val="24"/>
        </w:rPr>
        <w:t xml:space="preserve"> et</w:t>
      </w:r>
      <w:r w:rsidRPr="00113DF3">
        <w:rPr>
          <w:sz w:val="24"/>
          <w:szCs w:val="24"/>
        </w:rPr>
        <w:t xml:space="preserve"> M. Rolland, conseillers maîtres.</w:t>
      </w:r>
    </w:p>
    <w:p w:rsidR="00DF2275" w:rsidRPr="00113DF3" w:rsidRDefault="00DF2275" w:rsidP="00E40B28">
      <w:pPr>
        <w:ind w:left="1134" w:firstLine="567"/>
        <w:jc w:val="both"/>
        <w:rPr>
          <w:sz w:val="24"/>
          <w:szCs w:val="24"/>
        </w:rPr>
      </w:pPr>
    </w:p>
    <w:p w:rsidR="009C7845" w:rsidRPr="00113DF3" w:rsidRDefault="009C7845" w:rsidP="00DB2DBE">
      <w:pPr>
        <w:pStyle w:val="PS"/>
        <w:spacing w:after="0"/>
        <w:ind w:left="1134" w:firstLine="567"/>
        <w:rPr>
          <w:rFonts w:ascii="Times New Roman" w:hAnsi="Times New Roman"/>
          <w:color w:val="000000"/>
          <w:szCs w:val="24"/>
        </w:rPr>
      </w:pPr>
      <w:r w:rsidRPr="00113DF3">
        <w:rPr>
          <w:rFonts w:ascii="Times New Roman" w:hAnsi="Times New Roman"/>
          <w:color w:val="000000"/>
          <w:szCs w:val="24"/>
        </w:rPr>
        <w:t>Signé : Gérard Ganser, Président de section, et Marie-Hélène Paris-Varin, greffier de séance.</w:t>
      </w:r>
    </w:p>
    <w:p w:rsidR="009C7845" w:rsidRPr="00113DF3" w:rsidRDefault="009C7845" w:rsidP="00DB2DBE">
      <w:pPr>
        <w:pStyle w:val="PS"/>
        <w:spacing w:after="0"/>
        <w:ind w:left="1134" w:firstLine="567"/>
        <w:rPr>
          <w:rFonts w:ascii="Times New Roman" w:hAnsi="Times New Roman"/>
          <w:color w:val="000000"/>
          <w:szCs w:val="24"/>
        </w:rPr>
      </w:pPr>
    </w:p>
    <w:p w:rsidR="009C7845" w:rsidRPr="00113DF3" w:rsidRDefault="009C7845" w:rsidP="00DB2DBE">
      <w:pPr>
        <w:pStyle w:val="PS"/>
        <w:spacing w:after="0"/>
        <w:ind w:left="1134" w:firstLine="567"/>
        <w:rPr>
          <w:rFonts w:ascii="Times New Roman" w:hAnsi="Times New Roman"/>
          <w:color w:val="000000"/>
          <w:szCs w:val="24"/>
        </w:rPr>
      </w:pPr>
      <w:r w:rsidRPr="00113DF3">
        <w:rPr>
          <w:rFonts w:ascii="Times New Roman" w:hAnsi="Times New Roman"/>
          <w:color w:val="000000"/>
          <w:szCs w:val="24"/>
        </w:rPr>
        <w:t>Collationné, certifié conforme à la minute étant au greffe de la Cour des comptes.</w:t>
      </w:r>
    </w:p>
    <w:p w:rsidR="009C7845" w:rsidRPr="00113DF3" w:rsidRDefault="009C7845" w:rsidP="00DB2DBE">
      <w:pPr>
        <w:pStyle w:val="PS"/>
        <w:spacing w:after="0"/>
        <w:ind w:left="1134" w:firstLine="567"/>
        <w:rPr>
          <w:rFonts w:ascii="Times New Roman" w:hAnsi="Times New Roman"/>
          <w:color w:val="000000"/>
          <w:szCs w:val="24"/>
        </w:rPr>
      </w:pPr>
    </w:p>
    <w:p w:rsidR="009C7845" w:rsidRPr="00113DF3" w:rsidRDefault="009C7845" w:rsidP="00DB2DBE">
      <w:pPr>
        <w:pStyle w:val="PS"/>
        <w:spacing w:after="0"/>
        <w:ind w:left="1134" w:firstLine="567"/>
        <w:rPr>
          <w:rFonts w:ascii="Times New Roman" w:hAnsi="Times New Roman"/>
          <w:color w:val="000000"/>
          <w:szCs w:val="24"/>
        </w:rPr>
      </w:pPr>
      <w:r w:rsidRPr="00113DF3">
        <w:rPr>
          <w:rFonts w:ascii="Times New Roman" w:hAnsi="Times New Roman"/>
          <w:color w:val="000000"/>
          <w:szCs w:val="24"/>
        </w:rPr>
        <w:t>En conséquence, la République française mande et ordonne à tous les huissiers de justice, sur ce requis, de mettre ledit arrêt à exécution, aux procureurs généraux et aux procureurs de la République près des tribunaux de grande instance d’y tenir la main, à tous commandants et officiers de la force publique de prêter main-forte, lorsqu’ils en sont légalement requis.</w:t>
      </w:r>
    </w:p>
    <w:p w:rsidR="009C7845" w:rsidRPr="00113DF3" w:rsidRDefault="009C7845" w:rsidP="009C7845">
      <w:pPr>
        <w:pStyle w:val="PS"/>
        <w:spacing w:after="0"/>
        <w:rPr>
          <w:rFonts w:ascii="Times New Roman" w:hAnsi="Times New Roman"/>
          <w:color w:val="000000"/>
          <w:szCs w:val="24"/>
        </w:rPr>
      </w:pPr>
    </w:p>
    <w:p w:rsidR="009C7845" w:rsidRPr="00113DF3" w:rsidRDefault="009C7845" w:rsidP="00DB2DBE">
      <w:pPr>
        <w:pStyle w:val="PS"/>
        <w:spacing w:after="0"/>
        <w:ind w:firstLine="0"/>
        <w:rPr>
          <w:rFonts w:ascii="Times New Roman" w:hAnsi="Times New Roman"/>
          <w:color w:val="000000"/>
          <w:szCs w:val="24"/>
        </w:rPr>
      </w:pPr>
      <w:r w:rsidRPr="00113DF3">
        <w:rPr>
          <w:rFonts w:ascii="Times New Roman" w:hAnsi="Times New Roman"/>
          <w:color w:val="000000"/>
          <w:szCs w:val="24"/>
        </w:rPr>
        <w:t>Délivré par moi, secrétaire général.</w:t>
      </w:r>
    </w:p>
    <w:p w:rsidR="009C7845" w:rsidRPr="00113DF3" w:rsidRDefault="009C7845" w:rsidP="009C7845">
      <w:pPr>
        <w:pStyle w:val="PS"/>
        <w:spacing w:after="0"/>
        <w:rPr>
          <w:rFonts w:ascii="Times New Roman" w:hAnsi="Times New Roman"/>
          <w:color w:val="000000"/>
          <w:szCs w:val="24"/>
        </w:rPr>
      </w:pPr>
    </w:p>
    <w:p w:rsidR="009C7845" w:rsidRPr="00113DF3" w:rsidRDefault="009C7845" w:rsidP="009C7845">
      <w:pPr>
        <w:pStyle w:val="PS"/>
        <w:spacing w:after="0"/>
        <w:ind w:left="851" w:firstLine="3119"/>
        <w:jc w:val="center"/>
        <w:rPr>
          <w:rFonts w:ascii="Times New Roman" w:hAnsi="Times New Roman"/>
          <w:b/>
          <w:bCs/>
          <w:szCs w:val="24"/>
        </w:rPr>
      </w:pPr>
      <w:r w:rsidRPr="00113DF3">
        <w:rPr>
          <w:rFonts w:ascii="Times New Roman" w:hAnsi="Times New Roman"/>
          <w:b/>
          <w:bCs/>
          <w:szCs w:val="24"/>
        </w:rPr>
        <w:t>Pour le secrétaire général</w:t>
      </w:r>
    </w:p>
    <w:p w:rsidR="009C7845" w:rsidRPr="00113DF3" w:rsidRDefault="009C7845" w:rsidP="009C7845">
      <w:pPr>
        <w:pStyle w:val="PS"/>
        <w:spacing w:after="0"/>
        <w:ind w:left="851" w:firstLine="3119"/>
        <w:jc w:val="center"/>
        <w:rPr>
          <w:rFonts w:ascii="Times New Roman" w:hAnsi="Times New Roman"/>
          <w:b/>
          <w:bCs/>
          <w:szCs w:val="24"/>
        </w:rPr>
      </w:pPr>
      <w:proofErr w:type="gramStart"/>
      <w:r w:rsidRPr="00113DF3">
        <w:rPr>
          <w:rFonts w:ascii="Times New Roman" w:hAnsi="Times New Roman"/>
          <w:b/>
          <w:bCs/>
          <w:szCs w:val="24"/>
        </w:rPr>
        <w:t>et</w:t>
      </w:r>
      <w:proofErr w:type="gramEnd"/>
      <w:r w:rsidRPr="00113DF3">
        <w:rPr>
          <w:rFonts w:ascii="Times New Roman" w:hAnsi="Times New Roman"/>
          <w:b/>
          <w:bCs/>
          <w:szCs w:val="24"/>
        </w:rPr>
        <w:t xml:space="preserve"> par délégation,</w:t>
      </w:r>
    </w:p>
    <w:p w:rsidR="009C7845" w:rsidRPr="00113DF3" w:rsidRDefault="009C7845" w:rsidP="009C7845">
      <w:pPr>
        <w:pStyle w:val="PS"/>
        <w:spacing w:after="1320"/>
        <w:ind w:left="851" w:firstLine="3119"/>
        <w:jc w:val="center"/>
        <w:rPr>
          <w:rFonts w:ascii="Times New Roman" w:hAnsi="Times New Roman"/>
          <w:b/>
          <w:bCs/>
          <w:szCs w:val="24"/>
        </w:rPr>
      </w:pPr>
      <w:proofErr w:type="gramStart"/>
      <w:r w:rsidRPr="00113DF3">
        <w:rPr>
          <w:rFonts w:ascii="Times New Roman" w:hAnsi="Times New Roman"/>
          <w:b/>
          <w:bCs/>
          <w:szCs w:val="24"/>
        </w:rPr>
        <w:t>le</w:t>
      </w:r>
      <w:proofErr w:type="gramEnd"/>
      <w:r w:rsidRPr="00113DF3">
        <w:rPr>
          <w:rFonts w:ascii="Times New Roman" w:hAnsi="Times New Roman"/>
          <w:b/>
          <w:bCs/>
          <w:szCs w:val="24"/>
        </w:rPr>
        <w:t xml:space="preserve"> chef du greffe contentieux</w:t>
      </w:r>
    </w:p>
    <w:p w:rsidR="009C7845" w:rsidRPr="00113DF3" w:rsidRDefault="009C7845" w:rsidP="009C7845">
      <w:pPr>
        <w:pStyle w:val="PS"/>
        <w:spacing w:after="600"/>
        <w:ind w:left="851" w:firstLine="3261"/>
        <w:jc w:val="center"/>
        <w:rPr>
          <w:rFonts w:ascii="Times New Roman" w:hAnsi="Times New Roman"/>
          <w:b/>
          <w:bCs/>
          <w:szCs w:val="24"/>
        </w:rPr>
      </w:pPr>
      <w:r w:rsidRPr="00113DF3">
        <w:rPr>
          <w:rFonts w:ascii="Times New Roman" w:hAnsi="Times New Roman"/>
          <w:b/>
          <w:bCs/>
          <w:szCs w:val="24"/>
        </w:rPr>
        <w:t xml:space="preserve">Daniel </w:t>
      </w:r>
      <w:proofErr w:type="spellStart"/>
      <w:r w:rsidRPr="00113DF3">
        <w:rPr>
          <w:rFonts w:ascii="Times New Roman" w:hAnsi="Times New Roman"/>
          <w:b/>
          <w:bCs/>
          <w:szCs w:val="24"/>
        </w:rPr>
        <w:t>Férez</w:t>
      </w:r>
      <w:proofErr w:type="spellEnd"/>
    </w:p>
    <w:p w:rsidR="00B7708A" w:rsidRPr="00113DF3" w:rsidRDefault="00B7708A" w:rsidP="00395DCA">
      <w:pPr>
        <w:spacing w:after="80"/>
        <w:ind w:left="1134" w:firstLine="567"/>
        <w:jc w:val="both"/>
        <w:rPr>
          <w:sz w:val="24"/>
          <w:szCs w:val="24"/>
        </w:rPr>
      </w:pPr>
    </w:p>
    <w:sectPr w:rsidR="00B7708A" w:rsidRPr="00113DF3" w:rsidSect="002D4696">
      <w:footerReference w:type="default" r:id="rId9"/>
      <w:pgSz w:w="11906" w:h="16838"/>
      <w:pgMar w:top="1417" w:right="1416" w:bottom="1417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DFB" w:rsidRDefault="00EE3DFB">
      <w:r>
        <w:separator/>
      </w:r>
    </w:p>
  </w:endnote>
  <w:endnote w:type="continuationSeparator" w:id="0">
    <w:p w:rsidR="00EE3DFB" w:rsidRDefault="00EE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E82" w:rsidRDefault="009C0E82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AC06EA">
      <w:rPr>
        <w:noProof/>
      </w:rPr>
      <w:t>5</w:t>
    </w:r>
    <w:r>
      <w:fldChar w:fldCharType="end"/>
    </w:r>
  </w:p>
  <w:p w:rsidR="00F01DE3" w:rsidRDefault="00F01D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DFB" w:rsidRDefault="00EE3DFB">
      <w:r>
        <w:separator/>
      </w:r>
    </w:p>
  </w:footnote>
  <w:footnote w:type="continuationSeparator" w:id="0">
    <w:p w:rsidR="00EE3DFB" w:rsidRDefault="00EE3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1946"/>
    <w:multiLevelType w:val="hybridMultilevel"/>
    <w:tmpl w:val="AA0AEA10"/>
    <w:lvl w:ilvl="0" w:tplc="3B06AF3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C022F9"/>
    <w:multiLevelType w:val="hybridMultilevel"/>
    <w:tmpl w:val="FEF22C48"/>
    <w:lvl w:ilvl="0" w:tplc="9B8CE5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14D4C28"/>
    <w:multiLevelType w:val="hybridMultilevel"/>
    <w:tmpl w:val="666C9794"/>
    <w:lvl w:ilvl="0" w:tplc="BE0207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92"/>
    <w:rsid w:val="0000109B"/>
    <w:rsid w:val="00002923"/>
    <w:rsid w:val="000049BC"/>
    <w:rsid w:val="00023D34"/>
    <w:rsid w:val="0003668A"/>
    <w:rsid w:val="0004203B"/>
    <w:rsid w:val="00042DE1"/>
    <w:rsid w:val="00045FBE"/>
    <w:rsid w:val="00062706"/>
    <w:rsid w:val="00074849"/>
    <w:rsid w:val="00081B28"/>
    <w:rsid w:val="000966AD"/>
    <w:rsid w:val="00097CB1"/>
    <w:rsid w:val="000A5D27"/>
    <w:rsid w:val="000A7B33"/>
    <w:rsid w:val="000B1525"/>
    <w:rsid w:val="000C4C5C"/>
    <w:rsid w:val="000C6FC5"/>
    <w:rsid w:val="000C78C8"/>
    <w:rsid w:val="000E6CFD"/>
    <w:rsid w:val="000E724B"/>
    <w:rsid w:val="000F026A"/>
    <w:rsid w:val="000F5742"/>
    <w:rsid w:val="0010360D"/>
    <w:rsid w:val="00103B5D"/>
    <w:rsid w:val="00113DF3"/>
    <w:rsid w:val="00120038"/>
    <w:rsid w:val="00125D84"/>
    <w:rsid w:val="00130292"/>
    <w:rsid w:val="0013719D"/>
    <w:rsid w:val="00137E59"/>
    <w:rsid w:val="00151FB5"/>
    <w:rsid w:val="00162847"/>
    <w:rsid w:val="00172BF4"/>
    <w:rsid w:val="00173F27"/>
    <w:rsid w:val="00176016"/>
    <w:rsid w:val="0017610B"/>
    <w:rsid w:val="00180908"/>
    <w:rsid w:val="00180E4F"/>
    <w:rsid w:val="00190224"/>
    <w:rsid w:val="001943B8"/>
    <w:rsid w:val="001A2347"/>
    <w:rsid w:val="001A5AE9"/>
    <w:rsid w:val="001A5BE0"/>
    <w:rsid w:val="001A716A"/>
    <w:rsid w:val="001B7368"/>
    <w:rsid w:val="001C4A33"/>
    <w:rsid w:val="001C4E87"/>
    <w:rsid w:val="001D2A4A"/>
    <w:rsid w:val="001D6804"/>
    <w:rsid w:val="001E2CBB"/>
    <w:rsid w:val="001F482A"/>
    <w:rsid w:val="0020413B"/>
    <w:rsid w:val="00211381"/>
    <w:rsid w:val="00211F06"/>
    <w:rsid w:val="00213BE2"/>
    <w:rsid w:val="00223D38"/>
    <w:rsid w:val="00224C0C"/>
    <w:rsid w:val="00231DB2"/>
    <w:rsid w:val="00234CF8"/>
    <w:rsid w:val="002350EA"/>
    <w:rsid w:val="002426A7"/>
    <w:rsid w:val="00243E9C"/>
    <w:rsid w:val="00260870"/>
    <w:rsid w:val="00262E91"/>
    <w:rsid w:val="00294322"/>
    <w:rsid w:val="00296774"/>
    <w:rsid w:val="002977C7"/>
    <w:rsid w:val="002A3420"/>
    <w:rsid w:val="002A5F51"/>
    <w:rsid w:val="002B01CB"/>
    <w:rsid w:val="002D0A78"/>
    <w:rsid w:val="002D4696"/>
    <w:rsid w:val="002E020E"/>
    <w:rsid w:val="002E1545"/>
    <w:rsid w:val="002E3142"/>
    <w:rsid w:val="002F4064"/>
    <w:rsid w:val="002F76D8"/>
    <w:rsid w:val="003129B3"/>
    <w:rsid w:val="00313B8C"/>
    <w:rsid w:val="00315F7E"/>
    <w:rsid w:val="00317CAF"/>
    <w:rsid w:val="003201CD"/>
    <w:rsid w:val="00325C98"/>
    <w:rsid w:val="00326EE5"/>
    <w:rsid w:val="00327FD1"/>
    <w:rsid w:val="00331626"/>
    <w:rsid w:val="00333B50"/>
    <w:rsid w:val="00336446"/>
    <w:rsid w:val="003467E6"/>
    <w:rsid w:val="00346D93"/>
    <w:rsid w:val="00347D0F"/>
    <w:rsid w:val="0035020A"/>
    <w:rsid w:val="00353439"/>
    <w:rsid w:val="003719FC"/>
    <w:rsid w:val="00382904"/>
    <w:rsid w:val="00383468"/>
    <w:rsid w:val="0038549F"/>
    <w:rsid w:val="00392291"/>
    <w:rsid w:val="003947A1"/>
    <w:rsid w:val="0039572C"/>
    <w:rsid w:val="00395DCA"/>
    <w:rsid w:val="003A24CE"/>
    <w:rsid w:val="003A6169"/>
    <w:rsid w:val="003B03B3"/>
    <w:rsid w:val="003B4919"/>
    <w:rsid w:val="003C04D4"/>
    <w:rsid w:val="003C2BD6"/>
    <w:rsid w:val="003C72B0"/>
    <w:rsid w:val="003D6C61"/>
    <w:rsid w:val="00402718"/>
    <w:rsid w:val="0040728B"/>
    <w:rsid w:val="004108DF"/>
    <w:rsid w:val="00410A6D"/>
    <w:rsid w:val="0041218E"/>
    <w:rsid w:val="00413EE5"/>
    <w:rsid w:val="004149E8"/>
    <w:rsid w:val="00415B20"/>
    <w:rsid w:val="0042120C"/>
    <w:rsid w:val="00421AE2"/>
    <w:rsid w:val="00422B46"/>
    <w:rsid w:val="004237AD"/>
    <w:rsid w:val="004268EA"/>
    <w:rsid w:val="004355F8"/>
    <w:rsid w:val="0044566D"/>
    <w:rsid w:val="00451770"/>
    <w:rsid w:val="00451ED0"/>
    <w:rsid w:val="00457496"/>
    <w:rsid w:val="004648E6"/>
    <w:rsid w:val="004758F2"/>
    <w:rsid w:val="00475C59"/>
    <w:rsid w:val="00475D4C"/>
    <w:rsid w:val="004806C4"/>
    <w:rsid w:val="00481C50"/>
    <w:rsid w:val="0048440B"/>
    <w:rsid w:val="00486B2C"/>
    <w:rsid w:val="00496FA2"/>
    <w:rsid w:val="00497A94"/>
    <w:rsid w:val="004A3F74"/>
    <w:rsid w:val="004A511B"/>
    <w:rsid w:val="004A67EE"/>
    <w:rsid w:val="004C025E"/>
    <w:rsid w:val="004C7F1F"/>
    <w:rsid w:val="004D00C9"/>
    <w:rsid w:val="004D206B"/>
    <w:rsid w:val="004D52EB"/>
    <w:rsid w:val="004D6186"/>
    <w:rsid w:val="004D6E15"/>
    <w:rsid w:val="004E08EC"/>
    <w:rsid w:val="004E18FC"/>
    <w:rsid w:val="004E32D2"/>
    <w:rsid w:val="004E6E15"/>
    <w:rsid w:val="004F00E1"/>
    <w:rsid w:val="004F420F"/>
    <w:rsid w:val="004F66C0"/>
    <w:rsid w:val="0051078B"/>
    <w:rsid w:val="00510BFE"/>
    <w:rsid w:val="00511BAE"/>
    <w:rsid w:val="00513823"/>
    <w:rsid w:val="00521414"/>
    <w:rsid w:val="00533F20"/>
    <w:rsid w:val="0054418D"/>
    <w:rsid w:val="0054548A"/>
    <w:rsid w:val="00545E6A"/>
    <w:rsid w:val="00553459"/>
    <w:rsid w:val="0055513E"/>
    <w:rsid w:val="00560E60"/>
    <w:rsid w:val="005618A9"/>
    <w:rsid w:val="00564997"/>
    <w:rsid w:val="00565E05"/>
    <w:rsid w:val="00566BAE"/>
    <w:rsid w:val="005846B1"/>
    <w:rsid w:val="0058502B"/>
    <w:rsid w:val="00586186"/>
    <w:rsid w:val="00586D35"/>
    <w:rsid w:val="00597F3F"/>
    <w:rsid w:val="005B2036"/>
    <w:rsid w:val="005B4F63"/>
    <w:rsid w:val="005C14F9"/>
    <w:rsid w:val="005C409F"/>
    <w:rsid w:val="005D1BD8"/>
    <w:rsid w:val="005D3707"/>
    <w:rsid w:val="005D60C3"/>
    <w:rsid w:val="005D6555"/>
    <w:rsid w:val="005E2152"/>
    <w:rsid w:val="005E5AE6"/>
    <w:rsid w:val="005E7EE8"/>
    <w:rsid w:val="005F0E9C"/>
    <w:rsid w:val="005F357A"/>
    <w:rsid w:val="005F41EA"/>
    <w:rsid w:val="005F641F"/>
    <w:rsid w:val="005F6A23"/>
    <w:rsid w:val="006003CD"/>
    <w:rsid w:val="0060163F"/>
    <w:rsid w:val="00602978"/>
    <w:rsid w:val="00610701"/>
    <w:rsid w:val="006109E1"/>
    <w:rsid w:val="0061419D"/>
    <w:rsid w:val="00615401"/>
    <w:rsid w:val="00616174"/>
    <w:rsid w:val="006162CD"/>
    <w:rsid w:val="00617CAC"/>
    <w:rsid w:val="00624663"/>
    <w:rsid w:val="0062753A"/>
    <w:rsid w:val="0063019B"/>
    <w:rsid w:val="00630D1D"/>
    <w:rsid w:val="006350A9"/>
    <w:rsid w:val="00635A7C"/>
    <w:rsid w:val="00640559"/>
    <w:rsid w:val="00645620"/>
    <w:rsid w:val="00646505"/>
    <w:rsid w:val="006534E7"/>
    <w:rsid w:val="00653500"/>
    <w:rsid w:val="00654C6C"/>
    <w:rsid w:val="00660A6D"/>
    <w:rsid w:val="006671EB"/>
    <w:rsid w:val="00667421"/>
    <w:rsid w:val="00671DB5"/>
    <w:rsid w:val="00672AE8"/>
    <w:rsid w:val="006739E8"/>
    <w:rsid w:val="00675501"/>
    <w:rsid w:val="00680D9A"/>
    <w:rsid w:val="0068257F"/>
    <w:rsid w:val="00686BA5"/>
    <w:rsid w:val="00686E94"/>
    <w:rsid w:val="00691F63"/>
    <w:rsid w:val="006A1253"/>
    <w:rsid w:val="006A4388"/>
    <w:rsid w:val="006B005F"/>
    <w:rsid w:val="006C3E92"/>
    <w:rsid w:val="006C4B76"/>
    <w:rsid w:val="006C6EDF"/>
    <w:rsid w:val="006D476B"/>
    <w:rsid w:val="006E020C"/>
    <w:rsid w:val="006E1A1A"/>
    <w:rsid w:val="006F13C8"/>
    <w:rsid w:val="006F54FB"/>
    <w:rsid w:val="00701DFF"/>
    <w:rsid w:val="00706551"/>
    <w:rsid w:val="00712379"/>
    <w:rsid w:val="00734042"/>
    <w:rsid w:val="007341D1"/>
    <w:rsid w:val="007435CC"/>
    <w:rsid w:val="007438F0"/>
    <w:rsid w:val="00746D92"/>
    <w:rsid w:val="00772C38"/>
    <w:rsid w:val="00780D63"/>
    <w:rsid w:val="00783512"/>
    <w:rsid w:val="00791015"/>
    <w:rsid w:val="0079652C"/>
    <w:rsid w:val="007A2BFC"/>
    <w:rsid w:val="007A56E4"/>
    <w:rsid w:val="007B2171"/>
    <w:rsid w:val="007B529F"/>
    <w:rsid w:val="007C77E2"/>
    <w:rsid w:val="007D4AE2"/>
    <w:rsid w:val="007E26CE"/>
    <w:rsid w:val="007F0929"/>
    <w:rsid w:val="007F1E40"/>
    <w:rsid w:val="007F2422"/>
    <w:rsid w:val="007F3AC0"/>
    <w:rsid w:val="00810AFF"/>
    <w:rsid w:val="0081636E"/>
    <w:rsid w:val="008240D6"/>
    <w:rsid w:val="00824B43"/>
    <w:rsid w:val="00837B94"/>
    <w:rsid w:val="00845E76"/>
    <w:rsid w:val="00847E1B"/>
    <w:rsid w:val="00851908"/>
    <w:rsid w:val="008554B8"/>
    <w:rsid w:val="00860A5D"/>
    <w:rsid w:val="008617C3"/>
    <w:rsid w:val="00866D4B"/>
    <w:rsid w:val="00874112"/>
    <w:rsid w:val="00883D06"/>
    <w:rsid w:val="00887B33"/>
    <w:rsid w:val="00887C5E"/>
    <w:rsid w:val="00891B02"/>
    <w:rsid w:val="00893800"/>
    <w:rsid w:val="0089612A"/>
    <w:rsid w:val="008A1EB2"/>
    <w:rsid w:val="008A5054"/>
    <w:rsid w:val="008B134C"/>
    <w:rsid w:val="008B1404"/>
    <w:rsid w:val="008B4D37"/>
    <w:rsid w:val="008B5911"/>
    <w:rsid w:val="008B7674"/>
    <w:rsid w:val="008C5F81"/>
    <w:rsid w:val="008D06DE"/>
    <w:rsid w:val="008D4F2E"/>
    <w:rsid w:val="008E0C8D"/>
    <w:rsid w:val="008F20AE"/>
    <w:rsid w:val="008F398D"/>
    <w:rsid w:val="00902446"/>
    <w:rsid w:val="00906B6C"/>
    <w:rsid w:val="00942CCC"/>
    <w:rsid w:val="009450CF"/>
    <w:rsid w:val="00945AA1"/>
    <w:rsid w:val="0094736C"/>
    <w:rsid w:val="009520D0"/>
    <w:rsid w:val="0096200E"/>
    <w:rsid w:val="00965645"/>
    <w:rsid w:val="00976D12"/>
    <w:rsid w:val="00977E23"/>
    <w:rsid w:val="00980E5B"/>
    <w:rsid w:val="0099190A"/>
    <w:rsid w:val="009A25F6"/>
    <w:rsid w:val="009B7292"/>
    <w:rsid w:val="009C0E82"/>
    <w:rsid w:val="009C63B1"/>
    <w:rsid w:val="009C7845"/>
    <w:rsid w:val="009D60D8"/>
    <w:rsid w:val="009F2DB9"/>
    <w:rsid w:val="009F3DC7"/>
    <w:rsid w:val="00A010F2"/>
    <w:rsid w:val="00A1234D"/>
    <w:rsid w:val="00A14F46"/>
    <w:rsid w:val="00A1746A"/>
    <w:rsid w:val="00A265F8"/>
    <w:rsid w:val="00A27E67"/>
    <w:rsid w:val="00A338DA"/>
    <w:rsid w:val="00A33FF0"/>
    <w:rsid w:val="00A36AE2"/>
    <w:rsid w:val="00A406E5"/>
    <w:rsid w:val="00A42557"/>
    <w:rsid w:val="00A439A2"/>
    <w:rsid w:val="00A44C20"/>
    <w:rsid w:val="00A52A24"/>
    <w:rsid w:val="00A95152"/>
    <w:rsid w:val="00AA1170"/>
    <w:rsid w:val="00AB0802"/>
    <w:rsid w:val="00AB4574"/>
    <w:rsid w:val="00AC06EA"/>
    <w:rsid w:val="00AD146C"/>
    <w:rsid w:val="00AD2BC6"/>
    <w:rsid w:val="00AD31F8"/>
    <w:rsid w:val="00AD3AD2"/>
    <w:rsid w:val="00AD7589"/>
    <w:rsid w:val="00AE2CB6"/>
    <w:rsid w:val="00AE37B1"/>
    <w:rsid w:val="00AE7070"/>
    <w:rsid w:val="00AF1C8F"/>
    <w:rsid w:val="00AF1D55"/>
    <w:rsid w:val="00AF2001"/>
    <w:rsid w:val="00AF4A1B"/>
    <w:rsid w:val="00AF6971"/>
    <w:rsid w:val="00AF7246"/>
    <w:rsid w:val="00B0487B"/>
    <w:rsid w:val="00B05AAE"/>
    <w:rsid w:val="00B063BC"/>
    <w:rsid w:val="00B10A4C"/>
    <w:rsid w:val="00B30F64"/>
    <w:rsid w:val="00B31124"/>
    <w:rsid w:val="00B345C3"/>
    <w:rsid w:val="00B41340"/>
    <w:rsid w:val="00B60034"/>
    <w:rsid w:val="00B62210"/>
    <w:rsid w:val="00B7242C"/>
    <w:rsid w:val="00B75725"/>
    <w:rsid w:val="00B7708A"/>
    <w:rsid w:val="00B77FC6"/>
    <w:rsid w:val="00B82C1D"/>
    <w:rsid w:val="00B85FD6"/>
    <w:rsid w:val="00B92A4C"/>
    <w:rsid w:val="00B93DEA"/>
    <w:rsid w:val="00BA223E"/>
    <w:rsid w:val="00BA5580"/>
    <w:rsid w:val="00BA6A11"/>
    <w:rsid w:val="00BC5727"/>
    <w:rsid w:val="00BC58C5"/>
    <w:rsid w:val="00BC5A68"/>
    <w:rsid w:val="00BD01E8"/>
    <w:rsid w:val="00BD6431"/>
    <w:rsid w:val="00BD70DC"/>
    <w:rsid w:val="00BE4CC6"/>
    <w:rsid w:val="00BE7CD7"/>
    <w:rsid w:val="00C10827"/>
    <w:rsid w:val="00C11A6D"/>
    <w:rsid w:val="00C200B6"/>
    <w:rsid w:val="00C330FE"/>
    <w:rsid w:val="00C35A41"/>
    <w:rsid w:val="00C36F08"/>
    <w:rsid w:val="00C42638"/>
    <w:rsid w:val="00C50E9D"/>
    <w:rsid w:val="00C651B3"/>
    <w:rsid w:val="00C66C5A"/>
    <w:rsid w:val="00C72063"/>
    <w:rsid w:val="00C90065"/>
    <w:rsid w:val="00C95AD4"/>
    <w:rsid w:val="00CA078C"/>
    <w:rsid w:val="00CA1700"/>
    <w:rsid w:val="00CA21F3"/>
    <w:rsid w:val="00CA553E"/>
    <w:rsid w:val="00CB4F56"/>
    <w:rsid w:val="00CD06DD"/>
    <w:rsid w:val="00CD5CE5"/>
    <w:rsid w:val="00CE775D"/>
    <w:rsid w:val="00CF4D0B"/>
    <w:rsid w:val="00D05BB4"/>
    <w:rsid w:val="00D072D8"/>
    <w:rsid w:val="00D07D63"/>
    <w:rsid w:val="00D100B0"/>
    <w:rsid w:val="00D1229C"/>
    <w:rsid w:val="00D2105E"/>
    <w:rsid w:val="00D22973"/>
    <w:rsid w:val="00D23776"/>
    <w:rsid w:val="00D26C93"/>
    <w:rsid w:val="00D27E51"/>
    <w:rsid w:val="00D31A9F"/>
    <w:rsid w:val="00D40D0A"/>
    <w:rsid w:val="00D42703"/>
    <w:rsid w:val="00D46C98"/>
    <w:rsid w:val="00D51646"/>
    <w:rsid w:val="00D57ECF"/>
    <w:rsid w:val="00D63BDE"/>
    <w:rsid w:val="00D82089"/>
    <w:rsid w:val="00D955AD"/>
    <w:rsid w:val="00D969BC"/>
    <w:rsid w:val="00DA7123"/>
    <w:rsid w:val="00DB2614"/>
    <w:rsid w:val="00DB2DBE"/>
    <w:rsid w:val="00DB3363"/>
    <w:rsid w:val="00DB3FDE"/>
    <w:rsid w:val="00DB549E"/>
    <w:rsid w:val="00DB5EED"/>
    <w:rsid w:val="00DB7AD9"/>
    <w:rsid w:val="00DC5CDF"/>
    <w:rsid w:val="00DD00C8"/>
    <w:rsid w:val="00DD7833"/>
    <w:rsid w:val="00DE6896"/>
    <w:rsid w:val="00DF03DB"/>
    <w:rsid w:val="00DF2275"/>
    <w:rsid w:val="00DF26F3"/>
    <w:rsid w:val="00DF7926"/>
    <w:rsid w:val="00E041A7"/>
    <w:rsid w:val="00E10483"/>
    <w:rsid w:val="00E134B9"/>
    <w:rsid w:val="00E22D2F"/>
    <w:rsid w:val="00E3723F"/>
    <w:rsid w:val="00E40B28"/>
    <w:rsid w:val="00E43FA0"/>
    <w:rsid w:val="00E45923"/>
    <w:rsid w:val="00E46EB6"/>
    <w:rsid w:val="00E52700"/>
    <w:rsid w:val="00E55125"/>
    <w:rsid w:val="00E56174"/>
    <w:rsid w:val="00E6312C"/>
    <w:rsid w:val="00E667C3"/>
    <w:rsid w:val="00E715B5"/>
    <w:rsid w:val="00E72951"/>
    <w:rsid w:val="00E73F93"/>
    <w:rsid w:val="00E744D8"/>
    <w:rsid w:val="00E75A72"/>
    <w:rsid w:val="00E773FC"/>
    <w:rsid w:val="00E86457"/>
    <w:rsid w:val="00E8779E"/>
    <w:rsid w:val="00EB2157"/>
    <w:rsid w:val="00EB6713"/>
    <w:rsid w:val="00EB739E"/>
    <w:rsid w:val="00EC004C"/>
    <w:rsid w:val="00EC3B7B"/>
    <w:rsid w:val="00EC690D"/>
    <w:rsid w:val="00ED36C8"/>
    <w:rsid w:val="00ED5089"/>
    <w:rsid w:val="00EE3DFB"/>
    <w:rsid w:val="00EF20FB"/>
    <w:rsid w:val="00F01DE3"/>
    <w:rsid w:val="00F051AF"/>
    <w:rsid w:val="00F12085"/>
    <w:rsid w:val="00F27DBF"/>
    <w:rsid w:val="00F33AFF"/>
    <w:rsid w:val="00F34369"/>
    <w:rsid w:val="00F34AA9"/>
    <w:rsid w:val="00F36307"/>
    <w:rsid w:val="00F37821"/>
    <w:rsid w:val="00F443A8"/>
    <w:rsid w:val="00F467B2"/>
    <w:rsid w:val="00F736D0"/>
    <w:rsid w:val="00F74ADE"/>
    <w:rsid w:val="00F818F3"/>
    <w:rsid w:val="00F81AA0"/>
    <w:rsid w:val="00F84B09"/>
    <w:rsid w:val="00F8640B"/>
    <w:rsid w:val="00F940EA"/>
    <w:rsid w:val="00F949A9"/>
    <w:rsid w:val="00FA0011"/>
    <w:rsid w:val="00FA133F"/>
    <w:rsid w:val="00FB6C0A"/>
    <w:rsid w:val="00FB79AF"/>
    <w:rsid w:val="00FC475F"/>
    <w:rsid w:val="00FD3114"/>
    <w:rsid w:val="00FD4177"/>
    <w:rsid w:val="00FE3A0D"/>
    <w:rsid w:val="00FE3DDE"/>
    <w:rsid w:val="00FE58A1"/>
    <w:rsid w:val="00FE7CFC"/>
    <w:rsid w:val="00FF14A8"/>
    <w:rsid w:val="00FF2303"/>
    <w:rsid w:val="00FF4F7C"/>
    <w:rsid w:val="00FF667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customStyle="1" w:styleId="texte">
    <w:name w:val="texte"/>
    <w:basedOn w:val="Normal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character" w:styleId="lev">
    <w:name w:val="Strong"/>
    <w:qFormat/>
    <w:rsid w:val="00AE2CB6"/>
    <w:rPr>
      <w:b/>
      <w:bCs/>
    </w:rPr>
  </w:style>
  <w:style w:type="paragraph" w:customStyle="1" w:styleId="Sous-titrerapport">
    <w:name w:val="Sous-titre rapport"/>
    <w:basedOn w:val="Normal"/>
    <w:rsid w:val="00D1229C"/>
    <w:pPr>
      <w:suppressAutoHyphens/>
      <w:spacing w:before="160" w:after="160"/>
      <w:jc w:val="center"/>
    </w:pPr>
    <w:rPr>
      <w:sz w:val="24"/>
      <w:lang w:eastAsia="ar-SA"/>
    </w:rPr>
  </w:style>
  <w:style w:type="paragraph" w:customStyle="1" w:styleId="ps0">
    <w:name w:val="ps"/>
    <w:basedOn w:val="Normal"/>
    <w:rsid w:val="009B7292"/>
    <w:pPr>
      <w:spacing w:before="100" w:beforeAutospacing="1" w:after="100" w:afterAutospacing="1"/>
    </w:pPr>
    <w:rPr>
      <w:sz w:val="24"/>
      <w:szCs w:val="24"/>
    </w:rPr>
  </w:style>
  <w:style w:type="character" w:styleId="Marquedecommentaire">
    <w:name w:val="annotation reference"/>
    <w:semiHidden/>
    <w:rsid w:val="00BD70DC"/>
    <w:rPr>
      <w:sz w:val="16"/>
      <w:szCs w:val="16"/>
    </w:rPr>
  </w:style>
  <w:style w:type="paragraph" w:styleId="En-tte">
    <w:name w:val="header"/>
    <w:basedOn w:val="Normal"/>
    <w:link w:val="En-tteCar"/>
    <w:rsid w:val="004A67E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4A67EE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134B9"/>
    <w:pPr>
      <w:spacing w:before="120" w:after="720"/>
      <w:ind w:firstLine="709"/>
      <w:jc w:val="right"/>
    </w:pPr>
    <w:rPr>
      <w:rFonts w:ascii="Cambria" w:hAnsi="Cambria"/>
      <w:sz w:val="24"/>
      <w:szCs w:val="22"/>
    </w:rPr>
  </w:style>
  <w:style w:type="character" w:customStyle="1" w:styleId="Sous-titreCar">
    <w:name w:val="Sous-titre Car"/>
    <w:link w:val="Sous-titre"/>
    <w:uiPriority w:val="11"/>
    <w:rsid w:val="00E134B9"/>
    <w:rPr>
      <w:rFonts w:ascii="Cambria" w:hAnsi="Cambria"/>
      <w:sz w:val="24"/>
      <w:szCs w:val="22"/>
    </w:rPr>
  </w:style>
  <w:style w:type="character" w:customStyle="1" w:styleId="PieddepageCar">
    <w:name w:val="Pied de page Car"/>
    <w:link w:val="Pieddepage"/>
    <w:uiPriority w:val="99"/>
    <w:rsid w:val="009C0E82"/>
  </w:style>
  <w:style w:type="character" w:customStyle="1" w:styleId="Normal1">
    <w:name w:val="Normal1"/>
    <w:rsid w:val="00213BE2"/>
  </w:style>
  <w:style w:type="paragraph" w:styleId="Commentaire">
    <w:name w:val="annotation text"/>
    <w:basedOn w:val="Normal"/>
    <w:link w:val="CommentaireCar"/>
    <w:uiPriority w:val="99"/>
    <w:semiHidden/>
    <w:unhideWhenUsed/>
    <w:rsid w:val="00680D9A"/>
  </w:style>
  <w:style w:type="character" w:customStyle="1" w:styleId="CommentaireCar">
    <w:name w:val="Commentaire Car"/>
    <w:basedOn w:val="Policepardfaut"/>
    <w:link w:val="Commentaire"/>
    <w:uiPriority w:val="99"/>
    <w:semiHidden/>
    <w:rsid w:val="00680D9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0D9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680D9A"/>
    <w:rPr>
      <w:b/>
      <w:bCs/>
    </w:rPr>
  </w:style>
  <w:style w:type="character" w:customStyle="1" w:styleId="En-tteCar">
    <w:name w:val="En-tête Car"/>
    <w:link w:val="En-tte"/>
    <w:rsid w:val="006671EB"/>
  </w:style>
  <w:style w:type="paragraph" w:customStyle="1" w:styleId="P0">
    <w:name w:val="P0"/>
    <w:basedOn w:val="Normal"/>
    <w:link w:val="P0Car"/>
    <w:rsid w:val="009C7845"/>
    <w:pPr>
      <w:ind w:left="1701"/>
      <w:jc w:val="both"/>
    </w:pPr>
    <w:rPr>
      <w:sz w:val="24"/>
      <w:szCs w:val="24"/>
    </w:rPr>
  </w:style>
  <w:style w:type="character" w:customStyle="1" w:styleId="P0Car">
    <w:name w:val="P0 Car"/>
    <w:link w:val="P0"/>
    <w:locked/>
    <w:rsid w:val="009C7845"/>
    <w:rPr>
      <w:sz w:val="24"/>
      <w:szCs w:val="24"/>
    </w:rPr>
  </w:style>
  <w:style w:type="paragraph" w:styleId="Rvision">
    <w:name w:val="Revision"/>
    <w:hidden/>
    <w:uiPriority w:val="99"/>
    <w:semiHidden/>
    <w:rsid w:val="004E1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customStyle="1" w:styleId="texte">
    <w:name w:val="texte"/>
    <w:basedOn w:val="Normal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character" w:styleId="lev">
    <w:name w:val="Strong"/>
    <w:qFormat/>
    <w:rsid w:val="00AE2CB6"/>
    <w:rPr>
      <w:b/>
      <w:bCs/>
    </w:rPr>
  </w:style>
  <w:style w:type="paragraph" w:customStyle="1" w:styleId="Sous-titrerapport">
    <w:name w:val="Sous-titre rapport"/>
    <w:basedOn w:val="Normal"/>
    <w:rsid w:val="00D1229C"/>
    <w:pPr>
      <w:suppressAutoHyphens/>
      <w:spacing w:before="160" w:after="160"/>
      <w:jc w:val="center"/>
    </w:pPr>
    <w:rPr>
      <w:sz w:val="24"/>
      <w:lang w:eastAsia="ar-SA"/>
    </w:rPr>
  </w:style>
  <w:style w:type="paragraph" w:customStyle="1" w:styleId="ps0">
    <w:name w:val="ps"/>
    <w:basedOn w:val="Normal"/>
    <w:rsid w:val="009B7292"/>
    <w:pPr>
      <w:spacing w:before="100" w:beforeAutospacing="1" w:after="100" w:afterAutospacing="1"/>
    </w:pPr>
    <w:rPr>
      <w:sz w:val="24"/>
      <w:szCs w:val="24"/>
    </w:rPr>
  </w:style>
  <w:style w:type="character" w:styleId="Marquedecommentaire">
    <w:name w:val="annotation reference"/>
    <w:semiHidden/>
    <w:rsid w:val="00BD70DC"/>
    <w:rPr>
      <w:sz w:val="16"/>
      <w:szCs w:val="16"/>
    </w:rPr>
  </w:style>
  <w:style w:type="paragraph" w:styleId="En-tte">
    <w:name w:val="header"/>
    <w:basedOn w:val="Normal"/>
    <w:link w:val="En-tteCar"/>
    <w:rsid w:val="004A67E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4A67EE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134B9"/>
    <w:pPr>
      <w:spacing w:before="120" w:after="720"/>
      <w:ind w:firstLine="709"/>
      <w:jc w:val="right"/>
    </w:pPr>
    <w:rPr>
      <w:rFonts w:ascii="Cambria" w:hAnsi="Cambria"/>
      <w:sz w:val="24"/>
      <w:szCs w:val="22"/>
    </w:rPr>
  </w:style>
  <w:style w:type="character" w:customStyle="1" w:styleId="Sous-titreCar">
    <w:name w:val="Sous-titre Car"/>
    <w:link w:val="Sous-titre"/>
    <w:uiPriority w:val="11"/>
    <w:rsid w:val="00E134B9"/>
    <w:rPr>
      <w:rFonts w:ascii="Cambria" w:hAnsi="Cambria"/>
      <w:sz w:val="24"/>
      <w:szCs w:val="22"/>
    </w:rPr>
  </w:style>
  <w:style w:type="character" w:customStyle="1" w:styleId="PieddepageCar">
    <w:name w:val="Pied de page Car"/>
    <w:link w:val="Pieddepage"/>
    <w:uiPriority w:val="99"/>
    <w:rsid w:val="009C0E82"/>
  </w:style>
  <w:style w:type="character" w:customStyle="1" w:styleId="Normal1">
    <w:name w:val="Normal1"/>
    <w:rsid w:val="00213BE2"/>
  </w:style>
  <w:style w:type="paragraph" w:styleId="Commentaire">
    <w:name w:val="annotation text"/>
    <w:basedOn w:val="Normal"/>
    <w:link w:val="CommentaireCar"/>
    <w:uiPriority w:val="99"/>
    <w:semiHidden/>
    <w:unhideWhenUsed/>
    <w:rsid w:val="00680D9A"/>
  </w:style>
  <w:style w:type="character" w:customStyle="1" w:styleId="CommentaireCar">
    <w:name w:val="Commentaire Car"/>
    <w:basedOn w:val="Policepardfaut"/>
    <w:link w:val="Commentaire"/>
    <w:uiPriority w:val="99"/>
    <w:semiHidden/>
    <w:rsid w:val="00680D9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0D9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680D9A"/>
    <w:rPr>
      <w:b/>
      <w:bCs/>
    </w:rPr>
  </w:style>
  <w:style w:type="character" w:customStyle="1" w:styleId="En-tteCar">
    <w:name w:val="En-tête Car"/>
    <w:link w:val="En-tte"/>
    <w:rsid w:val="006671EB"/>
  </w:style>
  <w:style w:type="paragraph" w:customStyle="1" w:styleId="P0">
    <w:name w:val="P0"/>
    <w:basedOn w:val="Normal"/>
    <w:link w:val="P0Car"/>
    <w:rsid w:val="009C7845"/>
    <w:pPr>
      <w:ind w:left="1701"/>
      <w:jc w:val="both"/>
    </w:pPr>
    <w:rPr>
      <w:sz w:val="24"/>
      <w:szCs w:val="24"/>
    </w:rPr>
  </w:style>
  <w:style w:type="character" w:customStyle="1" w:styleId="P0Car">
    <w:name w:val="P0 Car"/>
    <w:link w:val="P0"/>
    <w:locked/>
    <w:rsid w:val="009C7845"/>
    <w:rPr>
      <w:sz w:val="24"/>
      <w:szCs w:val="24"/>
    </w:rPr>
  </w:style>
  <w:style w:type="paragraph" w:styleId="Rvision">
    <w:name w:val="Revision"/>
    <w:hidden/>
    <w:uiPriority w:val="99"/>
    <w:semiHidden/>
    <w:rsid w:val="004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03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7A866-F00B-4C3E-8CE5-E9F2172C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14</TotalTime>
  <Pages>5</Pages>
  <Words>1316</Words>
  <Characters>7243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Montferrat, arrêt</vt:lpstr>
    </vt:vector>
  </TitlesOfParts>
  <Company>COUR DES COMPTES</Company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creator>gmoreau</dc:creator>
  <cp:lastModifiedBy>Jean-Pierre Bonin</cp:lastModifiedBy>
  <cp:revision>4</cp:revision>
  <cp:lastPrinted>2014-12-01T11:50:00Z</cp:lastPrinted>
  <dcterms:created xsi:type="dcterms:W3CDTF">2015-02-19T10:48:00Z</dcterms:created>
  <dcterms:modified xsi:type="dcterms:W3CDTF">2015-02-20T09:38:00Z</dcterms:modified>
</cp:coreProperties>
</file>