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E46" w:rsidRPr="00AF7DBC" w:rsidRDefault="00E84E46" w:rsidP="00071EE9">
      <w:pPr>
        <w:spacing w:after="80"/>
        <w:ind w:right="6237" w:firstLine="0"/>
        <w:jc w:val="center"/>
        <w:rPr>
          <w:b/>
        </w:rPr>
      </w:pPr>
      <w:r w:rsidRPr="00AF7DBC">
        <w:rPr>
          <w:b/>
        </w:rPr>
        <w:t>COUR DES COMPTES</w:t>
      </w:r>
    </w:p>
    <w:p w:rsidR="00E84E46" w:rsidRPr="00AF7DBC" w:rsidRDefault="00E84E46" w:rsidP="00071EE9">
      <w:pPr>
        <w:spacing w:after="80"/>
        <w:ind w:right="6237" w:firstLine="0"/>
        <w:jc w:val="center"/>
        <w:rPr>
          <w:b/>
        </w:rPr>
      </w:pPr>
      <w:r w:rsidRPr="00AF7DBC">
        <w:rPr>
          <w:b/>
        </w:rPr>
        <w:t>--------</w:t>
      </w:r>
    </w:p>
    <w:p w:rsidR="00E84E46" w:rsidRPr="00AF7DBC" w:rsidRDefault="00E84E46" w:rsidP="00071EE9">
      <w:pPr>
        <w:spacing w:after="80"/>
        <w:ind w:right="6237" w:firstLine="0"/>
        <w:jc w:val="center"/>
        <w:rPr>
          <w:b/>
        </w:rPr>
      </w:pPr>
      <w:r w:rsidRPr="00AF7DBC">
        <w:rPr>
          <w:b/>
        </w:rPr>
        <w:t>QUATRIEME CHAMBRE</w:t>
      </w:r>
    </w:p>
    <w:p w:rsidR="00E84E46" w:rsidRPr="00AF7DBC" w:rsidRDefault="00E84E46" w:rsidP="00071EE9">
      <w:pPr>
        <w:spacing w:after="80"/>
        <w:ind w:right="6237" w:firstLine="0"/>
        <w:jc w:val="center"/>
        <w:rPr>
          <w:b/>
        </w:rPr>
      </w:pPr>
      <w:r w:rsidRPr="00AF7DBC">
        <w:rPr>
          <w:b/>
        </w:rPr>
        <w:t>--------</w:t>
      </w:r>
    </w:p>
    <w:p w:rsidR="00E84E46" w:rsidRPr="00AF7DBC" w:rsidRDefault="00E84E46" w:rsidP="00071EE9">
      <w:pPr>
        <w:spacing w:after="80"/>
        <w:ind w:right="6237" w:firstLine="0"/>
        <w:jc w:val="center"/>
        <w:rPr>
          <w:b/>
        </w:rPr>
      </w:pPr>
      <w:r w:rsidRPr="00AF7DBC">
        <w:rPr>
          <w:b/>
        </w:rPr>
        <w:t>PREMIERE SECTION</w:t>
      </w:r>
    </w:p>
    <w:p w:rsidR="00E84E46" w:rsidRDefault="000B20B5" w:rsidP="00071EE9">
      <w:pPr>
        <w:spacing w:after="80"/>
        <w:ind w:right="6237" w:firstLine="0"/>
        <w:jc w:val="center"/>
        <w:rPr>
          <w:b/>
        </w:rPr>
      </w:pPr>
      <w:r>
        <w:rPr>
          <w:b/>
        </w:rPr>
        <w:t>--------</w:t>
      </w:r>
    </w:p>
    <w:p w:rsidR="00E84E46" w:rsidRPr="00AF7DBC" w:rsidRDefault="00E84E46" w:rsidP="00071EE9">
      <w:pPr>
        <w:spacing w:after="80"/>
        <w:ind w:right="6237" w:firstLine="0"/>
        <w:jc w:val="center"/>
        <w:rPr>
          <w:b/>
          <w:i/>
        </w:rPr>
      </w:pPr>
      <w:r w:rsidRPr="00AF7DBC">
        <w:rPr>
          <w:b/>
          <w:i/>
        </w:rPr>
        <w:t>Arrêt n°</w:t>
      </w:r>
      <w:r w:rsidR="000B20B5">
        <w:rPr>
          <w:b/>
          <w:i/>
        </w:rPr>
        <w:t xml:space="preserve"> 71379</w:t>
      </w:r>
    </w:p>
    <w:p w:rsidR="008438AC" w:rsidRDefault="008438AC" w:rsidP="008438AC">
      <w:pPr>
        <w:ind w:left="3686" w:firstLine="0"/>
      </w:pPr>
      <w:r>
        <w:t>COMMUNE DE TELLIERES-LE-PLESSIS</w:t>
      </w:r>
    </w:p>
    <w:p w:rsidR="00E84E46" w:rsidRPr="00F12CC2" w:rsidRDefault="00E84E46" w:rsidP="008438AC">
      <w:pPr>
        <w:spacing w:after="120"/>
        <w:ind w:left="3686" w:firstLine="0"/>
      </w:pPr>
      <w:r w:rsidRPr="00F12CC2">
        <w:t>(</w:t>
      </w:r>
      <w:r w:rsidR="008438AC">
        <w:t>ORNE</w:t>
      </w:r>
      <w:r w:rsidRPr="00F12CC2">
        <w:t>)</w:t>
      </w:r>
    </w:p>
    <w:p w:rsidR="005C2016" w:rsidRPr="00F12CC2" w:rsidRDefault="005C2016" w:rsidP="008438AC">
      <w:pPr>
        <w:spacing w:after="120"/>
        <w:ind w:left="3686" w:firstLine="0"/>
      </w:pPr>
      <w:r w:rsidRPr="00F12CC2">
        <w:t>Appel d’un jugement de la chambre régionale des comptes de Basse-Normandie, Haute-Normandie</w:t>
      </w:r>
    </w:p>
    <w:p w:rsidR="00E84E46" w:rsidRPr="00F12CC2" w:rsidRDefault="00E84E46" w:rsidP="008438AC">
      <w:pPr>
        <w:spacing w:after="120"/>
        <w:ind w:left="3686" w:firstLine="0"/>
      </w:pPr>
      <w:r w:rsidRPr="00F12CC2">
        <w:t xml:space="preserve">Rapport n° </w:t>
      </w:r>
      <w:r w:rsidR="00185873" w:rsidRPr="00F12CC2">
        <w:t>2014-</w:t>
      </w:r>
      <w:r w:rsidR="00B84AF4" w:rsidRPr="00F12CC2">
        <w:t>627-0</w:t>
      </w:r>
    </w:p>
    <w:p w:rsidR="00E84E46" w:rsidRPr="00F12CC2" w:rsidRDefault="00E84E46" w:rsidP="008438AC">
      <w:pPr>
        <w:spacing w:after="120"/>
        <w:ind w:left="3686" w:firstLine="0"/>
      </w:pPr>
      <w:r w:rsidRPr="00F12CC2">
        <w:t>Audience</w:t>
      </w:r>
      <w:r w:rsidR="005C2016" w:rsidRPr="00F12CC2">
        <w:t xml:space="preserve"> publique</w:t>
      </w:r>
      <w:r w:rsidRPr="00F12CC2">
        <w:t xml:space="preserve"> du </w:t>
      </w:r>
      <w:r w:rsidR="00316B39" w:rsidRPr="00F12CC2">
        <w:t>13</w:t>
      </w:r>
      <w:r w:rsidR="00B84AF4" w:rsidRPr="00F12CC2">
        <w:t xml:space="preserve"> novembre 2014</w:t>
      </w:r>
    </w:p>
    <w:p w:rsidR="00E84E46" w:rsidRPr="00F12CC2" w:rsidRDefault="00E84E46" w:rsidP="00E84E46">
      <w:pPr>
        <w:spacing w:after="80"/>
        <w:ind w:left="3686" w:firstLine="0"/>
      </w:pPr>
      <w:r w:rsidRPr="00F12CC2">
        <w:t xml:space="preserve">Lecture publique du </w:t>
      </w:r>
      <w:r w:rsidR="008438AC">
        <w:t>18 décembre 2014</w:t>
      </w:r>
    </w:p>
    <w:p w:rsidR="00E84E46" w:rsidRDefault="00E84E46" w:rsidP="00E84E46">
      <w:pPr>
        <w:spacing w:after="80"/>
      </w:pPr>
    </w:p>
    <w:p w:rsidR="001B0732" w:rsidRPr="00484671" w:rsidRDefault="001B0732" w:rsidP="00E84E46">
      <w:pPr>
        <w:spacing w:after="80"/>
      </w:pPr>
    </w:p>
    <w:p w:rsidR="001B0732" w:rsidRDefault="001B0732" w:rsidP="00071EE9">
      <w:pPr>
        <w:spacing w:after="480"/>
        <w:ind w:left="1134" w:firstLine="0"/>
        <w:jc w:val="center"/>
      </w:pPr>
      <w:r>
        <w:t>LA COUR DES COMPTES a rendu l’arrêt suivant :</w:t>
      </w:r>
    </w:p>
    <w:p w:rsidR="00E84E46" w:rsidRPr="00484671" w:rsidRDefault="00E84E46" w:rsidP="008E45A9">
      <w:pPr>
        <w:spacing w:after="480"/>
        <w:ind w:left="1134" w:firstLine="567"/>
      </w:pPr>
      <w:r w:rsidRPr="00484671">
        <w:t>L</w:t>
      </w:r>
      <w:r w:rsidR="004C53B4">
        <w:t>A</w:t>
      </w:r>
      <w:r w:rsidRPr="00484671">
        <w:t xml:space="preserve"> COUR,</w:t>
      </w:r>
    </w:p>
    <w:p w:rsidR="00685634" w:rsidRDefault="006E5F26" w:rsidP="008E45A9">
      <w:pPr>
        <w:spacing w:after="480"/>
        <w:ind w:left="1134" w:firstLine="567"/>
      </w:pPr>
      <w:r>
        <w:t xml:space="preserve">Vu la requête enregistrée au greffe de la chambre régionale des comptes </w:t>
      </w:r>
      <w:r w:rsidR="00BF32ED">
        <w:t>de</w:t>
      </w:r>
      <w:r w:rsidR="00071EE9">
        <w:t xml:space="preserve"> </w:t>
      </w:r>
      <w:r>
        <w:t>Basse-Normandie, Haute-Normandie le 11</w:t>
      </w:r>
      <w:r w:rsidR="00071EE9">
        <w:t xml:space="preserve"> </w:t>
      </w:r>
      <w:r>
        <w:t>avril</w:t>
      </w:r>
      <w:r w:rsidR="00071EE9">
        <w:t xml:space="preserve"> </w:t>
      </w:r>
      <w:r>
        <w:t>2014 </w:t>
      </w:r>
      <w:r w:rsidR="00E573AA">
        <w:t xml:space="preserve">par laquelle </w:t>
      </w:r>
      <w:r w:rsidR="00FA0070">
        <w:t>M</w:t>
      </w:r>
      <w:r w:rsidR="00FA0070" w:rsidRPr="00071EE9">
        <w:rPr>
          <w:vertAlign w:val="superscript"/>
        </w:rPr>
        <w:t>me</w:t>
      </w:r>
      <w:r w:rsidR="00071EE9">
        <w:t> </w:t>
      </w:r>
      <w:r w:rsidR="00FA0070">
        <w:t>X</w:t>
      </w:r>
      <w:r w:rsidR="00E573AA">
        <w:t>, comptable de la COMMUNE DE TELLIERES-LE-PLESSIS a relevé appel du jugement n° 2014-001 du 4 mars 2014 par laquelle ladite chambre l’a constitué</w:t>
      </w:r>
      <w:r w:rsidR="00071EE9">
        <w:t>e</w:t>
      </w:r>
      <w:r w:rsidR="00E573AA">
        <w:t xml:space="preserve"> débitrice envers cette commune de la somme de</w:t>
      </w:r>
      <w:r w:rsidR="00071EE9">
        <w:t xml:space="preserve"> </w:t>
      </w:r>
      <w:r w:rsidR="00E573AA">
        <w:t>1 721,90 €, augmentée des intérêts de droit calculés à compter du 12 septembre 2013 ;</w:t>
      </w:r>
    </w:p>
    <w:p w:rsidR="00E573AA" w:rsidRDefault="00E573AA" w:rsidP="008E45A9">
      <w:pPr>
        <w:spacing w:after="480"/>
        <w:ind w:left="1134" w:firstLine="567"/>
      </w:pPr>
      <w:r>
        <w:t>Vu le réquisitoire n°</w:t>
      </w:r>
      <w:r w:rsidR="00BD177E">
        <w:t> </w:t>
      </w:r>
      <w:r>
        <w:t xml:space="preserve">2014-66 du 3 juin </w:t>
      </w:r>
      <w:r w:rsidR="00BD177E">
        <w:t>2014 du Procureur général près la</w:t>
      </w:r>
      <w:r w:rsidR="00071EE9">
        <w:t xml:space="preserve"> </w:t>
      </w:r>
      <w:r w:rsidR="00BD177E">
        <w:t>Cour des comptes transmettant à la Cour la requête précitée ;</w:t>
      </w:r>
    </w:p>
    <w:p w:rsidR="006E5F26" w:rsidRDefault="006E5F26" w:rsidP="008E45A9">
      <w:pPr>
        <w:spacing w:after="480"/>
        <w:ind w:left="1134" w:firstLine="567"/>
      </w:pPr>
      <w:r w:rsidRPr="007F534A">
        <w:t>Vu</w:t>
      </w:r>
      <w:r w:rsidRPr="00484671">
        <w:t xml:space="preserve"> les pièces de la procédure suivie en première instance</w:t>
      </w:r>
      <w:r w:rsidR="00071EE9">
        <w:t> ;</w:t>
      </w:r>
    </w:p>
    <w:p w:rsidR="00E84E46" w:rsidRPr="007F534A" w:rsidRDefault="00E84E46" w:rsidP="008E45A9">
      <w:pPr>
        <w:spacing w:after="480"/>
        <w:ind w:left="1134" w:firstLine="567"/>
      </w:pPr>
      <w:r w:rsidRPr="007F534A">
        <w:t>Vu le code des juridictions financières ;</w:t>
      </w:r>
    </w:p>
    <w:p w:rsidR="00E84E46" w:rsidRPr="007F534A" w:rsidRDefault="00E84E46" w:rsidP="008E45A9">
      <w:pPr>
        <w:spacing w:after="480"/>
        <w:ind w:left="1134" w:firstLine="567"/>
      </w:pPr>
      <w:r w:rsidRPr="007F534A">
        <w:t>Vu l’article 60 de la loi de finances n°</w:t>
      </w:r>
      <w:r w:rsidR="00BD177E">
        <w:t> </w:t>
      </w:r>
      <w:r w:rsidRPr="007F534A">
        <w:t>63-156 du 23 février 1963 modifiée</w:t>
      </w:r>
      <w:r w:rsidR="00071EE9">
        <w:t> ;</w:t>
      </w:r>
    </w:p>
    <w:p w:rsidR="00E84E46" w:rsidRDefault="00E84E46" w:rsidP="008E45A9">
      <w:pPr>
        <w:spacing w:after="480"/>
        <w:ind w:left="1134" w:firstLine="567"/>
      </w:pPr>
      <w:r w:rsidRPr="007F534A">
        <w:t xml:space="preserve">Vu </w:t>
      </w:r>
      <w:r w:rsidRPr="00484671">
        <w:t>le décret n° 62-1587 du 29 décembre 1962 portant règlement génér</w:t>
      </w:r>
      <w:r w:rsidR="00185873">
        <w:t>al sur la comptabilité publique</w:t>
      </w:r>
      <w:r w:rsidR="007D3F3C">
        <w:t>, en vigueur au moment des faits</w:t>
      </w:r>
      <w:r w:rsidRPr="00484671">
        <w:t> ;</w:t>
      </w:r>
    </w:p>
    <w:p w:rsidR="008E45A9" w:rsidRPr="00484671" w:rsidRDefault="008E45A9" w:rsidP="00FC1556">
      <w:pPr>
        <w:spacing w:after="360"/>
        <w:ind w:left="1134" w:firstLine="567"/>
      </w:pPr>
      <w:r>
        <w:t>Vu le code général des collectivités territoriales ;</w:t>
      </w:r>
    </w:p>
    <w:p w:rsidR="00E84E46" w:rsidRPr="00484671" w:rsidRDefault="00E84E46" w:rsidP="00FC1556">
      <w:pPr>
        <w:spacing w:after="360"/>
        <w:ind w:left="1134" w:firstLine="567"/>
      </w:pPr>
      <w:r w:rsidRPr="007F534A">
        <w:lastRenderedPageBreak/>
        <w:t>Vu le rapport de M.</w:t>
      </w:r>
      <w:r w:rsidR="002F4BA5">
        <w:t> </w:t>
      </w:r>
      <w:r w:rsidR="007D3F3C">
        <w:t>Yves Rolland</w:t>
      </w:r>
      <w:r>
        <w:t>, conseiller maître</w:t>
      </w:r>
      <w:r w:rsidRPr="00484671">
        <w:t> ;</w:t>
      </w:r>
    </w:p>
    <w:p w:rsidR="00E84E46" w:rsidRPr="007F534A" w:rsidRDefault="00E84E46" w:rsidP="00FC1556">
      <w:pPr>
        <w:spacing w:after="360"/>
        <w:ind w:left="1134" w:firstLine="567"/>
      </w:pPr>
      <w:r w:rsidRPr="007F534A">
        <w:t>Vu les conclusions du Procureur général n°</w:t>
      </w:r>
      <w:r w:rsidR="007D3F3C">
        <w:t> </w:t>
      </w:r>
      <w:r w:rsidR="00B84AF4">
        <w:t>576</w:t>
      </w:r>
      <w:r w:rsidR="006E5F26">
        <w:t xml:space="preserve"> </w:t>
      </w:r>
      <w:r w:rsidRPr="007F534A">
        <w:t xml:space="preserve">du </w:t>
      </w:r>
      <w:r w:rsidR="00B84AF4">
        <w:t>15 septembre</w:t>
      </w:r>
      <w:r w:rsidR="00376AB2">
        <w:t xml:space="preserve"> 2014</w:t>
      </w:r>
      <w:r w:rsidR="00071EE9">
        <w:t> ;</w:t>
      </w:r>
    </w:p>
    <w:p w:rsidR="00E84E46" w:rsidRPr="00376AB2" w:rsidRDefault="00E84E46" w:rsidP="00FC1556">
      <w:pPr>
        <w:spacing w:after="360"/>
        <w:ind w:left="1134" w:firstLine="567"/>
      </w:pPr>
      <w:r w:rsidRPr="007F534A">
        <w:t>Entendu, lors de l’audience publique de ce jour, M.</w:t>
      </w:r>
      <w:r w:rsidR="002F4BA5">
        <w:t> </w:t>
      </w:r>
      <w:r>
        <w:t>R</w:t>
      </w:r>
      <w:r w:rsidR="007D3F3C">
        <w:t>olland</w:t>
      </w:r>
      <w:r w:rsidRPr="007F534A">
        <w:t>, en son r</w:t>
      </w:r>
      <w:r w:rsidRPr="00484671">
        <w:t xml:space="preserve">apport, M. </w:t>
      </w:r>
      <w:r w:rsidR="002F4BA5">
        <w:t xml:space="preserve">Christian </w:t>
      </w:r>
      <w:r w:rsidR="00B84AF4">
        <w:t>M</w:t>
      </w:r>
      <w:r w:rsidR="007D3F3C">
        <w:t>ichaut</w:t>
      </w:r>
      <w:r w:rsidRPr="007F534A">
        <w:t>, avocat général, en les conclusions du ministère public</w:t>
      </w:r>
      <w:r w:rsidR="007D3F3C">
        <w:t> ;</w:t>
      </w:r>
    </w:p>
    <w:p w:rsidR="00E84E46" w:rsidRPr="00484671" w:rsidRDefault="008E45A9" w:rsidP="00FC1556">
      <w:pPr>
        <w:spacing w:after="360"/>
        <w:ind w:left="1134" w:firstLine="567"/>
      </w:pPr>
      <w:r>
        <w:t>Entendu, en délibéré, M. </w:t>
      </w:r>
      <w:r w:rsidR="007D3F3C">
        <w:t>Jean-Pierre Lafaure</w:t>
      </w:r>
      <w:r w:rsidR="004B784F">
        <w:t>, conseiller maître</w:t>
      </w:r>
      <w:r w:rsidR="00E84E46" w:rsidRPr="00484671">
        <w:t>, en ses observations ;</w:t>
      </w:r>
    </w:p>
    <w:p w:rsidR="00741460" w:rsidRDefault="006E5F26" w:rsidP="00FC1556">
      <w:pPr>
        <w:spacing w:after="360"/>
        <w:ind w:left="1134" w:firstLine="567"/>
      </w:pPr>
      <w:r>
        <w:t xml:space="preserve">Attendu que la chambre régionale des comptes de Basse-Normandie, </w:t>
      </w:r>
      <w:r w:rsidR="00BD177E">
        <w:br/>
      </w:r>
      <w:r>
        <w:t xml:space="preserve">Haute-Normandie a constitué </w:t>
      </w:r>
      <w:r w:rsidR="00FA0070">
        <w:t>M</w:t>
      </w:r>
      <w:r w:rsidR="00FA0070" w:rsidRPr="00071EE9">
        <w:rPr>
          <w:vertAlign w:val="superscript"/>
        </w:rPr>
        <w:t>me</w:t>
      </w:r>
      <w:r w:rsidR="00FA0070">
        <w:t xml:space="preserve"> X</w:t>
      </w:r>
      <w:r>
        <w:t xml:space="preserve"> dé</w:t>
      </w:r>
      <w:r w:rsidR="008E45A9">
        <w:t>bitrice de la somme de 1 721,90 </w:t>
      </w:r>
      <w:r>
        <w:t>€</w:t>
      </w:r>
      <w:r w:rsidR="00591BE2">
        <w:t>,</w:t>
      </w:r>
      <w:r>
        <w:t xml:space="preserve"> </w:t>
      </w:r>
      <w:r w:rsidR="00591BE2" w:rsidRPr="00591BE2">
        <w:t>augmentée des intérêts de droit calculés à compter du 12</w:t>
      </w:r>
      <w:r w:rsidR="00071EE9">
        <w:t xml:space="preserve"> </w:t>
      </w:r>
      <w:r w:rsidR="00591BE2" w:rsidRPr="00591BE2">
        <w:t>septembre</w:t>
      </w:r>
      <w:r w:rsidR="00071EE9">
        <w:t xml:space="preserve"> </w:t>
      </w:r>
      <w:r w:rsidR="00591BE2" w:rsidRPr="00591BE2">
        <w:t xml:space="preserve">2013, date de réception, par </w:t>
      </w:r>
      <w:r w:rsidR="00591BE2">
        <w:t>celle-ci</w:t>
      </w:r>
      <w:r w:rsidR="005546ED">
        <w:t>,</w:t>
      </w:r>
      <w:r w:rsidR="00591BE2" w:rsidRPr="00591BE2">
        <w:t xml:space="preserve"> du réquisitoire du procureur financier</w:t>
      </w:r>
      <w:r w:rsidR="00591BE2">
        <w:t xml:space="preserve">, </w:t>
      </w:r>
      <w:r>
        <w:t>pour avoir payé</w:t>
      </w:r>
      <w:r w:rsidR="00B16EEE">
        <w:t>, par mandat n°</w:t>
      </w:r>
      <w:r w:rsidR="001412BB">
        <w:t> </w:t>
      </w:r>
      <w:r w:rsidR="00B16EEE">
        <w:t>00138 du 8 décembre 2010,</w:t>
      </w:r>
      <w:r>
        <w:t xml:space="preserve"> un fonds de concours au profit de la communauté de communes de </w:t>
      </w:r>
      <w:proofErr w:type="spellStart"/>
      <w:r>
        <w:t>Courtomer</w:t>
      </w:r>
      <w:proofErr w:type="spellEnd"/>
      <w:r w:rsidR="00780A5D">
        <w:t>,</w:t>
      </w:r>
      <w:r>
        <w:t xml:space="preserve"> </w:t>
      </w:r>
      <w:r w:rsidR="008E45A9">
        <w:t>nonobstant</w:t>
      </w:r>
      <w:r w:rsidR="002F4BA5">
        <w:t xml:space="preserve"> l’absence </w:t>
      </w:r>
      <w:r>
        <w:t xml:space="preserve">d’une décision du conseil municipal de Tellières-le-Plessis autorisant la participation de la commune </w:t>
      </w:r>
      <w:r w:rsidR="002F4BA5">
        <w:t>au financement des</w:t>
      </w:r>
      <w:r>
        <w:t xml:space="preserve"> travaux d’aménagement d’un arrêt de bus réalisé sur son territoire par ladite communauté de communes ;</w:t>
      </w:r>
    </w:p>
    <w:p w:rsidR="007D3F3C" w:rsidRPr="008E45A9" w:rsidRDefault="007D3F3C" w:rsidP="00FC1556">
      <w:pPr>
        <w:spacing w:after="360"/>
        <w:ind w:left="1134" w:firstLine="567"/>
        <w:rPr>
          <w:b/>
        </w:rPr>
      </w:pPr>
      <w:r w:rsidRPr="008E45A9">
        <w:rPr>
          <w:b/>
          <w:i/>
        </w:rPr>
        <w:t>Sur le manquement</w:t>
      </w:r>
    </w:p>
    <w:p w:rsidR="00F92E95" w:rsidRDefault="00F92E95" w:rsidP="00FC1556">
      <w:pPr>
        <w:spacing w:after="360"/>
        <w:ind w:left="1134" w:firstLine="567"/>
      </w:pPr>
      <w:r>
        <w:t>Attendu qu’</w:t>
      </w:r>
      <w:r w:rsidR="00B3084B">
        <w:t>e</w:t>
      </w:r>
      <w:r>
        <w:t>n application de l’article 13 du</w:t>
      </w:r>
      <w:r w:rsidR="00B3084B">
        <w:t xml:space="preserve"> d</w:t>
      </w:r>
      <w:r>
        <w:t>écret du 29</w:t>
      </w:r>
      <w:r w:rsidR="00071EE9">
        <w:t xml:space="preserve"> </w:t>
      </w:r>
      <w:r>
        <w:t>décembre</w:t>
      </w:r>
      <w:r w:rsidR="00071EE9">
        <w:t xml:space="preserve"> </w:t>
      </w:r>
      <w:r>
        <w:t>1962</w:t>
      </w:r>
      <w:r w:rsidR="008E45A9">
        <w:t xml:space="preserve"> </w:t>
      </w:r>
      <w:r w:rsidR="007D3F3C">
        <w:t>susvisé</w:t>
      </w:r>
      <w:r>
        <w:t xml:space="preserve">, les comptables publics sont tenus d’exercer, en matière de dépenses, </w:t>
      </w:r>
      <w:r w:rsidR="00B16EEE">
        <w:t>le</w:t>
      </w:r>
      <w:r>
        <w:t xml:space="preserve"> contrôle de </w:t>
      </w:r>
      <w:r w:rsidR="00BD177E">
        <w:t xml:space="preserve">la </w:t>
      </w:r>
      <w:r>
        <w:t>validité de la créance, lequel porte notamment sur la production des pièces justificatives ;</w:t>
      </w:r>
    </w:p>
    <w:p w:rsidR="00B3084B" w:rsidRDefault="00B3084B" w:rsidP="008E45A9">
      <w:pPr>
        <w:pStyle w:val="Corpsdetexte"/>
        <w:spacing w:before="0" w:after="480"/>
        <w:ind w:left="1134" w:firstLine="567"/>
      </w:pPr>
      <w:r>
        <w:t xml:space="preserve">Attendu qu’en vertu </w:t>
      </w:r>
      <w:r w:rsidR="008E45A9">
        <w:t>de la sous-rubrique 76 de l’annexe I au code général des collectivités territoriales</w:t>
      </w:r>
      <w:r>
        <w:t xml:space="preserve">, le versement d’un fonds de concours par une collectivité se justifie par la production des </w:t>
      </w:r>
      <w:r w:rsidR="005546ED">
        <w:t xml:space="preserve">trois </w:t>
      </w:r>
      <w:r>
        <w:t>pièces suivantes : 1) « </w:t>
      </w:r>
      <w:r w:rsidRPr="007D3F3C">
        <w:rPr>
          <w:i/>
        </w:rPr>
        <w:t>décision fixant les conditions d'engagement de la collectivité</w:t>
      </w:r>
      <w:r>
        <w:t> »</w:t>
      </w:r>
      <w:r w:rsidR="00071EE9">
        <w:t> </w:t>
      </w:r>
      <w:r>
        <w:t>; 2) « </w:t>
      </w:r>
      <w:r w:rsidRPr="007D3F3C">
        <w:rPr>
          <w:i/>
        </w:rPr>
        <w:t>le cas échéant, convention ou délibérations concordantes des autres collectivités concernées</w:t>
      </w:r>
      <w:r>
        <w:t> »</w:t>
      </w:r>
      <w:r w:rsidR="00071EE9">
        <w:t> </w:t>
      </w:r>
      <w:r>
        <w:t>; 3) « </w:t>
      </w:r>
      <w:r w:rsidRPr="007D3F3C">
        <w:rPr>
          <w:i/>
        </w:rPr>
        <w:t>titre de perception ou état visé pour valoir titre de perc</w:t>
      </w:r>
      <w:r w:rsidR="00071EE9">
        <w:rPr>
          <w:i/>
        </w:rPr>
        <w:t>eption émis par la collectivité</w:t>
      </w:r>
      <w:r w:rsidRPr="007D3F3C">
        <w:rPr>
          <w:i/>
        </w:rPr>
        <w:t xml:space="preserve"> gérant le fonds de concours</w:t>
      </w:r>
      <w:r>
        <w:t> » ;</w:t>
      </w:r>
    </w:p>
    <w:p w:rsidR="002F4BA5" w:rsidRDefault="002F4BA5" w:rsidP="008E45A9">
      <w:pPr>
        <w:pStyle w:val="Corpsdetexte"/>
        <w:spacing w:before="0" w:after="480"/>
        <w:ind w:left="1134" w:firstLine="567"/>
      </w:pPr>
      <w:r w:rsidRPr="002F4BA5">
        <w:t>Attendu que la requérante conteste tout manquement de sa part</w:t>
      </w:r>
      <w:r w:rsidR="005552A1">
        <w:t> ; qu’elle</w:t>
      </w:r>
      <w:r>
        <w:t xml:space="preserve"> fait valoir en premier lieu que</w:t>
      </w:r>
      <w:r w:rsidRPr="002F4BA5">
        <w:t>, selon elle, la réalisation de l’arrêt de bus s’inscrivait dans l’opération d’aménagement du bourg au titre</w:t>
      </w:r>
      <w:r w:rsidR="005552A1">
        <w:t xml:space="preserve"> de laquelle un crédit de 9 469 </w:t>
      </w:r>
      <w:r w:rsidRPr="002F4BA5">
        <w:t>€ avait été voté au budget</w:t>
      </w:r>
      <w:r w:rsidR="00071EE9">
        <w:t xml:space="preserve"> </w:t>
      </w:r>
      <w:r w:rsidRPr="002F4BA5">
        <w:t>2010 de la commune au compte 204</w:t>
      </w:r>
      <w:r w:rsidR="00071EE9">
        <w:t> </w:t>
      </w:r>
      <w:r w:rsidRPr="002F4BA5">
        <w:t xml:space="preserve">; </w:t>
      </w:r>
      <w:r w:rsidR="005552A1" w:rsidRPr="005552A1">
        <w:t>qu’elle invoque le fait que le vote du budget communal se fait au chapitre et non par opération</w:t>
      </w:r>
      <w:r w:rsidR="005552A1">
        <w:t xml:space="preserve"> ; </w:t>
      </w:r>
      <w:r w:rsidRPr="002F4BA5">
        <w:t xml:space="preserve">qu’elle en conclut que la volonté de la commune de financer l’opération en cause n’apparaît pas douteuse et que la production d’une délibération spécifique aurait été superflue ; </w:t>
      </w:r>
    </w:p>
    <w:p w:rsidR="00B3084B" w:rsidRDefault="007D3F3C" w:rsidP="008E45A9">
      <w:pPr>
        <w:pStyle w:val="Corpsdetexte"/>
        <w:spacing w:before="0" w:after="480"/>
        <w:ind w:left="1134" w:firstLine="567"/>
      </w:pPr>
      <w:r>
        <w:t>Attendu</w:t>
      </w:r>
      <w:r w:rsidR="00B3084B">
        <w:t xml:space="preserve"> que le budget communal pour l’exercice 2010 n'est accompagné d'aucune annexe détaillant la somme de 9</w:t>
      </w:r>
      <w:r w:rsidR="00FC1556">
        <w:t> </w:t>
      </w:r>
      <w:r w:rsidR="00B3084B">
        <w:t>469</w:t>
      </w:r>
      <w:r w:rsidR="00FC1556">
        <w:t> </w:t>
      </w:r>
      <w:r w:rsidR="00B3084B">
        <w:t xml:space="preserve">€ votée pour le compte 204 </w:t>
      </w:r>
      <w:r w:rsidR="009B20F4">
        <w:t>–</w:t>
      </w:r>
      <w:r w:rsidR="00B3084B">
        <w:t xml:space="preserve"> </w:t>
      </w:r>
      <w:r w:rsidR="00B3084B">
        <w:lastRenderedPageBreak/>
        <w:t>Subventions d'équipement versées ; que le vote de ce chapitre ne peut donc pas être considéré comme une autorisation expresse du conseil municipal de verser un fonds de concours à la communauté de communes pour l'aménagement d'un arrêt de bus ;</w:t>
      </w:r>
      <w:r>
        <w:t xml:space="preserve"> qu</w:t>
      </w:r>
      <w:r w:rsidR="005552A1">
        <w:t>e ce moyen de la requérante manque donc en fait et qu’</w:t>
      </w:r>
      <w:r>
        <w:t>il y a lieu d</w:t>
      </w:r>
      <w:r w:rsidR="005552A1">
        <w:t>e l</w:t>
      </w:r>
      <w:r>
        <w:t xml:space="preserve">’écarter ; </w:t>
      </w:r>
    </w:p>
    <w:p w:rsidR="00B3084B" w:rsidRDefault="007D3F3C" w:rsidP="008E45A9">
      <w:pPr>
        <w:pStyle w:val="Corpsdetexte"/>
        <w:spacing w:before="0" w:after="480"/>
        <w:ind w:left="1134" w:firstLine="567"/>
      </w:pPr>
      <w:r>
        <w:t>Attendu</w:t>
      </w:r>
      <w:r w:rsidR="00B3084B">
        <w:t xml:space="preserve"> que </w:t>
      </w:r>
      <w:r w:rsidR="001412BB">
        <w:t xml:space="preserve">la requérante fait valoir </w:t>
      </w:r>
      <w:r w:rsidR="005374F0">
        <w:t xml:space="preserve">en deuxième lieu </w:t>
      </w:r>
      <w:r w:rsidR="00B3084B">
        <w:t>que, par délibération du 29</w:t>
      </w:r>
      <w:r w:rsidR="009B20F4">
        <w:t xml:space="preserve"> </w:t>
      </w:r>
      <w:r w:rsidR="00B3084B">
        <w:t>novembre</w:t>
      </w:r>
      <w:r w:rsidR="009B20F4">
        <w:t xml:space="preserve"> </w:t>
      </w:r>
      <w:r w:rsidR="00B3084B">
        <w:t>2</w:t>
      </w:r>
      <w:r w:rsidR="00BF32ED">
        <w:t>009, le conseil municipal a</w:t>
      </w:r>
      <w:r w:rsidR="00B3084B">
        <w:t xml:space="preserve"> autorisé la participation financière de la commune à des opérations d’effacement de réseaux électriques et de France Télécom</w:t>
      </w:r>
      <w:r w:rsidR="001412BB">
        <w:t xml:space="preserve"> ; que ce moyen </w:t>
      </w:r>
      <w:r w:rsidR="00B3084B">
        <w:t xml:space="preserve">est inopérant au regard du manquement imputé à </w:t>
      </w:r>
      <w:r w:rsidR="00FA0070">
        <w:t>M</w:t>
      </w:r>
      <w:r w:rsidR="00FA0070" w:rsidRPr="009B20F4">
        <w:rPr>
          <w:vertAlign w:val="superscript"/>
        </w:rPr>
        <w:t>me</w:t>
      </w:r>
      <w:r w:rsidR="00FA0070">
        <w:t xml:space="preserve"> X</w:t>
      </w:r>
      <w:r w:rsidR="00B3084B">
        <w:t xml:space="preserve"> qui concerne le paiement d</w:t>
      </w:r>
      <w:r w:rsidR="001412BB">
        <w:t>’un</w:t>
      </w:r>
      <w:r w:rsidR="00B3084B">
        <w:t xml:space="preserve"> fonds de concours relatif à une autre opération d’équi</w:t>
      </w:r>
      <w:r w:rsidR="00B84AF4">
        <w:t xml:space="preserve">pement ; </w:t>
      </w:r>
    </w:p>
    <w:p w:rsidR="00B3084B" w:rsidRDefault="007D3F3C" w:rsidP="008E45A9">
      <w:pPr>
        <w:pStyle w:val="Corpsdetexte"/>
        <w:spacing w:before="0" w:after="480"/>
        <w:ind w:left="1134" w:firstLine="567"/>
      </w:pPr>
      <w:r>
        <w:t>Attendu</w:t>
      </w:r>
      <w:r w:rsidR="00B3084B">
        <w:t xml:space="preserve"> que </w:t>
      </w:r>
      <w:r>
        <w:t>la requérante fait valoir</w:t>
      </w:r>
      <w:r w:rsidR="001412BB">
        <w:t xml:space="preserve"> </w:t>
      </w:r>
      <w:r w:rsidR="005374F0">
        <w:t xml:space="preserve">en troisième lieu </w:t>
      </w:r>
      <w:r w:rsidR="00B3084B">
        <w:t>que la somme payée au titre du fonds de concours</w:t>
      </w:r>
      <w:r w:rsidR="0079706C">
        <w:t>,</w:t>
      </w:r>
      <w:r w:rsidR="00B3084B">
        <w:t xml:space="preserve"> soit 1</w:t>
      </w:r>
      <w:r w:rsidR="00B16EEE">
        <w:t> 721,90</w:t>
      </w:r>
      <w:r w:rsidR="00FC1556">
        <w:t> </w:t>
      </w:r>
      <w:r w:rsidR="00B16EEE">
        <w:t>€, était inférieure au seuil de 4</w:t>
      </w:r>
      <w:r w:rsidR="00C86394">
        <w:t> </w:t>
      </w:r>
      <w:r w:rsidR="00B16EEE">
        <w:t>000</w:t>
      </w:r>
      <w:r w:rsidR="00C86394">
        <w:t> </w:t>
      </w:r>
      <w:r w:rsidR="00B16EEE">
        <w:t>€ en dessous duquel un marché peut être oral</w:t>
      </w:r>
      <w:r w:rsidR="001412BB">
        <w:t> ; que ce moyen</w:t>
      </w:r>
      <w:r w:rsidR="00B16EEE">
        <w:t xml:space="preserve"> est également inopérant dès lors que le manquement </w:t>
      </w:r>
      <w:r w:rsidR="001412BB">
        <w:t xml:space="preserve">n’est pas motivé par </w:t>
      </w:r>
      <w:r w:rsidR="00B16EEE">
        <w:t xml:space="preserve">l’absence d’un marché écrit mais </w:t>
      </w:r>
      <w:r w:rsidR="005552A1">
        <w:t xml:space="preserve">sur </w:t>
      </w:r>
      <w:r w:rsidR="005552A1" w:rsidRPr="005552A1">
        <w:t>l’absence d</w:t>
      </w:r>
      <w:r w:rsidR="005552A1">
        <w:t>e</w:t>
      </w:r>
      <w:r w:rsidR="005552A1" w:rsidRPr="005552A1">
        <w:t xml:space="preserve"> décision du conseil municipal </w:t>
      </w:r>
      <w:r w:rsidR="001412BB">
        <w:t>prévue par la réglementation à l’appui d</w:t>
      </w:r>
      <w:r w:rsidR="00053E17">
        <w:t>’un</w:t>
      </w:r>
      <w:r w:rsidR="001412BB">
        <w:t xml:space="preserve"> mandat de</w:t>
      </w:r>
      <w:r w:rsidR="00B16EEE">
        <w:t xml:space="preserve"> versement d</w:t>
      </w:r>
      <w:r w:rsidR="001813B9">
        <w:t>e</w:t>
      </w:r>
      <w:r w:rsidR="00B16EEE">
        <w:t xml:space="preserve"> fonds de concours ;</w:t>
      </w:r>
    </w:p>
    <w:p w:rsidR="00B16EEE" w:rsidRDefault="007D3F3C" w:rsidP="008E45A9">
      <w:pPr>
        <w:pStyle w:val="Corpsdetexte"/>
        <w:spacing w:before="0" w:after="480"/>
        <w:ind w:left="1134" w:firstLine="567"/>
      </w:pPr>
      <w:r>
        <w:t>Attendu</w:t>
      </w:r>
      <w:r w:rsidR="00B16EEE">
        <w:t xml:space="preserve"> </w:t>
      </w:r>
      <w:r w:rsidR="005552A1">
        <w:t>qu’</w:t>
      </w:r>
      <w:r w:rsidR="00B16EEE">
        <w:t>ainsi</w:t>
      </w:r>
      <w:r w:rsidR="005374F0">
        <w:t xml:space="preserve"> </w:t>
      </w:r>
      <w:r w:rsidR="00B16EEE">
        <w:t xml:space="preserve">aucun des documents </w:t>
      </w:r>
      <w:r w:rsidR="001412BB">
        <w:t>produits</w:t>
      </w:r>
      <w:r w:rsidR="00053E17">
        <w:t xml:space="preserve"> </w:t>
      </w:r>
      <w:r w:rsidR="005552A1">
        <w:t xml:space="preserve">par la requérante </w:t>
      </w:r>
      <w:r w:rsidR="00B16EEE">
        <w:t xml:space="preserve">à l’appui de son appel, ne démontre la volonté, expresse ou implicite, </w:t>
      </w:r>
      <w:r w:rsidR="0079706C">
        <w:t xml:space="preserve">du conseil municipal de Tellières-le-Plessis, </w:t>
      </w:r>
      <w:r w:rsidR="00B16EEE">
        <w:t>au moment du paiement du mandat n°</w:t>
      </w:r>
      <w:r w:rsidR="001412BB">
        <w:t> </w:t>
      </w:r>
      <w:r w:rsidR="00B16EEE">
        <w:t xml:space="preserve">00138, de </w:t>
      </w:r>
      <w:r w:rsidR="005552A1">
        <w:t xml:space="preserve">verser </w:t>
      </w:r>
      <w:r w:rsidR="00B16EEE">
        <w:t xml:space="preserve"> </w:t>
      </w:r>
      <w:r w:rsidR="005552A1">
        <w:t xml:space="preserve">un </w:t>
      </w:r>
      <w:r w:rsidR="00B16EEE">
        <w:t>fonds de concours</w:t>
      </w:r>
      <w:r w:rsidR="005552A1" w:rsidRPr="005552A1">
        <w:t xml:space="preserve"> </w:t>
      </w:r>
      <w:r w:rsidR="005552A1">
        <w:t xml:space="preserve">à </w:t>
      </w:r>
      <w:r w:rsidR="005552A1" w:rsidRPr="005552A1">
        <w:t>la communauté de communes</w:t>
      </w:r>
      <w:r w:rsidR="005552A1">
        <w:t xml:space="preserve"> pour participer </w:t>
      </w:r>
      <w:r w:rsidR="00162702">
        <w:t>au financement de</w:t>
      </w:r>
      <w:r w:rsidR="00B16EEE">
        <w:t xml:space="preserve"> l’aménagement d</w:t>
      </w:r>
      <w:r w:rsidR="005552A1">
        <w:t xml:space="preserve">’un </w:t>
      </w:r>
      <w:r w:rsidR="00B16EEE">
        <w:t>arrêt de bus ;</w:t>
      </w:r>
    </w:p>
    <w:p w:rsidR="00B16EEE" w:rsidRDefault="007D3F3C" w:rsidP="008E45A9">
      <w:pPr>
        <w:pStyle w:val="Corpsdetexte"/>
        <w:spacing w:before="0" w:after="480"/>
        <w:ind w:left="1134" w:firstLine="567"/>
      </w:pPr>
      <w:r>
        <w:t>Attendu</w:t>
      </w:r>
      <w:r w:rsidR="00B16EEE">
        <w:t xml:space="preserve"> que les circonstances liées à la surcharge de travail du poste comptable en fin d’exercice ne sont pas constitutives d’un cas de force majeure, qui, en application du premier alinéa du V de l’article 60 de la loi du 23</w:t>
      </w:r>
      <w:r w:rsidR="009B20F4">
        <w:t xml:space="preserve"> </w:t>
      </w:r>
      <w:r w:rsidR="00B16EEE">
        <w:t xml:space="preserve">février 1963 </w:t>
      </w:r>
      <w:r w:rsidR="00591BE2">
        <w:t>susvisée</w:t>
      </w:r>
      <w:r w:rsidR="005546ED">
        <w:t>,</w:t>
      </w:r>
      <w:r w:rsidR="00591BE2">
        <w:t xml:space="preserve"> </w:t>
      </w:r>
      <w:r w:rsidR="001813B9">
        <w:t xml:space="preserve">aurait </w:t>
      </w:r>
      <w:r w:rsidR="005546ED">
        <w:t xml:space="preserve">justifié </w:t>
      </w:r>
      <w:r w:rsidR="00B16EEE">
        <w:t>de ne pas mettre en jeu la responsabilité personnelle et pécuniaire d</w:t>
      </w:r>
      <w:r w:rsidR="001813B9">
        <w:t xml:space="preserve">e </w:t>
      </w:r>
      <w:r w:rsidR="00FA0070">
        <w:t>M</w:t>
      </w:r>
      <w:r w:rsidR="00FA0070" w:rsidRPr="009B20F4">
        <w:rPr>
          <w:vertAlign w:val="superscript"/>
        </w:rPr>
        <w:t>me</w:t>
      </w:r>
      <w:r w:rsidR="00FA0070">
        <w:t xml:space="preserve"> X</w:t>
      </w:r>
      <w:r w:rsidR="009B20F4">
        <w:t> </w:t>
      </w:r>
      <w:r w:rsidR="00B16EEE">
        <w:t>;</w:t>
      </w:r>
    </w:p>
    <w:p w:rsidR="00B16EEE" w:rsidRDefault="007D3F3C" w:rsidP="008E45A9">
      <w:pPr>
        <w:pStyle w:val="Corpsdetexte"/>
        <w:spacing w:before="0" w:after="480"/>
        <w:ind w:left="1134" w:firstLine="567"/>
      </w:pPr>
      <w:r>
        <w:t>Attendu</w:t>
      </w:r>
      <w:r w:rsidR="00B16EEE">
        <w:t xml:space="preserve"> ainsi que c’est à bon droit que la chambre </w:t>
      </w:r>
      <w:r w:rsidR="0079706C">
        <w:t>régionale des comptes a engagé l</w:t>
      </w:r>
      <w:r w:rsidR="00B16EEE">
        <w:t xml:space="preserve">a responsabilité personnelle et pécuniaire </w:t>
      </w:r>
      <w:r w:rsidR="0079706C">
        <w:t xml:space="preserve">de </w:t>
      </w:r>
      <w:r w:rsidR="00FA0070">
        <w:t>M</w:t>
      </w:r>
      <w:r w:rsidR="00FA0070" w:rsidRPr="009B20F4">
        <w:rPr>
          <w:vertAlign w:val="superscript"/>
        </w:rPr>
        <w:t>me</w:t>
      </w:r>
      <w:r w:rsidR="00FA0070">
        <w:t xml:space="preserve"> X</w:t>
      </w:r>
      <w:r w:rsidR="001813B9">
        <w:t>,</w:t>
      </w:r>
      <w:r w:rsidR="0079706C">
        <w:t xml:space="preserve"> </w:t>
      </w:r>
      <w:r w:rsidR="001412BB">
        <w:t xml:space="preserve">en </w:t>
      </w:r>
      <w:r w:rsidR="001813B9">
        <w:t>application</w:t>
      </w:r>
      <w:r w:rsidR="001412BB">
        <w:t xml:space="preserve"> </w:t>
      </w:r>
      <w:r w:rsidR="00B16EEE">
        <w:t xml:space="preserve">des dispositions </w:t>
      </w:r>
      <w:r w:rsidR="001412BB">
        <w:t xml:space="preserve">du VI </w:t>
      </w:r>
      <w:r w:rsidR="00B16EEE">
        <w:t>de l’article 60-1 de la loi du 23</w:t>
      </w:r>
      <w:r w:rsidR="009B20F4">
        <w:t xml:space="preserve"> </w:t>
      </w:r>
      <w:r w:rsidR="00B16EEE">
        <w:t>février</w:t>
      </w:r>
      <w:r w:rsidR="009B20F4">
        <w:t xml:space="preserve"> </w:t>
      </w:r>
      <w:r w:rsidR="00B16EEE">
        <w:t>1963</w:t>
      </w:r>
      <w:r w:rsidR="001813B9">
        <w:t>,</w:t>
      </w:r>
      <w:r w:rsidR="00B16EEE">
        <w:t xml:space="preserve"> </w:t>
      </w:r>
      <w:r w:rsidR="001412BB">
        <w:t xml:space="preserve">pour avoir </w:t>
      </w:r>
      <w:r w:rsidR="005374F0">
        <w:t xml:space="preserve">manqué à ses obligations de contrôle en </w:t>
      </w:r>
      <w:r w:rsidR="001412BB">
        <w:t>pay</w:t>
      </w:r>
      <w:r w:rsidR="005374F0">
        <w:t>ant</w:t>
      </w:r>
      <w:r w:rsidR="001412BB">
        <w:t xml:space="preserve"> le </w:t>
      </w:r>
      <w:r w:rsidR="00B16EEE">
        <w:t>mandat n°</w:t>
      </w:r>
      <w:r w:rsidR="001412BB">
        <w:t> </w:t>
      </w:r>
      <w:r w:rsidR="00B16EEE">
        <w:t xml:space="preserve">00138 </w:t>
      </w:r>
      <w:r w:rsidR="00591BE2">
        <w:t>de 1 </w:t>
      </w:r>
      <w:r w:rsidR="001412BB" w:rsidRPr="001412BB">
        <w:t>721,90</w:t>
      </w:r>
      <w:r w:rsidR="001813B9">
        <w:t> </w:t>
      </w:r>
      <w:r w:rsidR="001412BB" w:rsidRPr="001412BB">
        <w:t xml:space="preserve">€ </w:t>
      </w:r>
      <w:r w:rsidR="001813B9">
        <w:t xml:space="preserve">en l’absence d’une des trois pièces justificatives prévues par la </w:t>
      </w:r>
      <w:r w:rsidR="005546ED">
        <w:t>réglementation</w:t>
      </w:r>
      <w:r w:rsidR="00B16EEE">
        <w:t> ;</w:t>
      </w:r>
    </w:p>
    <w:p w:rsidR="00C86394" w:rsidRDefault="00C86394">
      <w:pPr>
        <w:spacing w:after="200" w:line="276" w:lineRule="auto"/>
        <w:ind w:firstLine="0"/>
        <w:jc w:val="left"/>
        <w:rPr>
          <w:b/>
          <w:i/>
        </w:rPr>
      </w:pPr>
      <w:r>
        <w:rPr>
          <w:b/>
          <w:i/>
        </w:rPr>
        <w:br w:type="page"/>
      </w:r>
    </w:p>
    <w:p w:rsidR="00037E85" w:rsidRPr="001813B9" w:rsidRDefault="00037E85" w:rsidP="008E45A9">
      <w:pPr>
        <w:spacing w:after="480"/>
        <w:ind w:left="1134" w:firstLine="567"/>
        <w:rPr>
          <w:b/>
          <w:i/>
        </w:rPr>
      </w:pPr>
      <w:r w:rsidRPr="001813B9">
        <w:rPr>
          <w:b/>
          <w:i/>
        </w:rPr>
        <w:lastRenderedPageBreak/>
        <w:t>Sur l</w:t>
      </w:r>
      <w:r w:rsidR="001813B9">
        <w:rPr>
          <w:b/>
          <w:i/>
        </w:rPr>
        <w:t>e</w:t>
      </w:r>
      <w:r w:rsidRPr="001813B9">
        <w:rPr>
          <w:b/>
          <w:i/>
        </w:rPr>
        <w:t xml:space="preserve"> préjudice financier</w:t>
      </w:r>
    </w:p>
    <w:p w:rsidR="0010584B" w:rsidRDefault="00774F44" w:rsidP="008E45A9">
      <w:pPr>
        <w:spacing w:after="480"/>
        <w:ind w:left="1134" w:firstLine="567"/>
        <w:rPr>
          <w:rStyle w:val="Accentuation"/>
          <w:i w:val="0"/>
        </w:rPr>
      </w:pPr>
      <w:r>
        <w:rPr>
          <w:rStyle w:val="Accentuation"/>
          <w:i w:val="0"/>
        </w:rPr>
        <w:t>Attendu que</w:t>
      </w:r>
      <w:r w:rsidR="00CC5CBA">
        <w:rPr>
          <w:rStyle w:val="Accentuation"/>
          <w:i w:val="0"/>
        </w:rPr>
        <w:t>,</w:t>
      </w:r>
      <w:r>
        <w:rPr>
          <w:rStyle w:val="Accentuation"/>
          <w:i w:val="0"/>
        </w:rPr>
        <w:t xml:space="preserve"> </w:t>
      </w:r>
      <w:r w:rsidR="00CC5CBA">
        <w:rPr>
          <w:rStyle w:val="Accentuation"/>
          <w:i w:val="0"/>
        </w:rPr>
        <w:t xml:space="preserve">selon le jugement, </w:t>
      </w:r>
      <w:r w:rsidR="00162702">
        <w:rPr>
          <w:rStyle w:val="Accentuation"/>
          <w:i w:val="0"/>
        </w:rPr>
        <w:t xml:space="preserve">le </w:t>
      </w:r>
      <w:r>
        <w:rPr>
          <w:rStyle w:val="Accentuation"/>
          <w:i w:val="0"/>
        </w:rPr>
        <w:t xml:space="preserve">manquement </w:t>
      </w:r>
      <w:r w:rsidR="00162702">
        <w:rPr>
          <w:rStyle w:val="Accentuation"/>
          <w:i w:val="0"/>
        </w:rPr>
        <w:t>d</w:t>
      </w:r>
      <w:r w:rsidR="00CC5CBA">
        <w:rPr>
          <w:rStyle w:val="Accentuation"/>
          <w:i w:val="0"/>
        </w:rPr>
        <w:t>e la</w:t>
      </w:r>
      <w:r w:rsidR="00162702">
        <w:rPr>
          <w:rStyle w:val="Accentuation"/>
          <w:i w:val="0"/>
        </w:rPr>
        <w:t xml:space="preserve"> comptable a </w:t>
      </w:r>
      <w:r>
        <w:rPr>
          <w:rStyle w:val="Accentuation"/>
          <w:i w:val="0"/>
        </w:rPr>
        <w:t xml:space="preserve">entraîné un appauvrissement patrimonial non recherché par </w:t>
      </w:r>
      <w:r w:rsidR="00162702">
        <w:rPr>
          <w:rStyle w:val="Accentuation"/>
          <w:i w:val="0"/>
        </w:rPr>
        <w:t>le conseil municipal</w:t>
      </w:r>
      <w:r w:rsidR="00053E17">
        <w:rPr>
          <w:rStyle w:val="Accentuation"/>
          <w:i w:val="0"/>
        </w:rPr>
        <w:t xml:space="preserve">, </w:t>
      </w:r>
      <w:r>
        <w:rPr>
          <w:rStyle w:val="Accentuation"/>
          <w:i w:val="0"/>
        </w:rPr>
        <w:t>constitutif d’un préjudice financier pour la commune ; qu</w:t>
      </w:r>
      <w:r w:rsidR="00162702">
        <w:rPr>
          <w:rStyle w:val="Accentuation"/>
          <w:i w:val="0"/>
        </w:rPr>
        <w:t xml:space="preserve">e, par conséquent, il </w:t>
      </w:r>
      <w:r w:rsidR="001813B9">
        <w:rPr>
          <w:rStyle w:val="Accentuation"/>
          <w:i w:val="0"/>
        </w:rPr>
        <w:t>l’</w:t>
      </w:r>
      <w:r>
        <w:rPr>
          <w:rStyle w:val="Accentuation"/>
          <w:i w:val="0"/>
        </w:rPr>
        <w:t>a constitué débitrice de la commune de la somme de 1 721,90</w:t>
      </w:r>
      <w:r w:rsidR="00C86394">
        <w:rPr>
          <w:rStyle w:val="Accentuation"/>
          <w:i w:val="0"/>
        </w:rPr>
        <w:t> </w:t>
      </w:r>
      <w:r>
        <w:rPr>
          <w:rStyle w:val="Accentuation"/>
          <w:i w:val="0"/>
        </w:rPr>
        <w:t>€ ;</w:t>
      </w:r>
    </w:p>
    <w:p w:rsidR="005374F0" w:rsidRDefault="00774F44" w:rsidP="008E45A9">
      <w:pPr>
        <w:spacing w:after="480"/>
        <w:ind w:left="1134" w:firstLine="567"/>
        <w:rPr>
          <w:rStyle w:val="Accentuation"/>
          <w:i w:val="0"/>
        </w:rPr>
      </w:pPr>
      <w:r>
        <w:rPr>
          <w:rStyle w:val="Accentuation"/>
          <w:i w:val="0"/>
        </w:rPr>
        <w:t>Attendu que, pour contester l’existence d’un préjudice financier subi par la commune du fait d</w:t>
      </w:r>
      <w:r w:rsidR="001813B9">
        <w:rPr>
          <w:rStyle w:val="Accentuation"/>
          <w:i w:val="0"/>
        </w:rPr>
        <w:t>e son m</w:t>
      </w:r>
      <w:r>
        <w:rPr>
          <w:rStyle w:val="Accentuation"/>
          <w:i w:val="0"/>
        </w:rPr>
        <w:t xml:space="preserve">anquement, </w:t>
      </w:r>
      <w:r w:rsidR="00FA0070">
        <w:rPr>
          <w:rStyle w:val="Accentuation"/>
          <w:i w:val="0"/>
        </w:rPr>
        <w:t>M</w:t>
      </w:r>
      <w:r w:rsidR="00FA0070" w:rsidRPr="009B20F4">
        <w:rPr>
          <w:rStyle w:val="Accentuation"/>
          <w:i w:val="0"/>
          <w:vertAlign w:val="superscript"/>
        </w:rPr>
        <w:t>me</w:t>
      </w:r>
      <w:r w:rsidR="00FA0070">
        <w:rPr>
          <w:rStyle w:val="Accentuation"/>
          <w:i w:val="0"/>
        </w:rPr>
        <w:t xml:space="preserve"> X</w:t>
      </w:r>
      <w:r>
        <w:rPr>
          <w:rStyle w:val="Accentuation"/>
          <w:i w:val="0"/>
        </w:rPr>
        <w:t xml:space="preserve"> invoque la certification du service fait par le maire de la commune et l’absence de contestation de la réalité de ce service fait lors de l’instruction par la chambre régionale des comptes ; </w:t>
      </w:r>
    </w:p>
    <w:p w:rsidR="005374F0" w:rsidRDefault="005374F0" w:rsidP="008E45A9">
      <w:pPr>
        <w:spacing w:after="480"/>
        <w:ind w:left="1134" w:firstLine="567"/>
        <w:rPr>
          <w:rStyle w:val="Accentuation"/>
          <w:i w:val="0"/>
        </w:rPr>
      </w:pPr>
      <w:r w:rsidRPr="005374F0">
        <w:rPr>
          <w:rStyle w:val="Accentuation"/>
          <w:i w:val="0"/>
        </w:rPr>
        <w:t xml:space="preserve">Attendu que l’attestation de service fait </w:t>
      </w:r>
      <w:r w:rsidR="001813B9">
        <w:rPr>
          <w:rStyle w:val="Accentuation"/>
          <w:i w:val="0"/>
        </w:rPr>
        <w:t>par</w:t>
      </w:r>
      <w:r w:rsidRPr="005374F0">
        <w:rPr>
          <w:rStyle w:val="Accentuation"/>
          <w:i w:val="0"/>
        </w:rPr>
        <w:t xml:space="preserve"> l’ordonnateur ne suffit pas à retirer au paiement litigieux son caractère indu</w:t>
      </w:r>
      <w:r w:rsidR="009B20F4">
        <w:rPr>
          <w:rStyle w:val="Accentuation"/>
          <w:i w:val="0"/>
        </w:rPr>
        <w:t> </w:t>
      </w:r>
      <w:r w:rsidRPr="005374F0">
        <w:rPr>
          <w:rStyle w:val="Accentuation"/>
          <w:i w:val="0"/>
        </w:rPr>
        <w:t>; qu’il y a lieu d’écarter ce moyen de l’appelante</w:t>
      </w:r>
      <w:r w:rsidR="009B20F4">
        <w:rPr>
          <w:rStyle w:val="Accentuation"/>
          <w:i w:val="0"/>
        </w:rPr>
        <w:t> ;</w:t>
      </w:r>
    </w:p>
    <w:p w:rsidR="00CC5CBA" w:rsidRDefault="00CC5CBA" w:rsidP="008E45A9">
      <w:pPr>
        <w:spacing w:after="480"/>
        <w:ind w:left="1134" w:firstLine="567"/>
        <w:rPr>
          <w:rStyle w:val="Accentuation"/>
          <w:i w:val="0"/>
        </w:rPr>
      </w:pPr>
      <w:r>
        <w:rPr>
          <w:rStyle w:val="Accentuation"/>
          <w:i w:val="0"/>
        </w:rPr>
        <w:t>Attendu que</w:t>
      </w:r>
      <w:r w:rsidRPr="00CC5CBA">
        <w:t xml:space="preserve"> </w:t>
      </w:r>
      <w:r w:rsidRPr="00CC5CBA">
        <w:rPr>
          <w:rStyle w:val="Accentuation"/>
          <w:i w:val="0"/>
        </w:rPr>
        <w:t>la requérante</w:t>
      </w:r>
      <w:r>
        <w:rPr>
          <w:rStyle w:val="Accentuation"/>
          <w:i w:val="0"/>
        </w:rPr>
        <w:t xml:space="preserve"> invoque aussi l’indication donnée par le maire pendant l’instruction devant la chambre régionale que sa commune n’avait pas subi de préjudice financier ;</w:t>
      </w:r>
    </w:p>
    <w:p w:rsidR="001813B9" w:rsidRDefault="00CC5CBA" w:rsidP="008E45A9">
      <w:pPr>
        <w:spacing w:after="480"/>
        <w:ind w:left="1134" w:firstLine="567"/>
        <w:rPr>
          <w:rStyle w:val="Accentuation"/>
          <w:i w:val="0"/>
        </w:rPr>
      </w:pPr>
      <w:r w:rsidRPr="00CC5CBA">
        <w:rPr>
          <w:rStyle w:val="Accentuation"/>
          <w:i w:val="0"/>
        </w:rPr>
        <w:t>Attendu qu’il résulte des dispositions du VI de l’article 60-1 de la loi du 23</w:t>
      </w:r>
      <w:r w:rsidR="00C86394">
        <w:rPr>
          <w:rStyle w:val="Accentuation"/>
          <w:i w:val="0"/>
        </w:rPr>
        <w:t> </w:t>
      </w:r>
      <w:r w:rsidRPr="00CC5CBA">
        <w:rPr>
          <w:rStyle w:val="Accentuation"/>
          <w:i w:val="0"/>
        </w:rPr>
        <w:t>février</w:t>
      </w:r>
      <w:r w:rsidR="00C86394">
        <w:rPr>
          <w:rStyle w:val="Accentuation"/>
          <w:i w:val="0"/>
        </w:rPr>
        <w:t> </w:t>
      </w:r>
      <w:r w:rsidRPr="00CC5CBA">
        <w:rPr>
          <w:rStyle w:val="Accentuation"/>
          <w:i w:val="0"/>
        </w:rPr>
        <w:t>1963 que lorsque l’instance est ouverte devant le juge des comptes, le constat de l’existence ou non d’un préjudice financier relève de l’appréciation de ce juge</w:t>
      </w:r>
      <w:r w:rsidR="009B20F4">
        <w:rPr>
          <w:rStyle w:val="Accentuation"/>
          <w:i w:val="0"/>
        </w:rPr>
        <w:t> </w:t>
      </w:r>
      <w:r w:rsidRPr="00CC5CBA">
        <w:rPr>
          <w:rStyle w:val="Accentuation"/>
          <w:i w:val="0"/>
        </w:rPr>
        <w:t xml:space="preserve">; que, si au regard du caractère contradictoire de la procédure, ledit juge doit tenir compte, pour cette appréciation, des dires et actes éventuels de la collectivité qui figurent au dossier, il n’est pas lié par une déclaration de l’organe délibérant </w:t>
      </w:r>
      <w:r>
        <w:rPr>
          <w:rStyle w:val="Accentuation"/>
          <w:i w:val="0"/>
        </w:rPr>
        <w:t xml:space="preserve">ou de l’ordonnateur </w:t>
      </w:r>
      <w:r w:rsidRPr="00CC5CBA">
        <w:rPr>
          <w:rStyle w:val="Accentuation"/>
          <w:i w:val="0"/>
        </w:rPr>
        <w:t>indiquant que la collectivité n’aurait subi aucun préjudice</w:t>
      </w:r>
      <w:r w:rsidR="009B20F4">
        <w:rPr>
          <w:rStyle w:val="Accentuation"/>
          <w:i w:val="0"/>
        </w:rPr>
        <w:t> </w:t>
      </w:r>
      <w:r w:rsidRPr="00CC5CBA">
        <w:rPr>
          <w:rStyle w:val="Accentuation"/>
          <w:i w:val="0"/>
        </w:rPr>
        <w:t>;</w:t>
      </w:r>
      <w:r>
        <w:rPr>
          <w:rStyle w:val="Accentuation"/>
          <w:i w:val="0"/>
        </w:rPr>
        <w:t xml:space="preserve"> qu’il y a lieu d’écarter ce deuxième moyen de l’appelante ;</w:t>
      </w:r>
    </w:p>
    <w:p w:rsidR="005374F0" w:rsidRDefault="005374F0" w:rsidP="008E45A9">
      <w:pPr>
        <w:spacing w:after="480"/>
        <w:ind w:left="1134" w:firstLine="567"/>
        <w:rPr>
          <w:rStyle w:val="Accentuation"/>
          <w:i w:val="0"/>
        </w:rPr>
      </w:pPr>
      <w:r>
        <w:rPr>
          <w:rStyle w:val="Accentuation"/>
          <w:i w:val="0"/>
        </w:rPr>
        <w:t xml:space="preserve">Attendu </w:t>
      </w:r>
      <w:r w:rsidR="00774F44">
        <w:rPr>
          <w:rStyle w:val="Accentuation"/>
          <w:i w:val="0"/>
        </w:rPr>
        <w:t>qu</w:t>
      </w:r>
      <w:r>
        <w:rPr>
          <w:rStyle w:val="Accentuation"/>
          <w:i w:val="0"/>
        </w:rPr>
        <w:t>e la requérante</w:t>
      </w:r>
      <w:r w:rsidR="00774F44">
        <w:rPr>
          <w:rStyle w:val="Accentuation"/>
          <w:i w:val="0"/>
        </w:rPr>
        <w:t xml:space="preserve"> </w:t>
      </w:r>
      <w:r w:rsidRPr="005374F0">
        <w:rPr>
          <w:rStyle w:val="Accentuation"/>
          <w:i w:val="0"/>
        </w:rPr>
        <w:t xml:space="preserve">fait valoir </w:t>
      </w:r>
      <w:r>
        <w:rPr>
          <w:rStyle w:val="Accentuation"/>
          <w:i w:val="0"/>
        </w:rPr>
        <w:t xml:space="preserve">ensuite </w:t>
      </w:r>
      <w:r w:rsidR="00774F44">
        <w:rPr>
          <w:rStyle w:val="Accentuation"/>
          <w:i w:val="0"/>
        </w:rPr>
        <w:t>que la commune a réglé le montant appelé par la communauté de communes conformément à la délibération du conseil communautaire laquelle précisait que le solde à régler par la commune était bien de 1 721,90</w:t>
      </w:r>
      <w:r>
        <w:rPr>
          <w:rStyle w:val="Accentuation"/>
          <w:i w:val="0"/>
        </w:rPr>
        <w:t> </w:t>
      </w:r>
      <w:r w:rsidR="00774F44">
        <w:rPr>
          <w:rStyle w:val="Accentuation"/>
          <w:i w:val="0"/>
        </w:rPr>
        <w:t>€ et que le détail de la liquidation figure en annexe du titre exécutoire et fait référence à cette délibération ;</w:t>
      </w:r>
      <w:r w:rsidR="005214BE">
        <w:rPr>
          <w:rStyle w:val="Accentuation"/>
          <w:i w:val="0"/>
        </w:rPr>
        <w:t xml:space="preserve"> </w:t>
      </w:r>
    </w:p>
    <w:p w:rsidR="005374F0" w:rsidRDefault="005374F0" w:rsidP="008E45A9">
      <w:pPr>
        <w:spacing w:after="480"/>
        <w:ind w:left="1134" w:firstLine="567"/>
        <w:rPr>
          <w:rStyle w:val="Accentuation"/>
          <w:i w:val="0"/>
        </w:rPr>
      </w:pPr>
      <w:r w:rsidRPr="005374F0">
        <w:rPr>
          <w:rStyle w:val="Accentuation"/>
          <w:i w:val="0"/>
        </w:rPr>
        <w:t>Attendu que ce titre de perception</w:t>
      </w:r>
      <w:r>
        <w:rPr>
          <w:rStyle w:val="Accentuation"/>
          <w:i w:val="0"/>
        </w:rPr>
        <w:t>, à l’appui du paiement, conformément à la réglementation,</w:t>
      </w:r>
      <w:r w:rsidRPr="005374F0">
        <w:rPr>
          <w:rStyle w:val="Accentuation"/>
          <w:i w:val="0"/>
        </w:rPr>
        <w:t xml:space="preserve"> ne prouve pas que la somme en cause était due</w:t>
      </w:r>
      <w:r w:rsidR="00780A5D">
        <w:rPr>
          <w:rStyle w:val="Accentuation"/>
          <w:i w:val="0"/>
        </w:rPr>
        <w:t xml:space="preserve"> par la commune</w:t>
      </w:r>
      <w:r w:rsidRPr="005374F0">
        <w:rPr>
          <w:rStyle w:val="Accentuation"/>
          <w:i w:val="0"/>
        </w:rPr>
        <w:t>, faute d’une décision d</w:t>
      </w:r>
      <w:r w:rsidR="00780A5D">
        <w:rPr>
          <w:rStyle w:val="Accentuation"/>
          <w:i w:val="0"/>
        </w:rPr>
        <w:t>e son</w:t>
      </w:r>
      <w:r w:rsidRPr="005374F0">
        <w:rPr>
          <w:rStyle w:val="Accentuation"/>
          <w:i w:val="0"/>
        </w:rPr>
        <w:t xml:space="preserve"> conseil municipal fixant les condit</w:t>
      </w:r>
      <w:r>
        <w:rPr>
          <w:rStyle w:val="Accentuation"/>
          <w:i w:val="0"/>
        </w:rPr>
        <w:t>ions d'engagement de la commune </w:t>
      </w:r>
      <w:r w:rsidRPr="005374F0">
        <w:rPr>
          <w:rStyle w:val="Accentuation"/>
          <w:i w:val="0"/>
        </w:rPr>
        <w:t xml:space="preserve">; qu’il y a lieu d’écarter ce </w:t>
      </w:r>
      <w:r w:rsidR="00CC5CBA">
        <w:rPr>
          <w:rStyle w:val="Accentuation"/>
          <w:i w:val="0"/>
        </w:rPr>
        <w:t xml:space="preserve">troisième </w:t>
      </w:r>
      <w:r w:rsidRPr="005374F0">
        <w:rPr>
          <w:rStyle w:val="Accentuation"/>
          <w:i w:val="0"/>
        </w:rPr>
        <w:t>moyen de l’appelante</w:t>
      </w:r>
      <w:r w:rsidR="009B20F4">
        <w:rPr>
          <w:rStyle w:val="Accentuation"/>
          <w:i w:val="0"/>
        </w:rPr>
        <w:t> </w:t>
      </w:r>
      <w:r w:rsidRPr="005374F0">
        <w:rPr>
          <w:rStyle w:val="Accentuation"/>
          <w:i w:val="0"/>
        </w:rPr>
        <w:t>;</w:t>
      </w:r>
    </w:p>
    <w:p w:rsidR="00C86394" w:rsidRDefault="00C86394">
      <w:pPr>
        <w:spacing w:after="200" w:line="276" w:lineRule="auto"/>
        <w:ind w:firstLine="0"/>
        <w:jc w:val="left"/>
        <w:rPr>
          <w:rStyle w:val="Accentuation"/>
          <w:i w:val="0"/>
        </w:rPr>
      </w:pPr>
      <w:r>
        <w:rPr>
          <w:rStyle w:val="Accentuation"/>
          <w:i w:val="0"/>
        </w:rPr>
        <w:br w:type="page"/>
      </w:r>
    </w:p>
    <w:p w:rsidR="00774F44" w:rsidRDefault="0063071D" w:rsidP="008E45A9">
      <w:pPr>
        <w:spacing w:after="480"/>
        <w:ind w:left="1134" w:firstLine="567"/>
        <w:rPr>
          <w:rStyle w:val="Accentuation"/>
          <w:i w:val="0"/>
        </w:rPr>
      </w:pPr>
      <w:r>
        <w:rPr>
          <w:rStyle w:val="Accentuation"/>
          <w:i w:val="0"/>
        </w:rPr>
        <w:lastRenderedPageBreak/>
        <w:t xml:space="preserve">Attendu que </w:t>
      </w:r>
      <w:r w:rsidR="00FA0070">
        <w:rPr>
          <w:rStyle w:val="Accentuation"/>
          <w:i w:val="0"/>
        </w:rPr>
        <w:t>M</w:t>
      </w:r>
      <w:r w:rsidR="00FA0070" w:rsidRPr="009B20F4">
        <w:rPr>
          <w:rStyle w:val="Accentuation"/>
          <w:i w:val="0"/>
          <w:vertAlign w:val="superscript"/>
        </w:rPr>
        <w:t>me</w:t>
      </w:r>
      <w:r w:rsidR="00FA0070">
        <w:rPr>
          <w:rStyle w:val="Accentuation"/>
          <w:i w:val="0"/>
        </w:rPr>
        <w:t xml:space="preserve"> X</w:t>
      </w:r>
      <w:r w:rsidRPr="0063071D">
        <w:rPr>
          <w:rStyle w:val="Accentuation"/>
          <w:i w:val="0"/>
        </w:rPr>
        <w:t xml:space="preserve"> </w:t>
      </w:r>
      <w:r>
        <w:rPr>
          <w:rStyle w:val="Accentuation"/>
          <w:i w:val="0"/>
        </w:rPr>
        <w:t>produit</w:t>
      </w:r>
      <w:r w:rsidR="005214BE">
        <w:rPr>
          <w:rStyle w:val="Accentuation"/>
          <w:i w:val="0"/>
        </w:rPr>
        <w:t xml:space="preserve"> </w:t>
      </w:r>
      <w:r>
        <w:rPr>
          <w:rStyle w:val="Accentuation"/>
          <w:i w:val="0"/>
        </w:rPr>
        <w:t xml:space="preserve">enfin </w:t>
      </w:r>
      <w:r w:rsidR="005214BE">
        <w:rPr>
          <w:rStyle w:val="Accentuation"/>
          <w:i w:val="0"/>
        </w:rPr>
        <w:t>une délibération du 20</w:t>
      </w:r>
      <w:r w:rsidR="009B20F4">
        <w:rPr>
          <w:rStyle w:val="Accentuation"/>
          <w:i w:val="0"/>
        </w:rPr>
        <w:t xml:space="preserve"> </w:t>
      </w:r>
      <w:r w:rsidR="005214BE">
        <w:rPr>
          <w:rStyle w:val="Accentuation"/>
          <w:i w:val="0"/>
        </w:rPr>
        <w:t>février</w:t>
      </w:r>
      <w:r w:rsidR="009B20F4">
        <w:rPr>
          <w:rStyle w:val="Accentuation"/>
          <w:i w:val="0"/>
        </w:rPr>
        <w:t xml:space="preserve"> </w:t>
      </w:r>
      <w:r w:rsidR="005214BE">
        <w:rPr>
          <w:rStyle w:val="Accentuation"/>
          <w:i w:val="0"/>
        </w:rPr>
        <w:t>2013 régularisant rétroactivement la dépense effectuée en 2010 comme satisfaisant, selon elle, à l’injonction du pôle interrégional d’apurement administratif de Rennes, « </w:t>
      </w:r>
      <w:r w:rsidR="005214BE" w:rsidRPr="005214BE">
        <w:rPr>
          <w:rStyle w:val="Accentuation"/>
        </w:rPr>
        <w:t>de produire par tout moyen la preuve de la régularisation de l’irrégularité ou du manquement s’élevant à 1 721,90</w:t>
      </w:r>
      <w:r w:rsidR="00C86394">
        <w:rPr>
          <w:rStyle w:val="Accentuation"/>
        </w:rPr>
        <w:t> </w:t>
      </w:r>
      <w:r w:rsidR="005214BE" w:rsidRPr="005214BE">
        <w:rPr>
          <w:rStyle w:val="Accentuation"/>
        </w:rPr>
        <w:t>€ ou apporter tout élément à décharge</w:t>
      </w:r>
      <w:r w:rsidR="005214BE">
        <w:rPr>
          <w:rStyle w:val="Accentuation"/>
          <w:i w:val="0"/>
        </w:rPr>
        <w:t> » ;</w:t>
      </w:r>
    </w:p>
    <w:p w:rsidR="00F9090B" w:rsidRDefault="00F9090B" w:rsidP="008E45A9">
      <w:pPr>
        <w:tabs>
          <w:tab w:val="left" w:pos="2850"/>
        </w:tabs>
        <w:spacing w:after="480"/>
        <w:ind w:left="1134" w:firstLine="567"/>
        <w:rPr>
          <w:rStyle w:val="Accentuation"/>
          <w:i w:val="0"/>
        </w:rPr>
      </w:pPr>
      <w:r>
        <w:rPr>
          <w:rStyle w:val="Accentuation"/>
          <w:i w:val="0"/>
        </w:rPr>
        <w:t xml:space="preserve">Attendu que </w:t>
      </w:r>
      <w:r w:rsidR="0063071D">
        <w:rPr>
          <w:rStyle w:val="Accentuation"/>
          <w:i w:val="0"/>
        </w:rPr>
        <w:t>cette</w:t>
      </w:r>
      <w:r w:rsidRPr="00F9090B">
        <w:rPr>
          <w:rStyle w:val="Accentuation"/>
          <w:i w:val="0"/>
        </w:rPr>
        <w:t xml:space="preserve"> délibération du 20 février 2013 ne pouvait avoir d'effet rétroactif</w:t>
      </w:r>
      <w:r w:rsidR="0063071D">
        <w:rPr>
          <w:rStyle w:val="Accentuation"/>
          <w:i w:val="0"/>
        </w:rPr>
        <w:t> ; qu’elle ne peut donc</w:t>
      </w:r>
      <w:r>
        <w:rPr>
          <w:rStyle w:val="Accentuation"/>
          <w:i w:val="0"/>
        </w:rPr>
        <w:t xml:space="preserve"> </w:t>
      </w:r>
      <w:r w:rsidR="0063071D">
        <w:rPr>
          <w:rStyle w:val="Accentuation"/>
          <w:i w:val="0"/>
        </w:rPr>
        <w:t xml:space="preserve">se </w:t>
      </w:r>
      <w:r>
        <w:rPr>
          <w:rStyle w:val="Accentuation"/>
          <w:i w:val="0"/>
        </w:rPr>
        <w:t xml:space="preserve">substituer </w:t>
      </w:r>
      <w:r w:rsidRPr="00F9090B">
        <w:rPr>
          <w:rStyle w:val="Accentuation"/>
          <w:i w:val="0"/>
        </w:rPr>
        <w:t>à une manifestation expresse</w:t>
      </w:r>
      <w:r w:rsidR="00591BE2">
        <w:rPr>
          <w:rStyle w:val="Accentuation"/>
          <w:i w:val="0"/>
        </w:rPr>
        <w:t>, préalable au paiement,</w:t>
      </w:r>
      <w:r w:rsidRPr="00F9090B">
        <w:rPr>
          <w:rStyle w:val="Accentuation"/>
          <w:i w:val="0"/>
        </w:rPr>
        <w:t xml:space="preserve"> de </w:t>
      </w:r>
      <w:r w:rsidR="00053E17">
        <w:rPr>
          <w:rStyle w:val="Accentuation"/>
          <w:i w:val="0"/>
        </w:rPr>
        <w:t xml:space="preserve">la </w:t>
      </w:r>
      <w:r w:rsidRPr="00F9090B">
        <w:rPr>
          <w:rStyle w:val="Accentuation"/>
          <w:i w:val="0"/>
        </w:rPr>
        <w:t>volonté de l'assemblée délibérante</w:t>
      </w:r>
      <w:r w:rsidR="00591BE2">
        <w:rPr>
          <w:rStyle w:val="Accentuation"/>
          <w:i w:val="0"/>
        </w:rPr>
        <w:t xml:space="preserve"> de participer au financement d’un a</w:t>
      </w:r>
      <w:r w:rsidR="00591BE2" w:rsidRPr="00591BE2">
        <w:rPr>
          <w:rStyle w:val="Accentuation"/>
          <w:i w:val="0"/>
        </w:rPr>
        <w:t>rrêt de bus</w:t>
      </w:r>
      <w:r w:rsidR="00591BE2">
        <w:rPr>
          <w:rStyle w:val="Accentuation"/>
          <w:i w:val="0"/>
        </w:rPr>
        <w:t xml:space="preserve"> réalisé </w:t>
      </w:r>
      <w:r w:rsidR="00053E17">
        <w:rPr>
          <w:rStyle w:val="Accentuation"/>
          <w:i w:val="0"/>
        </w:rPr>
        <w:t xml:space="preserve">par </w:t>
      </w:r>
      <w:r w:rsidR="00591BE2" w:rsidRPr="00591BE2">
        <w:rPr>
          <w:rStyle w:val="Accentuation"/>
          <w:i w:val="0"/>
        </w:rPr>
        <w:t>la communauté de communes</w:t>
      </w:r>
      <w:r w:rsidR="00591BE2">
        <w:rPr>
          <w:rStyle w:val="Accentuation"/>
          <w:i w:val="0"/>
        </w:rPr>
        <w:t> ;</w:t>
      </w:r>
      <w:r w:rsidR="00591BE2" w:rsidRPr="00591BE2">
        <w:t xml:space="preserve"> </w:t>
      </w:r>
      <w:r w:rsidR="00591BE2" w:rsidRPr="00591BE2">
        <w:rPr>
          <w:rStyle w:val="Accentuation"/>
          <w:i w:val="0"/>
        </w:rPr>
        <w:t xml:space="preserve">qu’il y a lieu d’écarter ce </w:t>
      </w:r>
      <w:r w:rsidR="001813B9">
        <w:rPr>
          <w:rStyle w:val="Accentuation"/>
          <w:i w:val="0"/>
        </w:rPr>
        <w:t>quatrième</w:t>
      </w:r>
      <w:r w:rsidR="00591BE2">
        <w:rPr>
          <w:rStyle w:val="Accentuation"/>
          <w:i w:val="0"/>
        </w:rPr>
        <w:t xml:space="preserve"> </w:t>
      </w:r>
      <w:r w:rsidR="00591BE2" w:rsidRPr="00591BE2">
        <w:rPr>
          <w:rStyle w:val="Accentuation"/>
          <w:i w:val="0"/>
        </w:rPr>
        <w:t>moyen de l’appelante</w:t>
      </w:r>
      <w:r w:rsidR="009B20F4">
        <w:rPr>
          <w:rStyle w:val="Accentuation"/>
          <w:i w:val="0"/>
        </w:rPr>
        <w:t> ;</w:t>
      </w:r>
    </w:p>
    <w:p w:rsidR="000153D1" w:rsidRDefault="007D3F3C" w:rsidP="008E45A9">
      <w:pPr>
        <w:pStyle w:val="Corpsdetexte"/>
        <w:tabs>
          <w:tab w:val="left" w:pos="2977"/>
        </w:tabs>
        <w:spacing w:before="0" w:after="480"/>
        <w:ind w:left="1134" w:firstLine="567"/>
      </w:pPr>
      <w:r>
        <w:t>Attendu</w:t>
      </w:r>
      <w:r w:rsidR="00BF32ED">
        <w:t xml:space="preserve"> qu’ainsi c’est à bon droit que la chambre régionale des comptes a</w:t>
      </w:r>
      <w:r w:rsidR="00C86394">
        <w:t> </w:t>
      </w:r>
      <w:r w:rsidR="00591BE2">
        <w:t xml:space="preserve">considéré que le manquement de </w:t>
      </w:r>
      <w:r w:rsidR="00FA0070">
        <w:t>M</w:t>
      </w:r>
      <w:r w:rsidR="00FA0070" w:rsidRPr="009B20F4">
        <w:rPr>
          <w:vertAlign w:val="superscript"/>
        </w:rPr>
        <w:t>me</w:t>
      </w:r>
      <w:r w:rsidR="00FA0070">
        <w:t xml:space="preserve"> X</w:t>
      </w:r>
      <w:r w:rsidR="00BF32ED">
        <w:t xml:space="preserve"> </w:t>
      </w:r>
      <w:r w:rsidR="00591BE2">
        <w:t xml:space="preserve">a causé un préjudice financier à la commune </w:t>
      </w:r>
      <w:r w:rsidR="00053E17">
        <w:t xml:space="preserve">de </w:t>
      </w:r>
      <w:r w:rsidR="00053E17" w:rsidRPr="00053E17">
        <w:t xml:space="preserve">Tellières-le-Plessis </w:t>
      </w:r>
      <w:r w:rsidR="00053E17">
        <w:t xml:space="preserve">et l’a constituée </w:t>
      </w:r>
      <w:r w:rsidR="00BF32ED">
        <w:t>débitrice</w:t>
      </w:r>
      <w:r w:rsidR="00053E17">
        <w:t xml:space="preserve">, à l’égard de cette commune, </w:t>
      </w:r>
      <w:r w:rsidR="00BF32ED">
        <w:t>de la somme de 1 721,90</w:t>
      </w:r>
      <w:r w:rsidR="00C86394">
        <w:t> </w:t>
      </w:r>
      <w:r w:rsidR="00BF32ED">
        <w:t>€</w:t>
      </w:r>
      <w:r w:rsidR="009B20F4">
        <w:t xml:space="preserve"> </w:t>
      </w:r>
      <w:r w:rsidR="00BF32ED">
        <w:t>augmentée</w:t>
      </w:r>
      <w:r w:rsidR="00DE4831">
        <w:t xml:space="preserve"> des intérêts de droit calculés à compter du </w:t>
      </w:r>
      <w:r w:rsidR="00BF32ED">
        <w:t>12 s</w:t>
      </w:r>
      <w:r w:rsidR="00DE4831">
        <w:t>eptembre 201</w:t>
      </w:r>
      <w:r w:rsidR="00BF32ED">
        <w:t>3</w:t>
      </w:r>
      <w:r w:rsidR="00DE4831">
        <w:t> ;</w:t>
      </w:r>
    </w:p>
    <w:p w:rsidR="00BF32ED" w:rsidRDefault="0000518A" w:rsidP="008E45A9">
      <w:pPr>
        <w:pStyle w:val="Corpsdetexte"/>
        <w:spacing w:before="0" w:after="480"/>
        <w:ind w:left="1134" w:firstLine="567"/>
      </w:pPr>
      <w:r>
        <w:t xml:space="preserve">Attendu que </w:t>
      </w:r>
      <w:r w:rsidR="00053E17">
        <w:t>l’</w:t>
      </w:r>
      <w:r w:rsidR="00BF32ED">
        <w:t>opération</w:t>
      </w:r>
      <w:r w:rsidR="00053E17">
        <w:t xml:space="preserve"> </w:t>
      </w:r>
      <w:r w:rsidR="00A31EB1">
        <w:t xml:space="preserve">ne pourra être régularisée qu’avec le versement </w:t>
      </w:r>
      <w:r w:rsidR="00BF32ED">
        <w:t xml:space="preserve"> </w:t>
      </w:r>
      <w:r w:rsidR="00A31EB1">
        <w:t xml:space="preserve">de </w:t>
      </w:r>
      <w:r w:rsidR="00BF32ED">
        <w:t>la somme de 1 721,90</w:t>
      </w:r>
      <w:r w:rsidR="00C86394">
        <w:t> </w:t>
      </w:r>
      <w:r w:rsidR="00BF32ED">
        <w:t>€ dans l</w:t>
      </w:r>
      <w:r w:rsidR="00A31EB1">
        <w:t>a caisse</w:t>
      </w:r>
      <w:r w:rsidR="00BF32ED">
        <w:t xml:space="preserve"> de la commune de Tellières-le-Plessis ; qu</w:t>
      </w:r>
      <w:r>
        <w:t>e la requérante a produit une lettre du président de la communauté de commune</w:t>
      </w:r>
      <w:r w:rsidR="001813B9">
        <w:t>s</w:t>
      </w:r>
      <w:r>
        <w:t xml:space="preserve"> de la vallée de la Haute Sarthe, datée du 2 avril 2014, annonçant une annulation du titre de perception, un remboursement de la commune, puis l’émission d’un nouveau titre après que le conseil municipal aura pris la décision idoine ; que</w:t>
      </w:r>
      <w:r w:rsidR="00BF32ED">
        <w:t xml:space="preserve"> </w:t>
      </w:r>
      <w:r w:rsidR="001813B9">
        <w:t xml:space="preserve">le </w:t>
      </w:r>
      <w:r w:rsidR="00BF32ED" w:rsidRPr="003B3CD8">
        <w:t xml:space="preserve">remboursement par </w:t>
      </w:r>
      <w:r w:rsidR="00BF32ED">
        <w:t>la communauté de communes</w:t>
      </w:r>
      <w:r w:rsidR="00BF32ED" w:rsidRPr="003B3CD8">
        <w:t xml:space="preserve"> </w:t>
      </w:r>
      <w:r w:rsidR="00BF32ED">
        <w:t>du fonds de concours indûment versé aura</w:t>
      </w:r>
      <w:r w:rsidR="00A31EB1">
        <w:t>it</w:t>
      </w:r>
      <w:r>
        <w:t>, le cas échéant,</w:t>
      </w:r>
      <w:r w:rsidR="00BF32ED">
        <w:t xml:space="preserve"> </w:t>
      </w:r>
      <w:r w:rsidR="00BF32ED" w:rsidRPr="003B3CD8">
        <w:t xml:space="preserve">le même effet </w:t>
      </w:r>
      <w:r w:rsidR="00A31EB1">
        <w:t xml:space="preserve">de régularisation </w:t>
      </w:r>
      <w:r w:rsidR="00BF32ED" w:rsidRPr="003B3CD8">
        <w:t>qu'un versement du comptable sur ses deniers propres</w:t>
      </w:r>
      <w:r w:rsidR="00BF32ED">
        <w:t> ; qu’en conséquence, cet éventuel remboursement de la communauté de communes s</w:t>
      </w:r>
      <w:r w:rsidR="00A31EB1">
        <w:t xml:space="preserve">erait à </w:t>
      </w:r>
      <w:r w:rsidR="00BF32ED">
        <w:t>imputer sur le montant des sommes que le présent arrêt laisse à la charge d</w:t>
      </w:r>
      <w:r w:rsidR="00A31EB1">
        <w:t>e la</w:t>
      </w:r>
      <w:r w:rsidR="00BF32ED">
        <w:t xml:space="preserve"> requérant</w:t>
      </w:r>
      <w:r w:rsidR="00A31EB1">
        <w:t>e</w:t>
      </w:r>
      <w:r>
        <w:t> </w:t>
      </w:r>
      <w:r w:rsidR="00BF32ED">
        <w:t>;</w:t>
      </w:r>
    </w:p>
    <w:p w:rsidR="00E84E46" w:rsidRPr="00484671" w:rsidRDefault="00E84E46" w:rsidP="008E45A9">
      <w:pPr>
        <w:spacing w:after="480"/>
        <w:ind w:left="1134" w:firstLine="567"/>
      </w:pPr>
      <w:r w:rsidRPr="00484671">
        <w:t>Par ces motifs,</w:t>
      </w:r>
    </w:p>
    <w:p w:rsidR="00E84E46" w:rsidRPr="007F534A" w:rsidRDefault="00E84E46" w:rsidP="003205C4">
      <w:pPr>
        <w:spacing w:after="480"/>
        <w:ind w:left="1134" w:firstLine="0"/>
        <w:jc w:val="center"/>
      </w:pPr>
      <w:r w:rsidRPr="007F534A">
        <w:t>DECIDE :</w:t>
      </w:r>
    </w:p>
    <w:p w:rsidR="00185873" w:rsidRDefault="00E84E46" w:rsidP="008E45A9">
      <w:pPr>
        <w:spacing w:after="480"/>
        <w:ind w:left="1134" w:firstLine="567"/>
      </w:pPr>
      <w:r w:rsidRPr="00484671">
        <w:t xml:space="preserve">Article </w:t>
      </w:r>
      <w:r w:rsidR="00BF32ED">
        <w:t>unique</w:t>
      </w:r>
      <w:r w:rsidRPr="00484671">
        <w:t xml:space="preserve"> </w:t>
      </w:r>
      <w:r w:rsidR="00A438BC">
        <w:t>–</w:t>
      </w:r>
      <w:r w:rsidR="00185873">
        <w:t xml:space="preserve"> </w:t>
      </w:r>
      <w:r w:rsidR="00BF32ED">
        <w:t xml:space="preserve">La requête en appel de </w:t>
      </w:r>
      <w:r w:rsidR="00FA0070">
        <w:t>M</w:t>
      </w:r>
      <w:r w:rsidR="00FA0070" w:rsidRPr="009B20F4">
        <w:rPr>
          <w:vertAlign w:val="superscript"/>
        </w:rPr>
        <w:t>me</w:t>
      </w:r>
      <w:r w:rsidR="00FA0070">
        <w:t xml:space="preserve"> X</w:t>
      </w:r>
      <w:r w:rsidR="00BF32ED">
        <w:t xml:space="preserve"> est rejetée.</w:t>
      </w:r>
    </w:p>
    <w:p w:rsidR="00E84E46" w:rsidRPr="00484671" w:rsidRDefault="00E84E46" w:rsidP="009B20F4">
      <w:pPr>
        <w:tabs>
          <w:tab w:val="center" w:pos="5245"/>
        </w:tabs>
        <w:spacing w:after="480"/>
        <w:ind w:left="1134" w:firstLine="0"/>
        <w:jc w:val="center"/>
      </w:pPr>
      <w:r w:rsidRPr="007F534A">
        <w:t>---</w:t>
      </w:r>
      <w:r w:rsidRPr="00484671">
        <w:t>---------</w:t>
      </w:r>
    </w:p>
    <w:p w:rsidR="00506A44" w:rsidRDefault="00506A44">
      <w:pPr>
        <w:spacing w:after="200" w:line="276" w:lineRule="auto"/>
        <w:ind w:firstLine="0"/>
        <w:jc w:val="left"/>
      </w:pPr>
      <w:r>
        <w:br w:type="page"/>
      </w:r>
    </w:p>
    <w:p w:rsidR="00E84E46" w:rsidRDefault="00E84E46" w:rsidP="008E45A9">
      <w:pPr>
        <w:spacing w:after="480"/>
        <w:ind w:left="1134" w:firstLine="567"/>
      </w:pPr>
      <w:r w:rsidRPr="007F534A">
        <w:lastRenderedPageBreak/>
        <w:t>Fait et jugé en la Cour des comptes, quatrième chambre, première section. Présents, MM</w:t>
      </w:r>
      <w:r w:rsidR="00C86394">
        <w:t>.</w:t>
      </w:r>
      <w:r w:rsidR="00900B8C">
        <w:t> </w:t>
      </w:r>
      <w:r w:rsidR="00B84AF4">
        <w:t>Vachia</w:t>
      </w:r>
      <w:r w:rsidRPr="007F534A">
        <w:t xml:space="preserve">, </w:t>
      </w:r>
      <w:r w:rsidR="002E416F">
        <w:t>président</w:t>
      </w:r>
      <w:r w:rsidR="00B84AF4">
        <w:t xml:space="preserve">, Ganser, président de </w:t>
      </w:r>
      <w:r w:rsidR="000032FD">
        <w:t>section, M</w:t>
      </w:r>
      <w:r w:rsidR="000032FD" w:rsidRPr="009B20F4">
        <w:rPr>
          <w:vertAlign w:val="superscript"/>
        </w:rPr>
        <w:t>me</w:t>
      </w:r>
      <w:r w:rsidR="00C86394">
        <w:t> </w:t>
      </w:r>
      <w:r w:rsidR="000032FD">
        <w:t>Froment-Meurice, présidente de chambre maintenue, MM.</w:t>
      </w:r>
      <w:r w:rsidR="00C86394">
        <w:t> </w:t>
      </w:r>
      <w:r w:rsidR="000032FD">
        <w:t xml:space="preserve">Lafaure, Bertucci </w:t>
      </w:r>
      <w:r w:rsidR="002E416F">
        <w:t xml:space="preserve">et </w:t>
      </w:r>
      <w:r w:rsidR="000032FD">
        <w:t>M</w:t>
      </w:r>
      <w:r w:rsidR="000032FD" w:rsidRPr="009B20F4">
        <w:rPr>
          <w:vertAlign w:val="superscript"/>
        </w:rPr>
        <w:t>me</w:t>
      </w:r>
      <w:r w:rsidR="002E416F">
        <w:t> </w:t>
      </w:r>
      <w:r w:rsidR="000032FD">
        <w:t>Gadriot-Renard</w:t>
      </w:r>
      <w:r w:rsidRPr="00484671">
        <w:t>, conseillers maîtres.</w:t>
      </w:r>
    </w:p>
    <w:p w:rsidR="00506A44" w:rsidRPr="009B20F4" w:rsidRDefault="00506A44" w:rsidP="00BD177E">
      <w:pPr>
        <w:pStyle w:val="PS"/>
        <w:spacing w:after="360"/>
        <w:ind w:left="1134" w:firstLine="567"/>
        <w:rPr>
          <w:rFonts w:ascii="Times New Roman" w:hAnsi="Times New Roman"/>
          <w:color w:val="000000"/>
        </w:rPr>
      </w:pPr>
      <w:r w:rsidRPr="009B20F4">
        <w:rPr>
          <w:rFonts w:ascii="Times New Roman" w:hAnsi="Times New Roman"/>
          <w:color w:val="000000"/>
        </w:rPr>
        <w:t xml:space="preserve">Signé : Vachia, </w:t>
      </w:r>
      <w:r w:rsidR="00BD177E" w:rsidRPr="009B20F4">
        <w:rPr>
          <w:rFonts w:ascii="Times New Roman" w:hAnsi="Times New Roman"/>
          <w:color w:val="000000"/>
        </w:rPr>
        <w:t>p</w:t>
      </w:r>
      <w:r w:rsidRPr="009B20F4">
        <w:rPr>
          <w:rFonts w:ascii="Times New Roman" w:hAnsi="Times New Roman"/>
          <w:color w:val="000000"/>
        </w:rPr>
        <w:t>résident</w:t>
      </w:r>
      <w:r w:rsidR="00323D96" w:rsidRPr="009B20F4">
        <w:rPr>
          <w:rFonts w:ascii="Times New Roman" w:hAnsi="Times New Roman"/>
          <w:color w:val="000000"/>
        </w:rPr>
        <w:t xml:space="preserve">, </w:t>
      </w:r>
      <w:r w:rsidRPr="009B20F4">
        <w:rPr>
          <w:rFonts w:ascii="Times New Roman" w:hAnsi="Times New Roman"/>
          <w:color w:val="000000"/>
        </w:rPr>
        <w:t>et</w:t>
      </w:r>
      <w:r w:rsidR="00323D96" w:rsidRPr="009B20F4">
        <w:rPr>
          <w:rFonts w:ascii="Times New Roman" w:hAnsi="Times New Roman"/>
          <w:color w:val="000000"/>
        </w:rPr>
        <w:t xml:space="preserve"> Le Baron</w:t>
      </w:r>
      <w:r w:rsidRPr="009B20F4">
        <w:rPr>
          <w:rFonts w:ascii="Times New Roman" w:hAnsi="Times New Roman"/>
          <w:color w:val="000000"/>
        </w:rPr>
        <w:t xml:space="preserve">, </w:t>
      </w:r>
      <w:r w:rsidR="00BD177E" w:rsidRPr="009B20F4">
        <w:rPr>
          <w:rFonts w:ascii="Times New Roman" w:hAnsi="Times New Roman"/>
          <w:color w:val="000000"/>
        </w:rPr>
        <w:t>greffier</w:t>
      </w:r>
      <w:r w:rsidRPr="009B20F4">
        <w:rPr>
          <w:rFonts w:ascii="Times New Roman" w:hAnsi="Times New Roman"/>
          <w:color w:val="000000"/>
        </w:rPr>
        <w:t>.</w:t>
      </w:r>
    </w:p>
    <w:p w:rsidR="00506A44" w:rsidRPr="009B20F4" w:rsidRDefault="00506A44" w:rsidP="00BD177E">
      <w:pPr>
        <w:pStyle w:val="PS"/>
        <w:spacing w:after="360"/>
        <w:ind w:left="1134" w:firstLine="567"/>
        <w:rPr>
          <w:rFonts w:ascii="Times New Roman" w:hAnsi="Times New Roman"/>
          <w:color w:val="000000"/>
        </w:rPr>
      </w:pPr>
      <w:r w:rsidRPr="009B20F4">
        <w:rPr>
          <w:rFonts w:ascii="Times New Roman" w:hAnsi="Times New Roman"/>
          <w:color w:val="000000"/>
        </w:rPr>
        <w:t>Collationné, certifié conforme à la minute étant au greffe de la Cour des comptes.</w:t>
      </w:r>
    </w:p>
    <w:p w:rsidR="00506A44" w:rsidRPr="009B20F4" w:rsidRDefault="00506A44" w:rsidP="00506A44">
      <w:pPr>
        <w:pStyle w:val="PS"/>
        <w:spacing w:after="0"/>
        <w:ind w:firstLine="0"/>
        <w:rPr>
          <w:rFonts w:ascii="Times New Roman" w:hAnsi="Times New Roman"/>
          <w:color w:val="000000"/>
        </w:rPr>
      </w:pPr>
      <w:r w:rsidRPr="009B20F4">
        <w:rPr>
          <w:rFonts w:ascii="Times New Roman" w:hAnsi="Times New Roman"/>
          <w:color w:val="000000"/>
        </w:rPr>
        <w:t>Délivré par moi, sec</w:t>
      </w:r>
      <w:r w:rsidR="00BD177E" w:rsidRPr="009B20F4">
        <w:rPr>
          <w:rFonts w:ascii="Times New Roman" w:hAnsi="Times New Roman"/>
          <w:color w:val="000000"/>
        </w:rPr>
        <w:t>r</w:t>
      </w:r>
      <w:r w:rsidRPr="009B20F4">
        <w:rPr>
          <w:rFonts w:ascii="Times New Roman" w:hAnsi="Times New Roman"/>
          <w:color w:val="000000"/>
        </w:rPr>
        <w:t>étaire général.</w:t>
      </w:r>
    </w:p>
    <w:p w:rsidR="00506A44" w:rsidRPr="009B20F4" w:rsidRDefault="00506A44" w:rsidP="00506A44">
      <w:pPr>
        <w:pStyle w:val="PS"/>
        <w:spacing w:after="0"/>
        <w:rPr>
          <w:rFonts w:ascii="Times New Roman" w:hAnsi="Times New Roman"/>
          <w:color w:val="000000"/>
        </w:rPr>
      </w:pPr>
    </w:p>
    <w:p w:rsidR="00506A44" w:rsidRPr="009B20F4" w:rsidRDefault="00506A44" w:rsidP="00506A44">
      <w:pPr>
        <w:pStyle w:val="PS"/>
        <w:spacing w:after="0"/>
        <w:rPr>
          <w:rFonts w:ascii="Times New Roman" w:hAnsi="Times New Roman"/>
          <w:color w:val="000000"/>
        </w:rPr>
      </w:pPr>
      <w:bookmarkStart w:id="0" w:name="_GoBack"/>
      <w:bookmarkEnd w:id="0"/>
    </w:p>
    <w:p w:rsidR="00506A44" w:rsidRPr="009B20F4" w:rsidRDefault="00506A44" w:rsidP="00F958D2">
      <w:pPr>
        <w:pStyle w:val="PS"/>
        <w:spacing w:after="0"/>
        <w:ind w:left="851" w:firstLine="3402"/>
        <w:jc w:val="center"/>
        <w:rPr>
          <w:rFonts w:ascii="Times New Roman" w:hAnsi="Times New Roman"/>
          <w:b/>
          <w:bCs/>
        </w:rPr>
      </w:pPr>
      <w:r w:rsidRPr="009B20F4">
        <w:rPr>
          <w:rFonts w:ascii="Times New Roman" w:hAnsi="Times New Roman"/>
          <w:b/>
          <w:bCs/>
        </w:rPr>
        <w:t>Pour le secrétaire général</w:t>
      </w:r>
    </w:p>
    <w:p w:rsidR="00506A44" w:rsidRPr="009B20F4" w:rsidRDefault="00506A44" w:rsidP="00F958D2">
      <w:pPr>
        <w:pStyle w:val="PS"/>
        <w:spacing w:after="0"/>
        <w:ind w:left="851" w:firstLine="3402"/>
        <w:jc w:val="center"/>
        <w:rPr>
          <w:rFonts w:ascii="Times New Roman" w:hAnsi="Times New Roman"/>
          <w:b/>
          <w:bCs/>
        </w:rPr>
      </w:pPr>
      <w:proofErr w:type="gramStart"/>
      <w:r w:rsidRPr="009B20F4">
        <w:rPr>
          <w:rFonts w:ascii="Times New Roman" w:hAnsi="Times New Roman"/>
          <w:b/>
          <w:bCs/>
        </w:rPr>
        <w:t>et</w:t>
      </w:r>
      <w:proofErr w:type="gramEnd"/>
      <w:r w:rsidRPr="009B20F4">
        <w:rPr>
          <w:rFonts w:ascii="Times New Roman" w:hAnsi="Times New Roman"/>
          <w:b/>
          <w:bCs/>
        </w:rPr>
        <w:t xml:space="preserve"> par délégation,</w:t>
      </w:r>
    </w:p>
    <w:p w:rsidR="00506A44" w:rsidRPr="009B20F4" w:rsidRDefault="00506A44" w:rsidP="00F958D2">
      <w:pPr>
        <w:pStyle w:val="PS"/>
        <w:spacing w:after="1440"/>
        <w:ind w:left="851" w:firstLine="3402"/>
        <w:jc w:val="center"/>
        <w:rPr>
          <w:rFonts w:ascii="Times New Roman" w:hAnsi="Times New Roman"/>
          <w:b/>
          <w:bCs/>
        </w:rPr>
      </w:pPr>
      <w:proofErr w:type="gramStart"/>
      <w:r w:rsidRPr="009B20F4">
        <w:rPr>
          <w:rFonts w:ascii="Times New Roman" w:hAnsi="Times New Roman"/>
          <w:b/>
          <w:bCs/>
        </w:rPr>
        <w:t>le</w:t>
      </w:r>
      <w:proofErr w:type="gramEnd"/>
      <w:r w:rsidRPr="009B20F4">
        <w:rPr>
          <w:rFonts w:ascii="Times New Roman" w:hAnsi="Times New Roman"/>
          <w:b/>
          <w:bCs/>
        </w:rPr>
        <w:t xml:space="preserve"> chef du greffe contentieux</w:t>
      </w:r>
    </w:p>
    <w:p w:rsidR="00506A44" w:rsidRDefault="00506A44" w:rsidP="00FD34C0">
      <w:pPr>
        <w:pStyle w:val="PS"/>
        <w:spacing w:after="600"/>
        <w:ind w:left="851" w:firstLine="3685"/>
        <w:jc w:val="center"/>
        <w:rPr>
          <w:b/>
          <w:bCs/>
        </w:rPr>
      </w:pPr>
      <w:r>
        <w:rPr>
          <w:b/>
          <w:bCs/>
        </w:rPr>
        <w:t xml:space="preserve">Daniel </w:t>
      </w:r>
      <w:proofErr w:type="spellStart"/>
      <w:r>
        <w:rPr>
          <w:b/>
          <w:bCs/>
        </w:rPr>
        <w:t>Férez</w:t>
      </w:r>
      <w:proofErr w:type="spellEnd"/>
    </w:p>
    <w:p w:rsidR="009F4888" w:rsidRDefault="009F4888" w:rsidP="007D3F3C">
      <w:pPr>
        <w:spacing w:after="480"/>
      </w:pPr>
    </w:p>
    <w:sectPr w:rsidR="009F4888" w:rsidSect="005910C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9CC" w:rsidRDefault="00D359CC">
      <w:r>
        <w:separator/>
      </w:r>
    </w:p>
  </w:endnote>
  <w:endnote w:type="continuationSeparator" w:id="0">
    <w:p w:rsidR="00D359CC" w:rsidRDefault="00D35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Gras">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D15" w:rsidRDefault="00EB3CC4" w:rsidP="00B75D15">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rsidR="00B75D15" w:rsidRDefault="00B75D15" w:rsidP="00B75D15">
    <w:pPr>
      <w:pStyle w:val="Pieddepage"/>
    </w:pPr>
  </w:p>
  <w:p w:rsidR="00B75D15" w:rsidRDefault="00B75D15" w:rsidP="00B75D1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D15" w:rsidRDefault="00B75D15" w:rsidP="00B75D15">
    <w:pPr>
      <w:pStyle w:val="Pieddepage"/>
      <w:ind w:firstLine="0"/>
      <w:jc w:val="center"/>
      <w:rPr>
        <w:rStyle w:val="Numrodepage"/>
      </w:rPr>
    </w:pPr>
  </w:p>
  <w:p w:rsidR="00B75D15" w:rsidRDefault="00B75D15" w:rsidP="00B75D15">
    <w:pPr>
      <w:pStyle w:val="Pieddepage"/>
    </w:pPr>
  </w:p>
  <w:p w:rsidR="00B75D15" w:rsidRDefault="00B75D15" w:rsidP="00B75D1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0C5" w:rsidRDefault="005910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9CC" w:rsidRDefault="00D359CC">
      <w:r>
        <w:separator/>
      </w:r>
    </w:p>
  </w:footnote>
  <w:footnote w:type="continuationSeparator" w:id="0">
    <w:p w:rsidR="00D359CC" w:rsidRDefault="00D35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D15" w:rsidRDefault="00EB3CC4" w:rsidP="00B75D15">
    <w:pPr>
      <w:pStyle w:val="En-tte"/>
      <w:rPr>
        <w:rStyle w:val="Numrodepage"/>
      </w:rPr>
    </w:pPr>
    <w:r>
      <w:rPr>
        <w:rStyle w:val="Numrodepage"/>
      </w:rPr>
      <w:fldChar w:fldCharType="begin"/>
    </w:r>
    <w:r>
      <w:rPr>
        <w:rStyle w:val="Numrodepage"/>
      </w:rPr>
      <w:instrText xml:space="preserve">PAGE  </w:instrText>
    </w:r>
    <w:r>
      <w:rPr>
        <w:rStyle w:val="Numrodepage"/>
      </w:rPr>
      <w:fldChar w:fldCharType="end"/>
    </w:r>
  </w:p>
  <w:p w:rsidR="00B75D15" w:rsidRDefault="00B75D15" w:rsidP="00B75D15">
    <w:pPr>
      <w:pStyle w:val="En-tte"/>
    </w:pPr>
  </w:p>
  <w:p w:rsidR="00B75D15" w:rsidRDefault="00B75D15" w:rsidP="00B75D1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0C5" w:rsidRDefault="005910C5">
    <w:pPr>
      <w:pStyle w:val="En-tte"/>
      <w:jc w:val="right"/>
    </w:pPr>
    <w:r>
      <w:fldChar w:fldCharType="begin"/>
    </w:r>
    <w:r>
      <w:instrText>PAGE   \* MERGEFORMAT</w:instrText>
    </w:r>
    <w:r>
      <w:fldChar w:fldCharType="separate"/>
    </w:r>
    <w:r w:rsidR="009B20F4">
      <w:rPr>
        <w:noProof/>
      </w:rPr>
      <w:t>6</w:t>
    </w:r>
    <w:r>
      <w:fldChar w:fldCharType="end"/>
    </w:r>
  </w:p>
  <w:p w:rsidR="00B75D15" w:rsidRDefault="00B75D15" w:rsidP="00B75D1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0C5" w:rsidRDefault="005910C5">
    <w:pPr>
      <w:pStyle w:val="En-tte"/>
      <w:jc w:val="right"/>
    </w:pPr>
  </w:p>
  <w:p w:rsidR="008B23AC" w:rsidRDefault="008B23A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254F6"/>
    <w:multiLevelType w:val="hybridMultilevel"/>
    <w:tmpl w:val="9B768420"/>
    <w:lvl w:ilvl="0" w:tplc="6A36FF4C">
      <w:start w:val="2"/>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46"/>
    <w:rsid w:val="000032FD"/>
    <w:rsid w:val="0000518A"/>
    <w:rsid w:val="000153D1"/>
    <w:rsid w:val="00037E85"/>
    <w:rsid w:val="00044CBF"/>
    <w:rsid w:val="00053E17"/>
    <w:rsid w:val="00071EE9"/>
    <w:rsid w:val="000B20B5"/>
    <w:rsid w:val="000E0E7D"/>
    <w:rsid w:val="000E50AB"/>
    <w:rsid w:val="000F4E03"/>
    <w:rsid w:val="0010584B"/>
    <w:rsid w:val="001412BB"/>
    <w:rsid w:val="0015777F"/>
    <w:rsid w:val="00162702"/>
    <w:rsid w:val="0017763D"/>
    <w:rsid w:val="001813B9"/>
    <w:rsid w:val="00181BE8"/>
    <w:rsid w:val="00185873"/>
    <w:rsid w:val="001A501A"/>
    <w:rsid w:val="001B0732"/>
    <w:rsid w:val="001B0D38"/>
    <w:rsid w:val="001C2A36"/>
    <w:rsid w:val="00244C57"/>
    <w:rsid w:val="002570F3"/>
    <w:rsid w:val="00297454"/>
    <w:rsid w:val="002B7CAB"/>
    <w:rsid w:val="002E416F"/>
    <w:rsid w:val="002F4BA5"/>
    <w:rsid w:val="00304EC0"/>
    <w:rsid w:val="00316B39"/>
    <w:rsid w:val="003205C4"/>
    <w:rsid w:val="00323D96"/>
    <w:rsid w:val="00337C41"/>
    <w:rsid w:val="003468F5"/>
    <w:rsid w:val="0035216D"/>
    <w:rsid w:val="00376AB2"/>
    <w:rsid w:val="003840A1"/>
    <w:rsid w:val="003B3CD8"/>
    <w:rsid w:val="00417106"/>
    <w:rsid w:val="004A78E2"/>
    <w:rsid w:val="004B5F2E"/>
    <w:rsid w:val="004B784F"/>
    <w:rsid w:val="004C0223"/>
    <w:rsid w:val="004C53B4"/>
    <w:rsid w:val="004E6BFB"/>
    <w:rsid w:val="00506A44"/>
    <w:rsid w:val="005214BE"/>
    <w:rsid w:val="005374F0"/>
    <w:rsid w:val="005546ED"/>
    <w:rsid w:val="005552A1"/>
    <w:rsid w:val="00561430"/>
    <w:rsid w:val="00577D8D"/>
    <w:rsid w:val="005910C5"/>
    <w:rsid w:val="00591BE2"/>
    <w:rsid w:val="005A228F"/>
    <w:rsid w:val="005C2016"/>
    <w:rsid w:val="005D7CB0"/>
    <w:rsid w:val="0063071D"/>
    <w:rsid w:val="00635CF9"/>
    <w:rsid w:val="00643CAE"/>
    <w:rsid w:val="00651409"/>
    <w:rsid w:val="00685634"/>
    <w:rsid w:val="006C2B16"/>
    <w:rsid w:val="006C7B80"/>
    <w:rsid w:val="006E5F26"/>
    <w:rsid w:val="00714083"/>
    <w:rsid w:val="00714681"/>
    <w:rsid w:val="007211BE"/>
    <w:rsid w:val="00741460"/>
    <w:rsid w:val="00751240"/>
    <w:rsid w:val="00767AAE"/>
    <w:rsid w:val="00774F44"/>
    <w:rsid w:val="00780A5D"/>
    <w:rsid w:val="0079706C"/>
    <w:rsid w:val="007D3F3C"/>
    <w:rsid w:val="00807A2D"/>
    <w:rsid w:val="00817998"/>
    <w:rsid w:val="00833EC6"/>
    <w:rsid w:val="00837EC2"/>
    <w:rsid w:val="008438AC"/>
    <w:rsid w:val="0084733C"/>
    <w:rsid w:val="008641BA"/>
    <w:rsid w:val="00866791"/>
    <w:rsid w:val="00875C23"/>
    <w:rsid w:val="008A687D"/>
    <w:rsid w:val="008A712C"/>
    <w:rsid w:val="008B23AC"/>
    <w:rsid w:val="008C3BA5"/>
    <w:rsid w:val="008E45A9"/>
    <w:rsid w:val="00900B8C"/>
    <w:rsid w:val="00902DE6"/>
    <w:rsid w:val="009A1055"/>
    <w:rsid w:val="009B20F4"/>
    <w:rsid w:val="009B5072"/>
    <w:rsid w:val="009B6033"/>
    <w:rsid w:val="009F4888"/>
    <w:rsid w:val="00A042E1"/>
    <w:rsid w:val="00A31EB1"/>
    <w:rsid w:val="00A438BC"/>
    <w:rsid w:val="00B16EEE"/>
    <w:rsid w:val="00B3084B"/>
    <w:rsid w:val="00B75D15"/>
    <w:rsid w:val="00B84AF4"/>
    <w:rsid w:val="00BD177E"/>
    <w:rsid w:val="00BD7D6E"/>
    <w:rsid w:val="00BF32ED"/>
    <w:rsid w:val="00C6799A"/>
    <w:rsid w:val="00C86394"/>
    <w:rsid w:val="00CB0B1E"/>
    <w:rsid w:val="00CC5CBA"/>
    <w:rsid w:val="00CE05E2"/>
    <w:rsid w:val="00CE54B2"/>
    <w:rsid w:val="00CF2B99"/>
    <w:rsid w:val="00D1326C"/>
    <w:rsid w:val="00D359CC"/>
    <w:rsid w:val="00DE4831"/>
    <w:rsid w:val="00E47A3C"/>
    <w:rsid w:val="00E573AA"/>
    <w:rsid w:val="00E745F6"/>
    <w:rsid w:val="00E813FD"/>
    <w:rsid w:val="00E84E46"/>
    <w:rsid w:val="00EB3CC4"/>
    <w:rsid w:val="00F12CC2"/>
    <w:rsid w:val="00F33E34"/>
    <w:rsid w:val="00F70A0D"/>
    <w:rsid w:val="00F9090B"/>
    <w:rsid w:val="00F92E95"/>
    <w:rsid w:val="00F958D2"/>
    <w:rsid w:val="00FA0070"/>
    <w:rsid w:val="00FC1556"/>
    <w:rsid w:val="00FD34C0"/>
    <w:rsid w:val="00FF50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E46"/>
    <w:pPr>
      <w:ind w:firstLine="851"/>
      <w:jc w:val="both"/>
    </w:pPr>
    <w:rPr>
      <w:rFonts w:ascii="Times New Roman" w:eastAsia="Times New Roman" w:hAnsi="Times New Roman"/>
      <w:sz w:val="24"/>
      <w:szCs w:val="24"/>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uiPriority w:val="99"/>
    <w:rsid w:val="00E84E46"/>
    <w:pPr>
      <w:tabs>
        <w:tab w:val="center" w:pos="4536"/>
        <w:tab w:val="right" w:pos="9072"/>
      </w:tabs>
    </w:pPr>
  </w:style>
  <w:style w:type="character" w:customStyle="1" w:styleId="En-tteCar">
    <w:name w:val="En-tête Car"/>
    <w:link w:val="En-tte"/>
    <w:uiPriority w:val="99"/>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rsid w:val="00E84E46"/>
    <w:pPr>
      <w:tabs>
        <w:tab w:val="center" w:pos="4536"/>
        <w:tab w:val="right" w:pos="9072"/>
      </w:tabs>
    </w:pPr>
  </w:style>
  <w:style w:type="character" w:customStyle="1" w:styleId="PieddepageCar">
    <w:name w:val="Pied de page Car"/>
    <w:link w:val="Pieddepage"/>
    <w:uiPriority w:val="99"/>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character" w:styleId="Accentuation">
    <w:name w:val="Emphasis"/>
    <w:uiPriority w:val="20"/>
    <w:qFormat/>
    <w:rsid w:val="0010584B"/>
    <w:rPr>
      <w:i/>
      <w:iCs/>
    </w:rPr>
  </w:style>
  <w:style w:type="character" w:styleId="Emphaseple">
    <w:name w:val="Subtle Emphasis"/>
    <w:uiPriority w:val="19"/>
    <w:qFormat/>
    <w:rsid w:val="0010584B"/>
    <w:rPr>
      <w:i/>
      <w:iCs/>
      <w:color w:val="808080"/>
    </w:rPr>
  </w:style>
  <w:style w:type="paragraph" w:styleId="Textedebulles">
    <w:name w:val="Balloon Text"/>
    <w:basedOn w:val="Normal"/>
    <w:link w:val="TextedebullesCar"/>
    <w:uiPriority w:val="99"/>
    <w:semiHidden/>
    <w:unhideWhenUsed/>
    <w:rsid w:val="00053E17"/>
    <w:rPr>
      <w:rFonts w:ascii="Tahoma" w:hAnsi="Tahoma" w:cs="Tahoma"/>
      <w:sz w:val="16"/>
      <w:szCs w:val="16"/>
    </w:rPr>
  </w:style>
  <w:style w:type="character" w:customStyle="1" w:styleId="TextedebullesCar">
    <w:name w:val="Texte de bulles Car"/>
    <w:link w:val="Textedebulles"/>
    <w:uiPriority w:val="99"/>
    <w:semiHidden/>
    <w:rsid w:val="00053E17"/>
    <w:rPr>
      <w:rFonts w:ascii="Tahoma" w:eastAsia="Times New Roman" w:hAnsi="Tahoma" w:cs="Tahoma"/>
      <w:sz w:val="16"/>
      <w:szCs w:val="16"/>
      <w:lang w:eastAsia="fr-FR"/>
    </w:rPr>
  </w:style>
  <w:style w:type="paragraph" w:customStyle="1" w:styleId="PS">
    <w:name w:val="PS"/>
    <w:basedOn w:val="Normal"/>
    <w:link w:val="PSCar"/>
    <w:rsid w:val="005A228F"/>
    <w:pPr>
      <w:spacing w:after="480"/>
      <w:ind w:left="1701" w:firstLine="1134"/>
    </w:pPr>
    <w:rPr>
      <w:rFonts w:ascii="CG Times (WN)" w:hAnsi="CG Times (WN)"/>
      <w:szCs w:val="20"/>
    </w:rPr>
  </w:style>
  <w:style w:type="character" w:customStyle="1" w:styleId="PSCar">
    <w:name w:val="PS Car"/>
    <w:link w:val="PS"/>
    <w:rsid w:val="005A228F"/>
    <w:rPr>
      <w:rFonts w:ascii="CG Times (WN)" w:eastAsia="Times New Roman" w:hAnsi="CG Times (WN)" w:cs="Times New Roman"/>
      <w:sz w:val="24"/>
      <w:szCs w:val="20"/>
      <w:lang w:eastAsia="fr-FR"/>
    </w:rPr>
  </w:style>
  <w:style w:type="character" w:styleId="Marquedecommentaire">
    <w:name w:val="annotation reference"/>
    <w:uiPriority w:val="99"/>
    <w:semiHidden/>
    <w:unhideWhenUsed/>
    <w:rsid w:val="005D7CB0"/>
    <w:rPr>
      <w:sz w:val="16"/>
      <w:szCs w:val="16"/>
    </w:rPr>
  </w:style>
  <w:style w:type="paragraph" w:styleId="Commentaire">
    <w:name w:val="annotation text"/>
    <w:basedOn w:val="Normal"/>
    <w:link w:val="CommentaireCar"/>
    <w:uiPriority w:val="99"/>
    <w:semiHidden/>
    <w:unhideWhenUsed/>
    <w:rsid w:val="005D7CB0"/>
    <w:rPr>
      <w:sz w:val="20"/>
      <w:szCs w:val="20"/>
    </w:rPr>
  </w:style>
  <w:style w:type="character" w:customStyle="1" w:styleId="CommentaireCar">
    <w:name w:val="Commentaire Car"/>
    <w:link w:val="Commentaire"/>
    <w:uiPriority w:val="99"/>
    <w:semiHidden/>
    <w:rsid w:val="005D7CB0"/>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5D7CB0"/>
    <w:rPr>
      <w:b/>
      <w:bCs/>
    </w:rPr>
  </w:style>
  <w:style w:type="character" w:customStyle="1" w:styleId="ObjetducommentaireCar">
    <w:name w:val="Objet du commentaire Car"/>
    <w:link w:val="Objetducommentaire"/>
    <w:uiPriority w:val="99"/>
    <w:semiHidden/>
    <w:rsid w:val="005D7CB0"/>
    <w:rPr>
      <w:rFonts w:ascii="Times New Roman" w:eastAsia="Times New Roman" w:hAnsi="Times New Roman" w:cs="Times New Roman"/>
      <w:b/>
      <w:bCs/>
      <w:sz w:val="20"/>
      <w:szCs w:val="20"/>
      <w:lang w:eastAsia="fr-FR"/>
    </w:rPr>
  </w:style>
  <w:style w:type="paragraph" w:styleId="Rvision">
    <w:name w:val="Revision"/>
    <w:hidden/>
    <w:uiPriority w:val="99"/>
    <w:semiHidden/>
    <w:rsid w:val="005D7CB0"/>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E46"/>
    <w:pPr>
      <w:ind w:firstLine="851"/>
      <w:jc w:val="both"/>
    </w:pPr>
    <w:rPr>
      <w:rFonts w:ascii="Times New Roman" w:eastAsia="Times New Roman" w:hAnsi="Times New Roman"/>
      <w:sz w:val="24"/>
      <w:szCs w:val="24"/>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uiPriority w:val="99"/>
    <w:rsid w:val="00E84E46"/>
    <w:pPr>
      <w:tabs>
        <w:tab w:val="center" w:pos="4536"/>
        <w:tab w:val="right" w:pos="9072"/>
      </w:tabs>
    </w:pPr>
  </w:style>
  <w:style w:type="character" w:customStyle="1" w:styleId="En-tteCar">
    <w:name w:val="En-tête Car"/>
    <w:link w:val="En-tte"/>
    <w:uiPriority w:val="99"/>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rsid w:val="00E84E46"/>
    <w:pPr>
      <w:tabs>
        <w:tab w:val="center" w:pos="4536"/>
        <w:tab w:val="right" w:pos="9072"/>
      </w:tabs>
    </w:pPr>
  </w:style>
  <w:style w:type="character" w:customStyle="1" w:styleId="PieddepageCar">
    <w:name w:val="Pied de page Car"/>
    <w:link w:val="Pieddepage"/>
    <w:uiPriority w:val="99"/>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character" w:styleId="Accentuation">
    <w:name w:val="Emphasis"/>
    <w:uiPriority w:val="20"/>
    <w:qFormat/>
    <w:rsid w:val="0010584B"/>
    <w:rPr>
      <w:i/>
      <w:iCs/>
    </w:rPr>
  </w:style>
  <w:style w:type="character" w:styleId="Emphaseple">
    <w:name w:val="Subtle Emphasis"/>
    <w:uiPriority w:val="19"/>
    <w:qFormat/>
    <w:rsid w:val="0010584B"/>
    <w:rPr>
      <w:i/>
      <w:iCs/>
      <w:color w:val="808080"/>
    </w:rPr>
  </w:style>
  <w:style w:type="paragraph" w:styleId="Textedebulles">
    <w:name w:val="Balloon Text"/>
    <w:basedOn w:val="Normal"/>
    <w:link w:val="TextedebullesCar"/>
    <w:uiPriority w:val="99"/>
    <w:semiHidden/>
    <w:unhideWhenUsed/>
    <w:rsid w:val="00053E17"/>
    <w:rPr>
      <w:rFonts w:ascii="Tahoma" w:hAnsi="Tahoma" w:cs="Tahoma"/>
      <w:sz w:val="16"/>
      <w:szCs w:val="16"/>
    </w:rPr>
  </w:style>
  <w:style w:type="character" w:customStyle="1" w:styleId="TextedebullesCar">
    <w:name w:val="Texte de bulles Car"/>
    <w:link w:val="Textedebulles"/>
    <w:uiPriority w:val="99"/>
    <w:semiHidden/>
    <w:rsid w:val="00053E17"/>
    <w:rPr>
      <w:rFonts w:ascii="Tahoma" w:eastAsia="Times New Roman" w:hAnsi="Tahoma" w:cs="Tahoma"/>
      <w:sz w:val="16"/>
      <w:szCs w:val="16"/>
      <w:lang w:eastAsia="fr-FR"/>
    </w:rPr>
  </w:style>
  <w:style w:type="paragraph" w:customStyle="1" w:styleId="PS">
    <w:name w:val="PS"/>
    <w:basedOn w:val="Normal"/>
    <w:link w:val="PSCar"/>
    <w:rsid w:val="005A228F"/>
    <w:pPr>
      <w:spacing w:after="480"/>
      <w:ind w:left="1701" w:firstLine="1134"/>
    </w:pPr>
    <w:rPr>
      <w:rFonts w:ascii="CG Times (WN)" w:hAnsi="CG Times (WN)"/>
      <w:szCs w:val="20"/>
    </w:rPr>
  </w:style>
  <w:style w:type="character" w:customStyle="1" w:styleId="PSCar">
    <w:name w:val="PS Car"/>
    <w:link w:val="PS"/>
    <w:rsid w:val="005A228F"/>
    <w:rPr>
      <w:rFonts w:ascii="CG Times (WN)" w:eastAsia="Times New Roman" w:hAnsi="CG Times (WN)" w:cs="Times New Roman"/>
      <w:sz w:val="24"/>
      <w:szCs w:val="20"/>
      <w:lang w:eastAsia="fr-FR"/>
    </w:rPr>
  </w:style>
  <w:style w:type="character" w:styleId="Marquedecommentaire">
    <w:name w:val="annotation reference"/>
    <w:uiPriority w:val="99"/>
    <w:semiHidden/>
    <w:unhideWhenUsed/>
    <w:rsid w:val="005D7CB0"/>
    <w:rPr>
      <w:sz w:val="16"/>
      <w:szCs w:val="16"/>
    </w:rPr>
  </w:style>
  <w:style w:type="paragraph" w:styleId="Commentaire">
    <w:name w:val="annotation text"/>
    <w:basedOn w:val="Normal"/>
    <w:link w:val="CommentaireCar"/>
    <w:uiPriority w:val="99"/>
    <w:semiHidden/>
    <w:unhideWhenUsed/>
    <w:rsid w:val="005D7CB0"/>
    <w:rPr>
      <w:sz w:val="20"/>
      <w:szCs w:val="20"/>
    </w:rPr>
  </w:style>
  <w:style w:type="character" w:customStyle="1" w:styleId="CommentaireCar">
    <w:name w:val="Commentaire Car"/>
    <w:link w:val="Commentaire"/>
    <w:uiPriority w:val="99"/>
    <w:semiHidden/>
    <w:rsid w:val="005D7CB0"/>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5D7CB0"/>
    <w:rPr>
      <w:b/>
      <w:bCs/>
    </w:rPr>
  </w:style>
  <w:style w:type="character" w:customStyle="1" w:styleId="ObjetducommentaireCar">
    <w:name w:val="Objet du commentaire Car"/>
    <w:link w:val="Objetducommentaire"/>
    <w:uiPriority w:val="99"/>
    <w:semiHidden/>
    <w:rsid w:val="005D7CB0"/>
    <w:rPr>
      <w:rFonts w:ascii="Times New Roman" w:eastAsia="Times New Roman" w:hAnsi="Times New Roman" w:cs="Times New Roman"/>
      <w:b/>
      <w:bCs/>
      <w:sz w:val="20"/>
      <w:szCs w:val="20"/>
      <w:lang w:eastAsia="fr-FR"/>
    </w:rPr>
  </w:style>
  <w:style w:type="paragraph" w:styleId="Rvision">
    <w:name w:val="Revision"/>
    <w:hidden/>
    <w:uiPriority w:val="99"/>
    <w:semiHidden/>
    <w:rsid w:val="005D7CB0"/>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8C983-435B-44C9-9170-6B89CD583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1693</Words>
  <Characters>9316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10988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Rolland, Yves</dc:creator>
  <cp:lastModifiedBy>Jean-Pierre Bonin</cp:lastModifiedBy>
  <cp:revision>4</cp:revision>
  <cp:lastPrinted>2014-11-26T18:09:00Z</cp:lastPrinted>
  <dcterms:created xsi:type="dcterms:W3CDTF">2015-02-19T10:51:00Z</dcterms:created>
  <dcterms:modified xsi:type="dcterms:W3CDTF">2015-02-20T10:28:00Z</dcterms:modified>
</cp:coreProperties>
</file>