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7468" w:rsidRDefault="00CB7468" w:rsidP="00AC0057">
      <w:pPr>
        <w:pStyle w:val="ET"/>
        <w:ind w:right="6378"/>
        <w:jc w:val="center"/>
        <w:outlineLvl w:val="0"/>
        <w:rPr>
          <w:caps w:val="0"/>
        </w:rPr>
      </w:pPr>
      <w:r>
        <w:rPr>
          <w:caps w:val="0"/>
        </w:rPr>
        <w:t xml:space="preserve">COUR </w:t>
      </w:r>
      <w:r>
        <w:rPr>
          <w:bCs/>
          <w:caps w:val="0"/>
          <w:szCs w:val="24"/>
        </w:rPr>
        <w:t>DES</w:t>
      </w:r>
      <w:r>
        <w:rPr>
          <w:caps w:val="0"/>
        </w:rPr>
        <w:t xml:space="preserve"> COMPTES</w:t>
      </w:r>
    </w:p>
    <w:p w:rsidR="00CB7468" w:rsidRDefault="00CB7468" w:rsidP="00AC0057">
      <w:pPr>
        <w:pStyle w:val="ET"/>
        <w:ind w:right="6378"/>
        <w:jc w:val="center"/>
      </w:pPr>
      <w:r>
        <w:t>----------</w:t>
      </w:r>
    </w:p>
    <w:p w:rsidR="00CB7468" w:rsidRDefault="00CB7468" w:rsidP="00AC0057">
      <w:pPr>
        <w:pStyle w:val="ET"/>
        <w:ind w:right="6378"/>
        <w:jc w:val="center"/>
        <w:outlineLvl w:val="0"/>
        <w:rPr>
          <w:caps w:val="0"/>
        </w:rPr>
      </w:pPr>
      <w:r>
        <w:rPr>
          <w:bCs/>
          <w:caps w:val="0"/>
          <w:szCs w:val="24"/>
        </w:rPr>
        <w:t>PREMIERE</w:t>
      </w:r>
      <w:r>
        <w:rPr>
          <w:caps w:val="0"/>
        </w:rPr>
        <w:t xml:space="preserve"> CHAMBRE</w:t>
      </w:r>
    </w:p>
    <w:p w:rsidR="00CB7468" w:rsidRDefault="00CB7468" w:rsidP="00AC0057">
      <w:pPr>
        <w:pStyle w:val="ET"/>
        <w:ind w:right="6378"/>
        <w:jc w:val="center"/>
      </w:pPr>
      <w:r>
        <w:t>----------</w:t>
      </w:r>
    </w:p>
    <w:p w:rsidR="00CB7468" w:rsidRDefault="00CB7468" w:rsidP="00AC0057">
      <w:pPr>
        <w:pStyle w:val="ET"/>
        <w:ind w:right="6378"/>
        <w:jc w:val="center"/>
        <w:outlineLvl w:val="0"/>
        <w:rPr>
          <w:caps w:val="0"/>
        </w:rPr>
      </w:pPr>
      <w:r>
        <w:rPr>
          <w:bCs/>
          <w:caps w:val="0"/>
          <w:szCs w:val="24"/>
        </w:rPr>
        <w:t>PREMIERE</w:t>
      </w:r>
      <w:r>
        <w:rPr>
          <w:caps w:val="0"/>
        </w:rPr>
        <w:t xml:space="preserve"> SECTION</w:t>
      </w:r>
    </w:p>
    <w:p w:rsidR="00CB7468" w:rsidRDefault="00CB7468" w:rsidP="00AC0057">
      <w:pPr>
        <w:pStyle w:val="ET"/>
        <w:ind w:right="6378"/>
        <w:jc w:val="center"/>
      </w:pPr>
      <w:r>
        <w:t>----------</w:t>
      </w:r>
    </w:p>
    <w:p w:rsidR="00CB7468" w:rsidRDefault="00CB7468" w:rsidP="00AC0057">
      <w:pPr>
        <w:pStyle w:val="En-tte"/>
        <w:ind w:right="6378"/>
        <w:jc w:val="center"/>
        <w:rPr>
          <w:b/>
          <w:i/>
          <w:sz w:val="22"/>
          <w:szCs w:val="22"/>
        </w:rPr>
      </w:pPr>
      <w:r>
        <w:rPr>
          <w:b/>
          <w:i/>
          <w:sz w:val="22"/>
          <w:szCs w:val="22"/>
        </w:rPr>
        <w:t>Arrêt n° </w:t>
      </w:r>
      <w:r w:rsidR="00647A1C">
        <w:rPr>
          <w:b/>
          <w:i/>
          <w:sz w:val="22"/>
          <w:szCs w:val="22"/>
        </w:rPr>
        <w:t>71408</w:t>
      </w:r>
    </w:p>
    <w:p w:rsidR="004E59D1" w:rsidRDefault="00CB7468" w:rsidP="004E59D1">
      <w:pPr>
        <w:pStyle w:val="OR"/>
        <w:ind w:left="4956"/>
      </w:pPr>
      <w:r>
        <w:t xml:space="preserve">TRESORIER-PAYEUR GENERAL </w:t>
      </w:r>
    </w:p>
    <w:p w:rsidR="00CB7468" w:rsidRDefault="00CB7468" w:rsidP="004E59D1">
      <w:pPr>
        <w:pStyle w:val="OR"/>
        <w:ind w:left="4956"/>
      </w:pPr>
      <w:r>
        <w:t>DE L’EURE</w:t>
      </w:r>
    </w:p>
    <w:p w:rsidR="00CB7468" w:rsidRDefault="00CB7468" w:rsidP="00CB7468">
      <w:pPr>
        <w:pStyle w:val="OR"/>
        <w:ind w:left="5387"/>
      </w:pPr>
    </w:p>
    <w:p w:rsidR="00CB7468" w:rsidRPr="008369F0" w:rsidRDefault="00CB7468" w:rsidP="004E59D1">
      <w:pPr>
        <w:pStyle w:val="OR"/>
        <w:ind w:left="4248" w:firstLine="708"/>
      </w:pPr>
      <w:r w:rsidRPr="008369F0">
        <w:t>Exercices 2008 à 2010</w:t>
      </w:r>
    </w:p>
    <w:p w:rsidR="00CB7468" w:rsidRDefault="00CB7468" w:rsidP="00CB7468">
      <w:pPr>
        <w:pStyle w:val="OR"/>
        <w:ind w:left="5387"/>
      </w:pPr>
    </w:p>
    <w:p w:rsidR="00CB7468" w:rsidRDefault="00CB7468" w:rsidP="004E59D1">
      <w:pPr>
        <w:pStyle w:val="OR"/>
        <w:ind w:left="4956"/>
      </w:pPr>
      <w:r>
        <w:t>Rapport n° 2014-387-0</w:t>
      </w:r>
    </w:p>
    <w:p w:rsidR="00CB7468" w:rsidRDefault="00CB7468" w:rsidP="00CB7468">
      <w:pPr>
        <w:pStyle w:val="OR"/>
        <w:ind w:left="5387"/>
      </w:pPr>
    </w:p>
    <w:p w:rsidR="00CB7468" w:rsidRDefault="00CB7468" w:rsidP="004E59D1">
      <w:pPr>
        <w:pStyle w:val="OR"/>
        <w:ind w:left="4679" w:firstLine="277"/>
      </w:pPr>
      <w:r>
        <w:t>Audience publique du 4 juin 2014</w:t>
      </w:r>
    </w:p>
    <w:p w:rsidR="004E59D1" w:rsidRDefault="004E59D1" w:rsidP="004E59D1">
      <w:pPr>
        <w:pStyle w:val="OR"/>
        <w:ind w:left="4679" w:firstLine="277"/>
      </w:pPr>
    </w:p>
    <w:p w:rsidR="00CB7468" w:rsidRDefault="00CB7468" w:rsidP="004E59D1">
      <w:pPr>
        <w:pStyle w:val="OR"/>
        <w:ind w:left="4248" w:firstLine="708"/>
      </w:pPr>
      <w:r>
        <w:t xml:space="preserve">Lecture publique du </w:t>
      </w:r>
      <w:r w:rsidR="004E59D1">
        <w:t>10 décembre 2014</w:t>
      </w:r>
    </w:p>
    <w:p w:rsidR="004E59D1" w:rsidRPr="001F13EB" w:rsidRDefault="004E59D1" w:rsidP="00CB7468">
      <w:pPr>
        <w:pStyle w:val="OR"/>
        <w:ind w:left="5387"/>
      </w:pPr>
    </w:p>
    <w:p w:rsidR="004E59D1" w:rsidRPr="001F13EB" w:rsidRDefault="004E59D1" w:rsidP="00CB7468">
      <w:pPr>
        <w:pStyle w:val="OR"/>
        <w:ind w:left="5387"/>
      </w:pPr>
    </w:p>
    <w:p w:rsidR="00CB7468" w:rsidRPr="001F13EB" w:rsidRDefault="00CB7468" w:rsidP="00CB7468">
      <w:pPr>
        <w:pStyle w:val="OR"/>
        <w:ind w:left="5387"/>
      </w:pPr>
    </w:p>
    <w:p w:rsidR="00376740" w:rsidRPr="00690D05" w:rsidRDefault="00376740" w:rsidP="00AC0057">
      <w:pPr>
        <w:pStyle w:val="P0"/>
        <w:spacing w:after="240"/>
        <w:ind w:left="0" w:right="-284"/>
        <w:jc w:val="center"/>
      </w:pPr>
      <w:r w:rsidRPr="00690D05">
        <w:t>REPUBLIQUE FRANÇAISE</w:t>
      </w:r>
    </w:p>
    <w:p w:rsidR="00376740" w:rsidRPr="00690D05" w:rsidRDefault="00376740" w:rsidP="00AC0057">
      <w:pPr>
        <w:pStyle w:val="P0"/>
        <w:spacing w:after="360"/>
        <w:ind w:left="0" w:right="-284"/>
        <w:jc w:val="center"/>
      </w:pPr>
      <w:r w:rsidRPr="00690D05">
        <w:t>AU NOM DU PEUPLE FRANÇAIS</w:t>
      </w:r>
    </w:p>
    <w:p w:rsidR="00376740" w:rsidRPr="00690D05" w:rsidRDefault="00376740" w:rsidP="00AC0057">
      <w:pPr>
        <w:pStyle w:val="P0"/>
        <w:spacing w:after="480"/>
        <w:ind w:left="0" w:right="-284"/>
        <w:jc w:val="center"/>
      </w:pPr>
      <w:r w:rsidRPr="00690D05">
        <w:t>LA COUR DES COMPTES a rendu l’arrêt suivant :</w:t>
      </w:r>
    </w:p>
    <w:p w:rsidR="00CB7468" w:rsidRDefault="00CB7468" w:rsidP="00AC0057">
      <w:pPr>
        <w:pStyle w:val="Corpsdetexte"/>
        <w:spacing w:before="360" w:after="200"/>
        <w:ind w:firstLine="709"/>
        <w:jc w:val="both"/>
        <w:rPr>
          <w:sz w:val="24"/>
          <w:szCs w:val="24"/>
        </w:rPr>
      </w:pPr>
      <w:r>
        <w:rPr>
          <w:sz w:val="24"/>
          <w:szCs w:val="24"/>
        </w:rPr>
        <w:t>LA COUR,</w:t>
      </w:r>
    </w:p>
    <w:p w:rsidR="00CB7468" w:rsidRDefault="00CB7468" w:rsidP="000778D0">
      <w:pPr>
        <w:pStyle w:val="Retraitcorpsdetexte"/>
        <w:ind w:left="0" w:firstLine="708"/>
      </w:pPr>
      <w:r>
        <w:t>Vu les comptes de gestion rendus pour les exercices 2008 à 2010 par M. </w:t>
      </w:r>
      <w:r w:rsidR="006020F7">
        <w:t>X</w:t>
      </w:r>
      <w:r>
        <w:t>, trésorier-payeur général, directeur départemental des finances publiques de l’Eure ;</w:t>
      </w:r>
    </w:p>
    <w:p w:rsidR="00CB7468" w:rsidRDefault="00CB7468" w:rsidP="000778D0">
      <w:pPr>
        <w:pStyle w:val="Retraitcorpsdetexte"/>
        <w:ind w:left="0" w:firstLine="708"/>
      </w:pPr>
      <w:r>
        <w:t>Vu les pièces produites à l’appui de ces comptes ou recueillies au cours de l’instruction ;</w:t>
      </w:r>
    </w:p>
    <w:p w:rsidR="00CB7468" w:rsidRDefault="00CB7468" w:rsidP="000778D0">
      <w:pPr>
        <w:pStyle w:val="Retraitcorpsdetexte"/>
        <w:ind w:left="0" w:firstLine="708"/>
      </w:pPr>
      <w:r>
        <w:t>Vu le code des juridictions financières, notamment ses articles L. 111-</w:t>
      </w:r>
      <w:smartTag w:uri="urn:schemas-microsoft-com:office:smarttags" w:element="metricconverter">
        <w:smartTagPr>
          <w:attr w:name="ProductID" w:val="1, L"/>
        </w:smartTagPr>
        <w:r>
          <w:t>1, L</w:t>
        </w:r>
      </w:smartTag>
      <w:r>
        <w:t>. 142</w:t>
      </w:r>
      <w:r>
        <w:noBreakHyphen/>
        <w:t>1,</w:t>
      </w:r>
      <w:r w:rsidR="0089082F">
        <w:t xml:space="preserve"> R. 112-8 et R. 142-1 à R. 142-3 et 4</w:t>
      </w:r>
      <w:r w:rsidR="00AC0057">
        <w:t> </w:t>
      </w:r>
      <w:r>
        <w:t>;</w:t>
      </w:r>
    </w:p>
    <w:p w:rsidR="00CB7468" w:rsidRDefault="00CB7468" w:rsidP="000778D0">
      <w:pPr>
        <w:pStyle w:val="Retraitcorpsdetexte"/>
        <w:ind w:left="0" w:firstLine="708"/>
      </w:pPr>
      <w:r>
        <w:t>Vu l'article 60 modifié de la loi de finances n° 63-156 du 23 février, ensemble le</w:t>
      </w:r>
      <w:r w:rsidR="00AC0057">
        <w:t xml:space="preserve"> </w:t>
      </w:r>
      <w:r>
        <w:t>décret n° 2012</w:t>
      </w:r>
      <w:r w:rsidR="00AC0057">
        <w:t>-</w:t>
      </w:r>
      <w:r>
        <w:t>1386 du 10 décembre 2012 portant application du deuxième alinéa du</w:t>
      </w:r>
      <w:r w:rsidR="00AC0057">
        <w:t xml:space="preserve"> </w:t>
      </w:r>
      <w:r>
        <w:t>VI de l’article 60 de ladite loi ;</w:t>
      </w:r>
    </w:p>
    <w:p w:rsidR="00CB7468" w:rsidRDefault="00CB7468" w:rsidP="000778D0">
      <w:pPr>
        <w:pStyle w:val="Retraitcorpsdetexte"/>
        <w:ind w:left="0" w:firstLine="708"/>
      </w:pPr>
      <w:r>
        <w:t>Vu les lois et règlements applicables à la comptabilité des comptables du Trésor</w:t>
      </w:r>
      <w:r w:rsidR="00495809">
        <w:t> ;</w:t>
      </w:r>
    </w:p>
    <w:p w:rsidR="00CB7468" w:rsidRDefault="00CB7468" w:rsidP="000778D0">
      <w:pPr>
        <w:pStyle w:val="Retraitcorpsdetexte"/>
        <w:ind w:left="0" w:firstLine="708"/>
      </w:pPr>
      <w:r>
        <w:t>Vu le</w:t>
      </w:r>
      <w:r w:rsidR="00AC0057">
        <w:t xml:space="preserve"> </w:t>
      </w:r>
      <w:r>
        <w:t>décret n° 62-1587 du 29</w:t>
      </w:r>
      <w:r w:rsidR="00AC0057">
        <w:t xml:space="preserve"> </w:t>
      </w:r>
      <w:r>
        <w:t>décembre</w:t>
      </w:r>
      <w:r w:rsidR="00AC0057">
        <w:t xml:space="preserve"> </w:t>
      </w:r>
      <w:r>
        <w:t>1962 portant règlement général sur la comptabilité publique, en vigueur au moment des faits</w:t>
      </w:r>
      <w:r w:rsidR="00AC0057">
        <w:t> ;</w:t>
      </w:r>
    </w:p>
    <w:p w:rsidR="00CB7468" w:rsidRDefault="00CB7468" w:rsidP="000778D0">
      <w:pPr>
        <w:pStyle w:val="Retraitcorpsdetexte"/>
        <w:ind w:left="0" w:firstLine="708"/>
      </w:pPr>
      <w:r>
        <w:t xml:space="preserve">Vu le </w:t>
      </w:r>
      <w:r w:rsidRPr="00D402C6">
        <w:t>décret n° 92-1370 du 29 décembre 1992 relatif à l'admission en non-valeur des créances de l'Etat mentionnées à l'article 80 du décret n° 62-1587 du 29</w:t>
      </w:r>
      <w:r w:rsidR="00AC0057">
        <w:t xml:space="preserve"> </w:t>
      </w:r>
      <w:r w:rsidRPr="00D402C6">
        <w:t>décembre 1962 modifié portant règlement général sur la comptabilité publique</w:t>
      </w:r>
      <w:r>
        <w:t> ;</w:t>
      </w:r>
    </w:p>
    <w:p w:rsidR="00CB7468" w:rsidRDefault="00CB7468" w:rsidP="000778D0">
      <w:pPr>
        <w:pStyle w:val="Retraitcorpsdetexte"/>
        <w:ind w:left="0" w:firstLine="708"/>
      </w:pPr>
      <w:r>
        <w:t>Vu l’arrêté du 26 septembre 2006 relatif à la fixation du cautionnement des contrôleurs budgétaires et comptables ministériels, des comptables directs du Trésor et des huissiers du Trésor public ;</w:t>
      </w:r>
    </w:p>
    <w:p w:rsidR="00CB7468" w:rsidRDefault="00CB7468" w:rsidP="000778D0">
      <w:pPr>
        <w:pStyle w:val="Retraitcorpsdetexte"/>
        <w:ind w:left="0" w:firstLine="708"/>
      </w:pPr>
      <w:r>
        <w:lastRenderedPageBreak/>
        <w:t>Vu la circulaire du ministre du budget du 30 septembre 2003, relative à la nomenclature des pièces justificatives des dépenses de l’État et l’instruction codificatrice n° 03-060-B du 17</w:t>
      </w:r>
      <w:r w:rsidR="00AC0057">
        <w:t xml:space="preserve"> </w:t>
      </w:r>
      <w:r>
        <w:t>novembre</w:t>
      </w:r>
      <w:r w:rsidR="00AC0057">
        <w:t xml:space="preserve"> </w:t>
      </w:r>
      <w:r>
        <w:t>2003</w:t>
      </w:r>
      <w:r w:rsidR="00AC0057">
        <w:t> ;</w:t>
      </w:r>
    </w:p>
    <w:p w:rsidR="00CB7468" w:rsidRDefault="00CB7468" w:rsidP="000778D0">
      <w:pPr>
        <w:pStyle w:val="Retraitcorpsdetexte"/>
        <w:ind w:left="0" w:firstLine="708"/>
      </w:pPr>
      <w:r>
        <w:t>Vu l’arrêté du Premier président de la Cour des comptes n° 13-930 du 10 décembre 2013 portant répartition des attributions entre les chambres de la Cour des comptes ;</w:t>
      </w:r>
    </w:p>
    <w:p w:rsidR="00CB7468" w:rsidRDefault="00CB7468" w:rsidP="000778D0">
      <w:pPr>
        <w:pStyle w:val="Retraitcorpsdetexte"/>
        <w:ind w:left="0" w:firstLine="708"/>
      </w:pPr>
      <w:r>
        <w:t>Vu le réquisitoire à fin d’instruction de charges n° 2014-11 RQ-DB du 31</w:t>
      </w:r>
      <w:r w:rsidR="00AC0057">
        <w:t xml:space="preserve"> </w:t>
      </w:r>
      <w:r>
        <w:t>janvier</w:t>
      </w:r>
      <w:r w:rsidR="00AC0057">
        <w:t xml:space="preserve"> </w:t>
      </w:r>
      <w:r>
        <w:t>2014, notifié le 5</w:t>
      </w:r>
      <w:r w:rsidR="00AC0057">
        <w:t xml:space="preserve"> </w:t>
      </w:r>
      <w:r>
        <w:t>février</w:t>
      </w:r>
      <w:r w:rsidR="00AC0057">
        <w:t xml:space="preserve"> </w:t>
      </w:r>
      <w:r>
        <w:t>2014, dont M. </w:t>
      </w:r>
      <w:r w:rsidR="006020F7">
        <w:t>X</w:t>
      </w:r>
      <w:r>
        <w:t xml:space="preserve"> a accusé réception le</w:t>
      </w:r>
      <w:r w:rsidR="00AC0057">
        <w:t xml:space="preserve"> </w:t>
      </w:r>
      <w:r>
        <w:t>7</w:t>
      </w:r>
      <w:r w:rsidR="00AC0057">
        <w:t xml:space="preserve"> </w:t>
      </w:r>
      <w:r>
        <w:t>février</w:t>
      </w:r>
      <w:r w:rsidR="00AC0057">
        <w:t xml:space="preserve"> </w:t>
      </w:r>
      <w:r>
        <w:t>2014 ;</w:t>
      </w:r>
    </w:p>
    <w:p w:rsidR="00CB7468" w:rsidRDefault="00CB7468" w:rsidP="000778D0">
      <w:pPr>
        <w:pStyle w:val="Retraitcorpsdetexte"/>
        <w:ind w:left="0" w:firstLine="708"/>
      </w:pPr>
      <w:r>
        <w:t>Vu la décision du président de la première chambre de la Cour des comptes désignant M. Jean-Michel de Mourgues, conseiller maître, pour instruire les suites à donner au réquisitoire susvisé ;</w:t>
      </w:r>
    </w:p>
    <w:p w:rsidR="0079622B" w:rsidRPr="00B72D83" w:rsidRDefault="0079622B" w:rsidP="00B72D83">
      <w:pPr>
        <w:spacing w:before="240"/>
        <w:ind w:firstLine="567"/>
        <w:jc w:val="both"/>
        <w:rPr>
          <w:sz w:val="24"/>
        </w:rPr>
      </w:pPr>
      <w:r w:rsidRPr="0079622B">
        <w:rPr>
          <w:sz w:val="24"/>
        </w:rPr>
        <w:t>Vu l</w:t>
      </w:r>
      <w:r w:rsidR="00CB5C01">
        <w:rPr>
          <w:sz w:val="24"/>
        </w:rPr>
        <w:t>a production</w:t>
      </w:r>
      <w:r w:rsidR="00E16E84">
        <w:rPr>
          <w:sz w:val="24"/>
        </w:rPr>
        <w:t xml:space="preserve"> de</w:t>
      </w:r>
      <w:r w:rsidR="00CB5C01">
        <w:rPr>
          <w:sz w:val="24"/>
        </w:rPr>
        <w:t xml:space="preserve"> garantie</w:t>
      </w:r>
      <w:r w:rsidR="00E16E84">
        <w:rPr>
          <w:sz w:val="24"/>
        </w:rPr>
        <w:t xml:space="preserve"> par</w:t>
      </w:r>
      <w:r>
        <w:rPr>
          <w:sz w:val="24"/>
        </w:rPr>
        <w:t xml:space="preserve"> </w:t>
      </w:r>
      <w:r w:rsidR="006020F7">
        <w:rPr>
          <w:sz w:val="24"/>
        </w:rPr>
        <w:t>M. X</w:t>
      </w:r>
      <w:r>
        <w:rPr>
          <w:sz w:val="24"/>
        </w:rPr>
        <w:t>, trésorier payeur général de l’</w:t>
      </w:r>
      <w:r w:rsidR="00E16E84">
        <w:rPr>
          <w:sz w:val="24"/>
        </w:rPr>
        <w:t>E</w:t>
      </w:r>
      <w:r w:rsidR="0079619C">
        <w:rPr>
          <w:sz w:val="24"/>
        </w:rPr>
        <w:t>ure, fixant le montant de son cautionnement</w:t>
      </w:r>
      <w:r w:rsidR="00AC0057">
        <w:rPr>
          <w:sz w:val="24"/>
        </w:rPr>
        <w:t> ;</w:t>
      </w:r>
    </w:p>
    <w:p w:rsidR="00CB7468" w:rsidRDefault="00CB7468" w:rsidP="000778D0">
      <w:pPr>
        <w:pStyle w:val="Retraitcorpsdetexte"/>
        <w:ind w:left="0" w:firstLine="708"/>
      </w:pPr>
      <w:r>
        <w:t>Vu le rapport à fin d’arrêt n° 2014-387-0 de M.</w:t>
      </w:r>
      <w:r w:rsidR="00AC0057">
        <w:t xml:space="preserve"> </w:t>
      </w:r>
      <w:r>
        <w:t xml:space="preserve">de </w:t>
      </w:r>
      <w:proofErr w:type="spellStart"/>
      <w:r>
        <w:t>Mourgues</w:t>
      </w:r>
      <w:proofErr w:type="spellEnd"/>
      <w:r w:rsidR="00AC0057">
        <w:t> ;</w:t>
      </w:r>
    </w:p>
    <w:p w:rsidR="00CB7468" w:rsidRDefault="00CB7468" w:rsidP="000778D0">
      <w:pPr>
        <w:pStyle w:val="Retraitcorpsdetexte"/>
        <w:ind w:left="0" w:firstLine="708"/>
      </w:pPr>
      <w:r>
        <w:t>Vu les conclusions n° 304 du Procureur général de la République en date du 15 mai 2014</w:t>
      </w:r>
      <w:r w:rsidR="00AC0057">
        <w:t> ;</w:t>
      </w:r>
    </w:p>
    <w:p w:rsidR="00CB7468" w:rsidRDefault="00CB7468" w:rsidP="000778D0">
      <w:pPr>
        <w:pStyle w:val="Retraitcorpsdetexte"/>
        <w:ind w:left="0" w:firstLine="708"/>
      </w:pPr>
      <w:r>
        <w:t>Vu les observations écrites de M. </w:t>
      </w:r>
      <w:r w:rsidR="006020F7">
        <w:t>X</w:t>
      </w:r>
      <w:r>
        <w:t xml:space="preserve"> enregistrées au greffe </w:t>
      </w:r>
      <w:r w:rsidRPr="007948C6">
        <w:t>le 10 mars</w:t>
      </w:r>
      <w:r w:rsidR="00AC0057">
        <w:t xml:space="preserve"> </w:t>
      </w:r>
      <w:r w:rsidRPr="007948C6">
        <w:t>2014 ;</w:t>
      </w:r>
    </w:p>
    <w:p w:rsidR="00CB7468" w:rsidRDefault="00CB7468" w:rsidP="000778D0">
      <w:pPr>
        <w:pStyle w:val="Retraitcorpsdetexte"/>
        <w:ind w:left="0" w:firstLine="708"/>
      </w:pPr>
      <w:r>
        <w:t>Vu la lettre du 13 mai 2014 informant M. </w:t>
      </w:r>
      <w:r w:rsidR="006020F7">
        <w:t>X</w:t>
      </w:r>
      <w:r w:rsidDel="005030C5">
        <w:t xml:space="preserve"> </w:t>
      </w:r>
      <w:r>
        <w:t>de la date de l’audience publique, ensemble l’accusé de réception de cette lettre en date du 19 mai 2014</w:t>
      </w:r>
      <w:r w:rsidR="00AC0057">
        <w:t> ;</w:t>
      </w:r>
    </w:p>
    <w:p w:rsidR="00CB7468" w:rsidRDefault="00CB7468" w:rsidP="000778D0">
      <w:pPr>
        <w:pStyle w:val="Retraitcorpsdetexte"/>
        <w:ind w:left="0" w:firstLine="708"/>
      </w:pPr>
      <w:r>
        <w:t>Entendus en audience publique, M. de Mourgues en son rapport, M. Yves Perrin, avocat général en ses conclusions orales et M. </w:t>
      </w:r>
      <w:r w:rsidR="006020F7">
        <w:t>X</w:t>
      </w:r>
      <w:r w:rsidRPr="00160670">
        <w:t xml:space="preserve"> en ses observations</w:t>
      </w:r>
      <w:r>
        <w:t>, ce dernier ayant eu la parole en dernier ;</w:t>
      </w:r>
    </w:p>
    <w:p w:rsidR="00CB7468" w:rsidRDefault="00CB7468" w:rsidP="000778D0">
      <w:pPr>
        <w:pStyle w:val="Retraitcorpsdetexte"/>
        <w:ind w:left="0" w:firstLine="708"/>
      </w:pPr>
      <w:r>
        <w:t>Ayant délibéré hors la présence du rapporteur et du ministère public et après avoir entendu M. </w:t>
      </w:r>
      <w:r w:rsidR="00495809">
        <w:t xml:space="preserve">Vincent </w:t>
      </w:r>
      <w:r>
        <w:t>Feller, conseiller maître, en ses observations ;</w:t>
      </w:r>
    </w:p>
    <w:p w:rsidR="00CB7468" w:rsidRDefault="00CB7468" w:rsidP="00CB7468">
      <w:pPr>
        <w:pStyle w:val="Retraitcorpsdetexte"/>
      </w:pPr>
    </w:p>
    <w:p w:rsidR="008C0723" w:rsidRDefault="008C0723" w:rsidP="00CB7468">
      <w:pPr>
        <w:pStyle w:val="Retraitcorpsdetexte"/>
      </w:pPr>
    </w:p>
    <w:p w:rsidR="00CB7468" w:rsidRDefault="00CB7468" w:rsidP="00AC0057">
      <w:pPr>
        <w:pStyle w:val="Retraitcorpsdetexte"/>
        <w:spacing w:after="240"/>
        <w:ind w:left="284"/>
        <w:rPr>
          <w:b/>
        </w:rPr>
      </w:pPr>
      <w:r>
        <w:rPr>
          <w:b/>
        </w:rPr>
        <w:t>Première charge :</w:t>
      </w:r>
    </w:p>
    <w:p w:rsidR="00CB7468" w:rsidRDefault="00CB7468" w:rsidP="00CB7468">
      <w:pPr>
        <w:pStyle w:val="Retraitcorpsdetexte"/>
        <w:rPr>
          <w:b/>
        </w:rPr>
      </w:pPr>
      <w:r>
        <w:rPr>
          <w:b/>
        </w:rPr>
        <w:t>Année 2010</w:t>
      </w:r>
    </w:p>
    <w:p w:rsidR="00CB7468" w:rsidRDefault="00CE10DE" w:rsidP="00AC0057">
      <w:pPr>
        <w:keepLines/>
        <w:spacing w:before="360"/>
        <w:ind w:firstLine="709"/>
        <w:jc w:val="both"/>
        <w:rPr>
          <w:sz w:val="24"/>
        </w:rPr>
      </w:pPr>
      <w:r>
        <w:rPr>
          <w:sz w:val="24"/>
        </w:rPr>
        <w:t>Considérant</w:t>
      </w:r>
      <w:r w:rsidR="00CB7468" w:rsidRPr="00160670">
        <w:rPr>
          <w:sz w:val="24"/>
        </w:rPr>
        <w:t xml:space="preserve"> qu’un</w:t>
      </w:r>
      <w:r w:rsidR="00CB7468" w:rsidRPr="00D402C6">
        <w:rPr>
          <w:sz w:val="24"/>
        </w:rPr>
        <w:t xml:space="preserve"> </w:t>
      </w:r>
      <w:r w:rsidR="00CB7468">
        <w:rPr>
          <w:sz w:val="24"/>
        </w:rPr>
        <w:t>a</w:t>
      </w:r>
      <w:r w:rsidR="00CB7468" w:rsidRPr="00A0525A">
        <w:rPr>
          <w:sz w:val="24"/>
        </w:rPr>
        <w:t>rrêté</w:t>
      </w:r>
      <w:r w:rsidR="00CB7468" w:rsidRPr="00D402C6">
        <w:rPr>
          <w:sz w:val="24"/>
        </w:rPr>
        <w:t xml:space="preserve"> préfectoral de mise en demeure du 27 mai 2005 avait enjoint la </w:t>
      </w:r>
      <w:r w:rsidR="00AC0057">
        <w:rPr>
          <w:sz w:val="24"/>
        </w:rPr>
        <w:t>« S</w:t>
      </w:r>
      <w:r w:rsidR="00CB7468" w:rsidRPr="00D402C6">
        <w:rPr>
          <w:sz w:val="24"/>
        </w:rPr>
        <w:t>ociété</w:t>
      </w:r>
      <w:r w:rsidR="000A3FC9">
        <w:rPr>
          <w:sz w:val="24"/>
        </w:rPr>
        <w:t xml:space="preserve"> High Tech </w:t>
      </w:r>
      <w:proofErr w:type="spellStart"/>
      <w:r w:rsidR="000A3FC9">
        <w:rPr>
          <w:sz w:val="24"/>
        </w:rPr>
        <w:t>Process</w:t>
      </w:r>
      <w:proofErr w:type="spellEnd"/>
      <w:r w:rsidR="00AC0057">
        <w:rPr>
          <w:sz w:val="24"/>
        </w:rPr>
        <w:t> »</w:t>
      </w:r>
      <w:r w:rsidR="00CB7468" w:rsidRPr="00D402C6">
        <w:rPr>
          <w:sz w:val="24"/>
        </w:rPr>
        <w:t xml:space="preserve"> </w:t>
      </w:r>
      <w:r w:rsidR="000A3FC9">
        <w:rPr>
          <w:sz w:val="24"/>
        </w:rPr>
        <w:t>(</w:t>
      </w:r>
      <w:r w:rsidR="00CB7468" w:rsidRPr="00D402C6">
        <w:rPr>
          <w:sz w:val="24"/>
        </w:rPr>
        <w:t>SHTP</w:t>
      </w:r>
      <w:r w:rsidR="000A3FC9">
        <w:rPr>
          <w:sz w:val="24"/>
        </w:rPr>
        <w:t>)</w:t>
      </w:r>
      <w:r w:rsidR="00CB7468" w:rsidRPr="00D402C6">
        <w:rPr>
          <w:sz w:val="24"/>
        </w:rPr>
        <w:t xml:space="preserve"> </w:t>
      </w:r>
      <w:r w:rsidR="00CB7468">
        <w:rPr>
          <w:sz w:val="24"/>
        </w:rPr>
        <w:t>de</w:t>
      </w:r>
      <w:r w:rsidR="00CB7468" w:rsidRPr="00D402C6">
        <w:rPr>
          <w:sz w:val="24"/>
        </w:rPr>
        <w:t xml:space="preserve"> régulariser la situation administrative de son établissement dans un délai de trois mois et </w:t>
      </w:r>
      <w:r w:rsidR="00CB7468">
        <w:rPr>
          <w:sz w:val="24"/>
        </w:rPr>
        <w:t>de</w:t>
      </w:r>
      <w:r w:rsidR="00CB7468" w:rsidRPr="00D402C6">
        <w:rPr>
          <w:sz w:val="24"/>
        </w:rPr>
        <w:t xml:space="preserve"> satisfaire aux dispositions de l’instruction annexée à l’arrêté ministériel du 26 septembre 1985 relatif aux ateliers de traitement de surface ;</w:t>
      </w:r>
      <w:r w:rsidR="00CB7468" w:rsidRPr="00A0525A">
        <w:rPr>
          <w:sz w:val="24"/>
        </w:rPr>
        <w:t xml:space="preserve"> </w:t>
      </w:r>
      <w:r w:rsidR="00CB7468">
        <w:rPr>
          <w:sz w:val="24"/>
        </w:rPr>
        <w:t>qu’après avoir c</w:t>
      </w:r>
      <w:r w:rsidR="00CB7468" w:rsidRPr="00D402C6">
        <w:rPr>
          <w:sz w:val="24"/>
        </w:rPr>
        <w:t>onstat</w:t>
      </w:r>
      <w:r w:rsidR="00CB7468">
        <w:rPr>
          <w:sz w:val="24"/>
        </w:rPr>
        <w:t>é</w:t>
      </w:r>
      <w:r w:rsidR="00CB7468" w:rsidRPr="00D402C6">
        <w:rPr>
          <w:sz w:val="24"/>
        </w:rPr>
        <w:t xml:space="preserve"> le défaut d’obtempérer de l’exploitant, un arrêté préfectoral du 20 janvier 2006 avait prescrit l’engagement d’une procédure de consignation à l’encontre de la SHTP, conformément aux dispositions de l’article L</w:t>
      </w:r>
      <w:r w:rsidR="00CB7468">
        <w:rPr>
          <w:sz w:val="24"/>
        </w:rPr>
        <w:t>. </w:t>
      </w:r>
      <w:r w:rsidR="00CB7468" w:rsidRPr="00D402C6">
        <w:rPr>
          <w:sz w:val="24"/>
        </w:rPr>
        <w:t>514-1 du code de l’environnement alors applicable</w:t>
      </w:r>
      <w:r w:rsidR="00CB7468">
        <w:rPr>
          <w:sz w:val="24"/>
        </w:rPr>
        <w:t> ;</w:t>
      </w:r>
    </w:p>
    <w:p w:rsidR="00CB7468" w:rsidRPr="00D402C6" w:rsidRDefault="0066351E" w:rsidP="00AC0057">
      <w:pPr>
        <w:keepLines/>
        <w:spacing w:before="360"/>
        <w:ind w:firstLine="709"/>
        <w:jc w:val="both"/>
        <w:rPr>
          <w:sz w:val="24"/>
        </w:rPr>
      </w:pPr>
      <w:r>
        <w:rPr>
          <w:sz w:val="24"/>
        </w:rPr>
        <w:t>Considérant</w:t>
      </w:r>
      <w:r w:rsidR="00CB7468">
        <w:rPr>
          <w:sz w:val="24"/>
        </w:rPr>
        <w:t xml:space="preserve"> qu’à cet effet, un </w:t>
      </w:r>
      <w:r w:rsidR="00CB7468" w:rsidRPr="00D402C6">
        <w:rPr>
          <w:sz w:val="24"/>
        </w:rPr>
        <w:t>titre de perception n°</w:t>
      </w:r>
      <w:r w:rsidR="00CB7468">
        <w:rPr>
          <w:sz w:val="24"/>
        </w:rPr>
        <w:t> </w:t>
      </w:r>
      <w:r w:rsidR="00CB7468" w:rsidRPr="00D402C6">
        <w:rPr>
          <w:sz w:val="24"/>
        </w:rPr>
        <w:t>4 avait été émis le 23</w:t>
      </w:r>
      <w:r w:rsidR="00AC0057">
        <w:rPr>
          <w:sz w:val="24"/>
        </w:rPr>
        <w:t xml:space="preserve"> </w:t>
      </w:r>
      <w:r w:rsidR="00CB7468" w:rsidRPr="00D402C6">
        <w:rPr>
          <w:sz w:val="24"/>
        </w:rPr>
        <w:t>février</w:t>
      </w:r>
      <w:r w:rsidR="00AC0057">
        <w:rPr>
          <w:sz w:val="24"/>
        </w:rPr>
        <w:t xml:space="preserve"> </w:t>
      </w:r>
      <w:r w:rsidR="00CB7468" w:rsidRPr="00D402C6">
        <w:rPr>
          <w:sz w:val="24"/>
        </w:rPr>
        <w:t>2006, à concurrence de 15</w:t>
      </w:r>
      <w:r w:rsidR="00CB7468">
        <w:rPr>
          <w:sz w:val="24"/>
        </w:rPr>
        <w:t> </w:t>
      </w:r>
      <w:r w:rsidR="00CB7468" w:rsidRPr="00D402C6">
        <w:rPr>
          <w:sz w:val="24"/>
        </w:rPr>
        <w:t>000</w:t>
      </w:r>
      <w:r w:rsidR="00CB7468">
        <w:rPr>
          <w:sz w:val="24"/>
        </w:rPr>
        <w:t> </w:t>
      </w:r>
      <w:r w:rsidR="00CB7468" w:rsidRPr="00D402C6">
        <w:rPr>
          <w:sz w:val="24"/>
        </w:rPr>
        <w:t>€, montant ramené à 3</w:t>
      </w:r>
      <w:r w:rsidR="00CB7468">
        <w:rPr>
          <w:sz w:val="24"/>
        </w:rPr>
        <w:t> </w:t>
      </w:r>
      <w:r w:rsidR="00CB7468" w:rsidRPr="00D402C6">
        <w:rPr>
          <w:sz w:val="24"/>
        </w:rPr>
        <w:t>500</w:t>
      </w:r>
      <w:r w:rsidR="00CB7468">
        <w:rPr>
          <w:sz w:val="24"/>
        </w:rPr>
        <w:t> </w:t>
      </w:r>
      <w:r w:rsidR="00CB7468" w:rsidRPr="00D402C6">
        <w:rPr>
          <w:sz w:val="24"/>
        </w:rPr>
        <w:t>€, suite à deux versements partiels des 15</w:t>
      </w:r>
      <w:r w:rsidR="00AC0057">
        <w:rPr>
          <w:sz w:val="24"/>
        </w:rPr>
        <w:t xml:space="preserve"> </w:t>
      </w:r>
      <w:r w:rsidR="00CB7468" w:rsidRPr="00D402C6">
        <w:rPr>
          <w:sz w:val="24"/>
        </w:rPr>
        <w:t>mai et 19 juin 2006 ;</w:t>
      </w:r>
    </w:p>
    <w:p w:rsidR="00CB7468" w:rsidRDefault="0066351E" w:rsidP="00AC0057">
      <w:pPr>
        <w:pStyle w:val="Retraitcorpsdetexte"/>
        <w:keepLines/>
        <w:spacing w:before="360" w:after="0"/>
        <w:ind w:left="0"/>
      </w:pPr>
      <w:r>
        <w:lastRenderedPageBreak/>
        <w:t>Considérant</w:t>
      </w:r>
      <w:r w:rsidR="00CB7468">
        <w:t xml:space="preserve"> que par réquisitoire susvisé, le Procureur général a relevé que le solde de 3 500 € de ce titre de perception était resté impayé</w:t>
      </w:r>
      <w:r w:rsidR="00AC0057">
        <w:t> ;</w:t>
      </w:r>
      <w:r w:rsidR="00CB7468">
        <w:t xml:space="preserve"> qu’il a estimé que l’absence de diligences adéquates, complètes et rapides, en vue du recouvrement de la créance détenu</w:t>
      </w:r>
      <w:r>
        <w:t>e</w:t>
      </w:r>
      <w:r w:rsidR="00CB7468">
        <w:t xml:space="preserve"> sur la société </w:t>
      </w:r>
      <w:r w:rsidR="00CB7468" w:rsidRPr="00B91C39">
        <w:t>SHTP</w:t>
      </w:r>
      <w:r w:rsidR="00CB7468">
        <w:t>, était susceptible de fonder la mise en jeu de la responsabilité personnelle et pécuniaire de M. </w:t>
      </w:r>
      <w:r w:rsidR="006020F7">
        <w:t>X</w:t>
      </w:r>
      <w:r w:rsidR="00CB7468">
        <w:t xml:space="preserve"> à hauteur de 3 500 € au titre de l’exercice 2010 ;</w:t>
      </w:r>
    </w:p>
    <w:p w:rsidR="00CB7468" w:rsidRPr="00B91C39" w:rsidRDefault="0066351E" w:rsidP="00AC0057">
      <w:pPr>
        <w:spacing w:before="360"/>
        <w:ind w:firstLine="709"/>
        <w:jc w:val="both"/>
        <w:rPr>
          <w:sz w:val="24"/>
        </w:rPr>
      </w:pPr>
      <w:r>
        <w:rPr>
          <w:sz w:val="24"/>
        </w:rPr>
        <w:t>Considérant</w:t>
      </w:r>
      <w:r w:rsidR="00CB7468">
        <w:rPr>
          <w:sz w:val="24"/>
        </w:rPr>
        <w:t xml:space="preserve"> que M. </w:t>
      </w:r>
      <w:r w:rsidR="006020F7">
        <w:rPr>
          <w:sz w:val="24"/>
        </w:rPr>
        <w:t>X</w:t>
      </w:r>
      <w:r w:rsidR="00CB7468">
        <w:rPr>
          <w:sz w:val="24"/>
        </w:rPr>
        <w:t xml:space="preserve"> rappelle qu’un plan de règlement avait été accordé à la société </w:t>
      </w:r>
      <w:r w:rsidR="00CB7468" w:rsidRPr="00B91C39">
        <w:rPr>
          <w:sz w:val="24"/>
        </w:rPr>
        <w:t>SHTP</w:t>
      </w:r>
      <w:r w:rsidR="00CB7468">
        <w:rPr>
          <w:sz w:val="24"/>
        </w:rPr>
        <w:t> ; que la somme de 3 500 €</w:t>
      </w:r>
      <w:r w:rsidR="00CB7468" w:rsidRPr="00C74FE7">
        <w:t xml:space="preserve"> </w:t>
      </w:r>
      <w:r w:rsidR="00CB7468" w:rsidRPr="00D402C6">
        <w:rPr>
          <w:sz w:val="24"/>
        </w:rPr>
        <w:t>restée impayée avait</w:t>
      </w:r>
      <w:r w:rsidR="00CB7468">
        <w:t xml:space="preserve"> </w:t>
      </w:r>
      <w:r w:rsidR="00CB7468" w:rsidRPr="00D402C6">
        <w:rPr>
          <w:sz w:val="24"/>
        </w:rPr>
        <w:t>fait l’objet de deux commandements de payer adressé</w:t>
      </w:r>
      <w:r w:rsidR="00CB7468">
        <w:rPr>
          <w:sz w:val="24"/>
        </w:rPr>
        <w:t>s</w:t>
      </w:r>
      <w:r w:rsidR="00CB7468" w:rsidRPr="00D402C6">
        <w:rPr>
          <w:sz w:val="24"/>
        </w:rPr>
        <w:t xml:space="preserve"> à la s</w:t>
      </w:r>
      <w:r w:rsidR="00CB7468">
        <w:rPr>
          <w:sz w:val="24"/>
        </w:rPr>
        <w:t>ociété les 5 décembre 2006</w:t>
      </w:r>
      <w:r w:rsidR="00CB7468" w:rsidRPr="00D402C6">
        <w:rPr>
          <w:sz w:val="24"/>
        </w:rPr>
        <w:t xml:space="preserve"> </w:t>
      </w:r>
      <w:r w:rsidR="00CB7468">
        <w:rPr>
          <w:sz w:val="24"/>
        </w:rPr>
        <w:t>et 4 juin 2008 ; qu’il</w:t>
      </w:r>
      <w:r w:rsidR="00CB7468" w:rsidRPr="00B91C39">
        <w:rPr>
          <w:sz w:val="24"/>
        </w:rPr>
        <w:t xml:space="preserve"> </w:t>
      </w:r>
      <w:r w:rsidR="00CB7468" w:rsidRPr="00D402C6">
        <w:rPr>
          <w:sz w:val="24"/>
        </w:rPr>
        <w:t>précise que le site d’exploitation de la société SHTP a été fermé par arr</w:t>
      </w:r>
      <w:r w:rsidR="00CB7468">
        <w:rPr>
          <w:sz w:val="24"/>
        </w:rPr>
        <w:t>êté préfectoral du 21 mars 2011 ; que, p</w:t>
      </w:r>
      <w:r w:rsidR="00CB7468" w:rsidRPr="00B91C39">
        <w:rPr>
          <w:sz w:val="24"/>
        </w:rPr>
        <w:t xml:space="preserve">ar arrêté en date du 25 février 2012, le préfet de l’Eure a procédé à la déconsignation de la somme versée </w:t>
      </w:r>
      <w:r w:rsidR="00CB7468">
        <w:rPr>
          <w:sz w:val="24"/>
        </w:rPr>
        <w:t>en application de l’</w:t>
      </w:r>
      <w:r w:rsidR="00CB7468" w:rsidRPr="00B91C39">
        <w:rPr>
          <w:sz w:val="24"/>
        </w:rPr>
        <w:t xml:space="preserve">arrêté du 20 janvier 2006 </w:t>
      </w:r>
      <w:r w:rsidR="00CB7468">
        <w:rPr>
          <w:sz w:val="24"/>
        </w:rPr>
        <w:t xml:space="preserve">susmentionné </w:t>
      </w:r>
      <w:r w:rsidR="00CB7468" w:rsidRPr="00B91C39">
        <w:rPr>
          <w:sz w:val="24"/>
        </w:rPr>
        <w:t>et a décidé la re</w:t>
      </w:r>
      <w:r w:rsidR="00CB7468">
        <w:rPr>
          <w:sz w:val="24"/>
        </w:rPr>
        <w:t xml:space="preserve">stitution de la somme consignée ; que </w:t>
      </w:r>
      <w:r w:rsidR="00CB7468" w:rsidRPr="00B91C39">
        <w:rPr>
          <w:sz w:val="24"/>
        </w:rPr>
        <w:t xml:space="preserve">la </w:t>
      </w:r>
      <w:r w:rsidR="00CB7468">
        <w:rPr>
          <w:sz w:val="24"/>
        </w:rPr>
        <w:t xml:space="preserve">créance </w:t>
      </w:r>
      <w:r w:rsidR="00CB7468" w:rsidRPr="00B91C39">
        <w:rPr>
          <w:sz w:val="24"/>
        </w:rPr>
        <w:t>de 3</w:t>
      </w:r>
      <w:r w:rsidR="00CB7468">
        <w:rPr>
          <w:sz w:val="24"/>
        </w:rPr>
        <w:t> </w:t>
      </w:r>
      <w:r w:rsidR="00CB7468" w:rsidRPr="00B91C39">
        <w:rPr>
          <w:sz w:val="24"/>
        </w:rPr>
        <w:t>500</w:t>
      </w:r>
      <w:r w:rsidR="00CB7468">
        <w:rPr>
          <w:sz w:val="24"/>
        </w:rPr>
        <w:t xml:space="preserve"> </w:t>
      </w:r>
      <w:r w:rsidR="00CB7468" w:rsidRPr="00B91C39">
        <w:rPr>
          <w:sz w:val="24"/>
        </w:rPr>
        <w:t xml:space="preserve">€ restant due </w:t>
      </w:r>
      <w:proofErr w:type="spellStart"/>
      <w:r w:rsidR="00CB7468" w:rsidRPr="00B91C39">
        <w:rPr>
          <w:sz w:val="24"/>
        </w:rPr>
        <w:t>a</w:t>
      </w:r>
      <w:proofErr w:type="spellEnd"/>
      <w:r w:rsidR="00CB7468" w:rsidRPr="00B91C39">
        <w:rPr>
          <w:sz w:val="24"/>
        </w:rPr>
        <w:t xml:space="preserve"> fait l’objet d’une annulation</w:t>
      </w:r>
      <w:r w:rsidR="00CB7468">
        <w:rPr>
          <w:sz w:val="24"/>
        </w:rPr>
        <w:t> ;</w:t>
      </w:r>
    </w:p>
    <w:p w:rsidR="00CB7468" w:rsidRDefault="00CB7468" w:rsidP="00CB7468">
      <w:pPr>
        <w:ind w:firstLine="993"/>
        <w:rPr>
          <w:sz w:val="24"/>
        </w:rPr>
      </w:pPr>
    </w:p>
    <w:p w:rsidR="00CB7468" w:rsidRDefault="0066351E" w:rsidP="000778D0">
      <w:pPr>
        <w:pStyle w:val="Retraitcorpsdetexte"/>
        <w:ind w:firstLine="426"/>
      </w:pPr>
      <w:r>
        <w:t>Considérant</w:t>
      </w:r>
      <w:r w:rsidR="00CB7468">
        <w:t xml:space="preserve"> que le comptable a ainsi apporté la preuve que la somme litigieuse n’avait pas à être recouvrée</w:t>
      </w:r>
      <w:r w:rsidR="00AC0057">
        <w:t> ;</w:t>
      </w:r>
      <w:r w:rsidR="00CB7468">
        <w:t xml:space="preserve"> qu’il convient, en </w:t>
      </w:r>
      <w:r w:rsidR="002C01F2">
        <w:t>conséquence, de déclarer un non-</w:t>
      </w:r>
      <w:r w:rsidR="00CB7468">
        <w:t>lieu à charge ;</w:t>
      </w:r>
    </w:p>
    <w:p w:rsidR="00CB7468" w:rsidRDefault="00CB7468" w:rsidP="00CB7468">
      <w:pPr>
        <w:ind w:firstLine="993"/>
      </w:pPr>
    </w:p>
    <w:p w:rsidR="00CB7468" w:rsidRPr="00D402C6" w:rsidRDefault="00CB7468" w:rsidP="00CB7468">
      <w:pPr>
        <w:rPr>
          <w:sz w:val="24"/>
        </w:rPr>
      </w:pPr>
    </w:p>
    <w:p w:rsidR="00CB7468" w:rsidRDefault="00CB7468" w:rsidP="00CB7468">
      <w:pPr>
        <w:pStyle w:val="Retraitcorpsdetexte"/>
        <w:rPr>
          <w:b/>
        </w:rPr>
      </w:pPr>
      <w:r>
        <w:rPr>
          <w:b/>
        </w:rPr>
        <w:t>Deuxième charge :</w:t>
      </w:r>
    </w:p>
    <w:p w:rsidR="00CB7468" w:rsidRDefault="00CB7468" w:rsidP="00AC0057">
      <w:pPr>
        <w:pStyle w:val="Retraitcorpsdetexte"/>
        <w:spacing w:before="240"/>
        <w:ind w:left="284"/>
        <w:rPr>
          <w:b/>
        </w:rPr>
      </w:pPr>
      <w:r>
        <w:rPr>
          <w:b/>
        </w:rPr>
        <w:t>Année 2008</w:t>
      </w:r>
    </w:p>
    <w:p w:rsidR="00CB7468" w:rsidRPr="00D402C6" w:rsidRDefault="0066351E" w:rsidP="003D3B1F">
      <w:pPr>
        <w:keepLines/>
        <w:spacing w:before="360"/>
        <w:ind w:left="283" w:firstLine="425"/>
        <w:jc w:val="both"/>
        <w:rPr>
          <w:sz w:val="24"/>
        </w:rPr>
      </w:pPr>
      <w:bookmarkStart w:id="0" w:name="_Toc350337945"/>
      <w:r>
        <w:rPr>
          <w:sz w:val="24"/>
        </w:rPr>
        <w:t>Considérant</w:t>
      </w:r>
      <w:r w:rsidR="00CB7468">
        <w:rPr>
          <w:sz w:val="24"/>
        </w:rPr>
        <w:t xml:space="preserve"> que le Procureur général a relevé que, sur proposition de </w:t>
      </w:r>
      <w:r w:rsidR="00CB7468" w:rsidRPr="00B91C39">
        <w:rPr>
          <w:sz w:val="24"/>
        </w:rPr>
        <w:t>M.</w:t>
      </w:r>
      <w:r w:rsidR="00CB7468">
        <w:rPr>
          <w:sz w:val="24"/>
        </w:rPr>
        <w:t> </w:t>
      </w:r>
      <w:r w:rsidR="006020F7">
        <w:rPr>
          <w:sz w:val="24"/>
        </w:rPr>
        <w:t>X</w:t>
      </w:r>
      <w:r w:rsidR="00CB7468">
        <w:rPr>
          <w:sz w:val="24"/>
        </w:rPr>
        <w:t>,</w:t>
      </w:r>
      <w:r w:rsidR="00CB7468" w:rsidRPr="00B91C39">
        <w:rPr>
          <w:sz w:val="24"/>
        </w:rPr>
        <w:t xml:space="preserve"> </w:t>
      </w:r>
      <w:r w:rsidR="00CB7468" w:rsidRPr="00D402C6">
        <w:rPr>
          <w:sz w:val="24"/>
        </w:rPr>
        <w:t>avai</w:t>
      </w:r>
      <w:r w:rsidR="00CB7468">
        <w:rPr>
          <w:sz w:val="24"/>
        </w:rPr>
        <w:t>en</w:t>
      </w:r>
      <w:r w:rsidR="00CB7468" w:rsidRPr="00D402C6">
        <w:rPr>
          <w:sz w:val="24"/>
        </w:rPr>
        <w:t xml:space="preserve">t notamment </w:t>
      </w:r>
      <w:r w:rsidR="00CB7468">
        <w:rPr>
          <w:sz w:val="24"/>
        </w:rPr>
        <w:t xml:space="preserve">été </w:t>
      </w:r>
      <w:r w:rsidR="00CB7468" w:rsidRPr="00D402C6">
        <w:rPr>
          <w:sz w:val="24"/>
        </w:rPr>
        <w:t>admis</w:t>
      </w:r>
      <w:r w:rsidR="00CB7468">
        <w:rPr>
          <w:sz w:val="24"/>
        </w:rPr>
        <w:t>es</w:t>
      </w:r>
      <w:r w:rsidR="00CB7468" w:rsidRPr="00D402C6">
        <w:rPr>
          <w:sz w:val="24"/>
        </w:rPr>
        <w:t xml:space="preserve"> en non-valeur </w:t>
      </w:r>
      <w:r w:rsidR="00CB7468">
        <w:rPr>
          <w:sz w:val="24"/>
        </w:rPr>
        <w:t xml:space="preserve">en </w:t>
      </w:r>
      <w:r w:rsidR="00CB7468" w:rsidRPr="00D402C6">
        <w:rPr>
          <w:sz w:val="24"/>
        </w:rPr>
        <w:t>2008</w:t>
      </w:r>
      <w:r w:rsidR="00CB7468">
        <w:rPr>
          <w:sz w:val="24"/>
        </w:rPr>
        <w:t xml:space="preserve"> </w:t>
      </w:r>
      <w:r w:rsidR="00CB7468" w:rsidRPr="00D402C6">
        <w:rPr>
          <w:sz w:val="24"/>
        </w:rPr>
        <w:t>deux créances relatives à des consignations environnementales, correspondant aux titres de perception suivants :</w:t>
      </w:r>
    </w:p>
    <w:p w:rsidR="00CB7468" w:rsidRPr="00D402C6" w:rsidRDefault="00CB7468" w:rsidP="00CB7468">
      <w:pPr>
        <w:keepLines/>
        <w:numPr>
          <w:ilvl w:val="0"/>
          <w:numId w:val="1"/>
        </w:numPr>
        <w:tabs>
          <w:tab w:val="clear" w:pos="-2963"/>
          <w:tab w:val="num" w:pos="1276"/>
          <w:tab w:val="num" w:pos="4356"/>
        </w:tabs>
        <w:spacing w:before="240"/>
        <w:ind w:left="1276" w:hanging="283"/>
        <w:jc w:val="both"/>
        <w:rPr>
          <w:sz w:val="24"/>
        </w:rPr>
      </w:pPr>
      <w:r w:rsidRPr="00D402C6">
        <w:rPr>
          <w:sz w:val="24"/>
        </w:rPr>
        <w:t>n°</w:t>
      </w:r>
      <w:r>
        <w:rPr>
          <w:sz w:val="24"/>
        </w:rPr>
        <w:t> </w:t>
      </w:r>
      <w:r w:rsidRPr="00D402C6">
        <w:rPr>
          <w:sz w:val="24"/>
        </w:rPr>
        <w:t xml:space="preserve">037/070/027/467451/2007/1 émis le 4 janvier 2007, envers </w:t>
      </w:r>
      <w:r w:rsidR="00AC0057">
        <w:rPr>
          <w:sz w:val="24"/>
        </w:rPr>
        <w:t>M</w:t>
      </w:r>
      <w:r w:rsidRPr="00AC0057">
        <w:rPr>
          <w:sz w:val="24"/>
          <w:vertAlign w:val="superscript"/>
        </w:rPr>
        <w:t>e</w:t>
      </w:r>
      <w:r w:rsidRPr="00D402C6">
        <w:rPr>
          <w:sz w:val="24"/>
        </w:rPr>
        <w:t xml:space="preserve"> </w:t>
      </w:r>
      <w:proofErr w:type="spellStart"/>
      <w:r w:rsidRPr="00D402C6">
        <w:rPr>
          <w:sz w:val="24"/>
        </w:rPr>
        <w:t>Diesbecq</w:t>
      </w:r>
      <w:proofErr w:type="spellEnd"/>
      <w:r>
        <w:rPr>
          <w:sz w:val="24"/>
        </w:rPr>
        <w:t>,</w:t>
      </w:r>
      <w:r w:rsidRPr="00D402C6">
        <w:rPr>
          <w:sz w:val="24"/>
        </w:rPr>
        <w:t xml:space="preserve"> en sa qualité de mandataire de la liquidation judiciaire de la société </w:t>
      </w:r>
      <w:r w:rsidR="00AC0057">
        <w:rPr>
          <w:sz w:val="24"/>
        </w:rPr>
        <w:t>« </w:t>
      </w:r>
      <w:proofErr w:type="spellStart"/>
      <w:r w:rsidRPr="00D402C6">
        <w:rPr>
          <w:sz w:val="24"/>
        </w:rPr>
        <w:t>Costil</w:t>
      </w:r>
      <w:proofErr w:type="spellEnd"/>
      <w:r w:rsidRPr="00D402C6">
        <w:rPr>
          <w:sz w:val="24"/>
        </w:rPr>
        <w:t xml:space="preserve"> Pont </w:t>
      </w:r>
      <w:proofErr w:type="spellStart"/>
      <w:r w:rsidRPr="00D402C6">
        <w:rPr>
          <w:sz w:val="24"/>
        </w:rPr>
        <w:t>Audemer</w:t>
      </w:r>
      <w:proofErr w:type="spellEnd"/>
      <w:r w:rsidRPr="00D402C6">
        <w:rPr>
          <w:sz w:val="24"/>
        </w:rPr>
        <w:t xml:space="preserve"> UNT</w:t>
      </w:r>
      <w:r w:rsidR="00AC0057">
        <w:rPr>
          <w:sz w:val="24"/>
        </w:rPr>
        <w:t> »</w:t>
      </w:r>
      <w:r w:rsidRPr="00D402C6">
        <w:rPr>
          <w:sz w:val="24"/>
        </w:rPr>
        <w:t>, pour 600 000 € ;</w:t>
      </w:r>
    </w:p>
    <w:p w:rsidR="00CB7468" w:rsidRPr="00D402C6" w:rsidRDefault="00CB7468" w:rsidP="00CB7468">
      <w:pPr>
        <w:keepLines/>
        <w:numPr>
          <w:ilvl w:val="0"/>
          <w:numId w:val="1"/>
        </w:numPr>
        <w:tabs>
          <w:tab w:val="clear" w:pos="-2963"/>
          <w:tab w:val="num" w:pos="1276"/>
          <w:tab w:val="num" w:pos="4356"/>
        </w:tabs>
        <w:spacing w:before="240"/>
        <w:ind w:left="1276" w:hanging="283"/>
        <w:jc w:val="both"/>
        <w:rPr>
          <w:sz w:val="24"/>
        </w:rPr>
      </w:pPr>
      <w:bookmarkStart w:id="1" w:name="_Toc350337946"/>
      <w:r w:rsidRPr="00D402C6">
        <w:rPr>
          <w:sz w:val="24"/>
        </w:rPr>
        <w:t>n°</w:t>
      </w:r>
      <w:r>
        <w:rPr>
          <w:sz w:val="24"/>
        </w:rPr>
        <w:t> </w:t>
      </w:r>
      <w:r w:rsidRPr="00D402C6">
        <w:rPr>
          <w:sz w:val="24"/>
        </w:rPr>
        <w:t xml:space="preserve">037/070/027/467451/2007/3 émis le 14 février 2007, envers </w:t>
      </w:r>
      <w:r w:rsidR="00AC0057">
        <w:rPr>
          <w:sz w:val="24"/>
        </w:rPr>
        <w:t>M</w:t>
      </w:r>
      <w:r w:rsidR="00AC0057" w:rsidRPr="00AC0057">
        <w:rPr>
          <w:sz w:val="24"/>
          <w:vertAlign w:val="superscript"/>
        </w:rPr>
        <w:t>e</w:t>
      </w:r>
      <w:r w:rsidR="00AC0057" w:rsidRPr="00D402C6">
        <w:rPr>
          <w:sz w:val="24"/>
        </w:rPr>
        <w:t xml:space="preserve"> </w:t>
      </w:r>
      <w:proofErr w:type="spellStart"/>
      <w:r w:rsidRPr="00D402C6">
        <w:rPr>
          <w:sz w:val="24"/>
        </w:rPr>
        <w:t>Diesbecq</w:t>
      </w:r>
      <w:proofErr w:type="spellEnd"/>
      <w:r>
        <w:rPr>
          <w:sz w:val="24"/>
        </w:rPr>
        <w:t>,</w:t>
      </w:r>
      <w:r w:rsidRPr="00D402C6">
        <w:rPr>
          <w:sz w:val="24"/>
        </w:rPr>
        <w:t xml:space="preserve"> en sa qualité de mandataire de la liquidation judiciaire de la société </w:t>
      </w:r>
      <w:r w:rsidR="00AC0057">
        <w:rPr>
          <w:sz w:val="24"/>
        </w:rPr>
        <w:t>« </w:t>
      </w:r>
      <w:r w:rsidRPr="00D402C6">
        <w:rPr>
          <w:sz w:val="24"/>
        </w:rPr>
        <w:t>Cartonnerie de Pont</w:t>
      </w:r>
      <w:r w:rsidR="00AC0057">
        <w:rPr>
          <w:sz w:val="24"/>
        </w:rPr>
        <w:t>-</w:t>
      </w:r>
      <w:r w:rsidRPr="00D402C6">
        <w:rPr>
          <w:sz w:val="24"/>
        </w:rPr>
        <w:t>Audemer</w:t>
      </w:r>
      <w:r w:rsidR="00AC0057">
        <w:rPr>
          <w:sz w:val="24"/>
        </w:rPr>
        <w:t> »</w:t>
      </w:r>
      <w:r w:rsidRPr="00D402C6">
        <w:rPr>
          <w:sz w:val="24"/>
        </w:rPr>
        <w:t>, pour 700 000 €</w:t>
      </w:r>
      <w:bookmarkEnd w:id="1"/>
      <w:r w:rsidRPr="00D402C6">
        <w:rPr>
          <w:sz w:val="24"/>
        </w:rPr>
        <w:t> ;</w:t>
      </w:r>
    </w:p>
    <w:p w:rsidR="00CB7468" w:rsidRPr="00B91C39" w:rsidRDefault="0066351E" w:rsidP="003D3B1F">
      <w:pPr>
        <w:keepLines/>
        <w:spacing w:before="360"/>
        <w:ind w:firstLine="708"/>
        <w:jc w:val="both"/>
        <w:rPr>
          <w:sz w:val="24"/>
        </w:rPr>
      </w:pPr>
      <w:r>
        <w:rPr>
          <w:sz w:val="24"/>
        </w:rPr>
        <w:t>Considérant</w:t>
      </w:r>
      <w:r w:rsidR="00CB7468">
        <w:rPr>
          <w:sz w:val="24"/>
        </w:rPr>
        <w:t xml:space="preserve"> que l</w:t>
      </w:r>
      <w:r w:rsidR="00CB7468" w:rsidRPr="00D402C6">
        <w:rPr>
          <w:sz w:val="24"/>
        </w:rPr>
        <w:t>ors de l’instruction préliminaire, le comptable a transmis les propositions d’admission en non-valeur de ces créances, adressées le 18 février 2008 au préfet</w:t>
      </w:r>
      <w:r w:rsidR="00CB7468">
        <w:rPr>
          <w:sz w:val="24"/>
        </w:rPr>
        <w:t xml:space="preserve"> de l’Eure</w:t>
      </w:r>
      <w:r w:rsidR="00CB7468" w:rsidRPr="00D402C6">
        <w:rPr>
          <w:sz w:val="24"/>
        </w:rPr>
        <w:t>, au motif de leur irrécouvrabilité et au vu d’attestations délivrées les 30</w:t>
      </w:r>
      <w:r w:rsidR="00AC0057">
        <w:rPr>
          <w:sz w:val="24"/>
        </w:rPr>
        <w:t xml:space="preserve"> </w:t>
      </w:r>
      <w:r w:rsidR="00CB7468" w:rsidRPr="00D402C6">
        <w:rPr>
          <w:sz w:val="24"/>
        </w:rPr>
        <w:t>janvier et 9</w:t>
      </w:r>
      <w:r w:rsidR="00AC0057">
        <w:rPr>
          <w:sz w:val="24"/>
        </w:rPr>
        <w:t xml:space="preserve"> </w:t>
      </w:r>
      <w:r w:rsidR="00CB7468" w:rsidRPr="00D402C6">
        <w:rPr>
          <w:sz w:val="24"/>
        </w:rPr>
        <w:t>mars</w:t>
      </w:r>
      <w:r w:rsidR="00AC0057">
        <w:rPr>
          <w:sz w:val="24"/>
        </w:rPr>
        <w:t xml:space="preserve"> </w:t>
      </w:r>
      <w:r w:rsidR="00CB7468" w:rsidRPr="00D402C6">
        <w:rPr>
          <w:sz w:val="24"/>
        </w:rPr>
        <w:t xml:space="preserve">2007 par le liquidateur judiciaire ; </w:t>
      </w:r>
      <w:r w:rsidR="00CB7468">
        <w:rPr>
          <w:sz w:val="24"/>
        </w:rPr>
        <w:t xml:space="preserve">qu’il </w:t>
      </w:r>
      <w:r w:rsidR="00CB7468" w:rsidRPr="00B91C39">
        <w:rPr>
          <w:sz w:val="24"/>
        </w:rPr>
        <w:t xml:space="preserve">a également transmis à la Cour les décisions d’admission en non-valeur correspondantes, signées par le </w:t>
      </w:r>
      <w:r w:rsidR="00CB7468">
        <w:rPr>
          <w:sz w:val="24"/>
        </w:rPr>
        <w:t xml:space="preserve">seul </w:t>
      </w:r>
      <w:r w:rsidR="00CB7468" w:rsidRPr="004A76DC">
        <w:rPr>
          <w:sz w:val="24"/>
        </w:rPr>
        <w:t>trésorier-payeur général</w:t>
      </w:r>
      <w:r w:rsidR="00CB7468" w:rsidRPr="00B91C39">
        <w:rPr>
          <w:sz w:val="24"/>
        </w:rPr>
        <w:t xml:space="preserve"> le 29</w:t>
      </w:r>
      <w:r w:rsidR="00AC0057">
        <w:rPr>
          <w:sz w:val="24"/>
        </w:rPr>
        <w:t xml:space="preserve"> </w:t>
      </w:r>
      <w:r w:rsidR="00CB7468" w:rsidRPr="00B91C39">
        <w:rPr>
          <w:sz w:val="24"/>
        </w:rPr>
        <w:t>février</w:t>
      </w:r>
      <w:r w:rsidR="00AC0057">
        <w:rPr>
          <w:sz w:val="24"/>
        </w:rPr>
        <w:t xml:space="preserve"> </w:t>
      </w:r>
      <w:r w:rsidR="00CB7468" w:rsidRPr="00B91C39">
        <w:rPr>
          <w:sz w:val="24"/>
        </w:rPr>
        <w:t>2008</w:t>
      </w:r>
      <w:r w:rsidR="00CB7468">
        <w:rPr>
          <w:sz w:val="24"/>
        </w:rPr>
        <w:t> ;</w:t>
      </w:r>
    </w:p>
    <w:p w:rsidR="00CB7468" w:rsidRPr="00D402C6" w:rsidRDefault="0066351E" w:rsidP="003D3B1F">
      <w:pPr>
        <w:keepLines/>
        <w:spacing w:before="360"/>
        <w:ind w:firstLine="708"/>
        <w:jc w:val="both"/>
        <w:rPr>
          <w:sz w:val="24"/>
        </w:rPr>
      </w:pPr>
      <w:r>
        <w:rPr>
          <w:sz w:val="24"/>
        </w:rPr>
        <w:t>Considérant</w:t>
      </w:r>
      <w:r w:rsidR="00CB7468">
        <w:rPr>
          <w:sz w:val="24"/>
        </w:rPr>
        <w:t xml:space="preserve"> cependant que les documents produits par le comptable ne portent pas la signature de l’ordonnateur ; que le comptable soutient que ces documents dûment signés par le préfet avaient été joints </w:t>
      </w:r>
      <w:r w:rsidR="00CB7468" w:rsidRPr="00B91C39">
        <w:rPr>
          <w:sz w:val="24"/>
        </w:rPr>
        <w:t>au compte de gestion de 2008 et transmis à la Cour à l’appui dudit compte</w:t>
      </w:r>
      <w:r w:rsidR="00CB7468">
        <w:rPr>
          <w:sz w:val="24"/>
        </w:rPr>
        <w:t> ;</w:t>
      </w:r>
    </w:p>
    <w:bookmarkEnd w:id="0"/>
    <w:p w:rsidR="00CB7468" w:rsidRPr="00D402C6" w:rsidRDefault="0066351E" w:rsidP="003D3B1F">
      <w:pPr>
        <w:keepLines/>
        <w:spacing w:before="360"/>
        <w:ind w:firstLine="708"/>
        <w:jc w:val="both"/>
        <w:rPr>
          <w:sz w:val="24"/>
        </w:rPr>
      </w:pPr>
      <w:r>
        <w:rPr>
          <w:sz w:val="24"/>
        </w:rPr>
        <w:lastRenderedPageBreak/>
        <w:t>Considérant</w:t>
      </w:r>
      <w:r w:rsidR="00CB7468">
        <w:rPr>
          <w:sz w:val="24"/>
        </w:rPr>
        <w:t xml:space="preserve"> qu’a</w:t>
      </w:r>
      <w:r w:rsidR="00CB7468" w:rsidRPr="00D402C6">
        <w:rPr>
          <w:sz w:val="24"/>
        </w:rPr>
        <w:t xml:space="preserve">ux termes des dispositions des articles 1 et 3, du décret du 29 décembre 1992 </w:t>
      </w:r>
      <w:r w:rsidR="00CB7468">
        <w:rPr>
          <w:sz w:val="24"/>
        </w:rPr>
        <w:t>susvisé</w:t>
      </w:r>
      <w:r w:rsidR="00CB7468" w:rsidRPr="00D402C6">
        <w:rPr>
          <w:sz w:val="24"/>
        </w:rPr>
        <w:t>, alors applicables : « </w:t>
      </w:r>
      <w:r w:rsidR="00CB7468" w:rsidRPr="007948C6">
        <w:rPr>
          <w:i/>
          <w:sz w:val="24"/>
        </w:rPr>
        <w:t>Lorsqu'elles sont irrécouvrables les créances de l'Etat mentionnées à l'article 80 du décret du 29 décembre 1962 susvisé sont admises en non-valeur par l'ordonnateur qui a émis l'ordre de recette. Les décisions d’admission en non-valeur sont notifiées aux comptables par l’autorité compétente. Toutefois, l’absence de réponse dans un délai de six mois à compter de la réception de la demande d’admission en non-valeur vaut acceptation de celle-ci</w:t>
      </w:r>
      <w:r w:rsidR="00CB7468" w:rsidRPr="00D402C6">
        <w:rPr>
          <w:sz w:val="24"/>
        </w:rPr>
        <w:t> » ;</w:t>
      </w:r>
    </w:p>
    <w:p w:rsidR="00CB7468" w:rsidRPr="00D402C6" w:rsidRDefault="008C0120" w:rsidP="00A31C65">
      <w:pPr>
        <w:keepLines/>
        <w:spacing w:before="360"/>
        <w:ind w:firstLine="708"/>
        <w:jc w:val="both"/>
        <w:rPr>
          <w:sz w:val="24"/>
        </w:rPr>
      </w:pPr>
      <w:r>
        <w:rPr>
          <w:sz w:val="24"/>
        </w:rPr>
        <w:t>Considérant</w:t>
      </w:r>
      <w:r w:rsidR="00CB7468">
        <w:rPr>
          <w:sz w:val="24"/>
        </w:rPr>
        <w:t>, au vu des éléments en possession de la Cour à l’issue de l’instruction préliminaire, qu’il pouvait en être inféré</w:t>
      </w:r>
      <w:r w:rsidR="00CB7468" w:rsidRPr="00822532">
        <w:rPr>
          <w:sz w:val="24"/>
        </w:rPr>
        <w:t xml:space="preserve"> </w:t>
      </w:r>
      <w:r w:rsidR="00CB7468">
        <w:rPr>
          <w:sz w:val="24"/>
        </w:rPr>
        <w:t>que M. </w:t>
      </w:r>
      <w:r w:rsidR="006020F7">
        <w:rPr>
          <w:sz w:val="24"/>
        </w:rPr>
        <w:t>X</w:t>
      </w:r>
      <w:r w:rsidR="00CB7468">
        <w:rPr>
          <w:sz w:val="24"/>
        </w:rPr>
        <w:t xml:space="preserve"> </w:t>
      </w:r>
      <w:r w:rsidR="00CB7468" w:rsidRPr="00D402C6">
        <w:rPr>
          <w:sz w:val="24"/>
        </w:rPr>
        <w:t>n’a</w:t>
      </w:r>
      <w:r w:rsidR="00CB7468">
        <w:rPr>
          <w:sz w:val="24"/>
        </w:rPr>
        <w:t>vait</w:t>
      </w:r>
      <w:r w:rsidR="00CB7468" w:rsidRPr="00D402C6">
        <w:rPr>
          <w:sz w:val="24"/>
        </w:rPr>
        <w:t xml:space="preserve"> pas apport</w:t>
      </w:r>
      <w:r w:rsidR="00CB7468">
        <w:rPr>
          <w:sz w:val="24"/>
        </w:rPr>
        <w:t>é</w:t>
      </w:r>
      <w:r w:rsidR="00CB7468" w:rsidRPr="00D402C6">
        <w:rPr>
          <w:sz w:val="24"/>
        </w:rPr>
        <w:t xml:space="preserve"> la preuve de l’accord de l’autorité compétente ; qu’en </w:t>
      </w:r>
      <w:r w:rsidR="00CB7468">
        <w:rPr>
          <w:sz w:val="24"/>
        </w:rPr>
        <w:t>dépit de l’</w:t>
      </w:r>
      <w:r w:rsidR="00CB7468" w:rsidRPr="00D402C6">
        <w:rPr>
          <w:sz w:val="24"/>
        </w:rPr>
        <w:t>absence</w:t>
      </w:r>
      <w:r w:rsidR="00CB7468">
        <w:rPr>
          <w:sz w:val="24"/>
        </w:rPr>
        <w:t xml:space="preserve"> de cette pièce</w:t>
      </w:r>
      <w:r w:rsidR="00CB7468" w:rsidRPr="00D402C6">
        <w:rPr>
          <w:sz w:val="24"/>
        </w:rPr>
        <w:t xml:space="preserve">, il aurait </w:t>
      </w:r>
      <w:r w:rsidR="00CB7468">
        <w:rPr>
          <w:sz w:val="24"/>
        </w:rPr>
        <w:t>admis</w:t>
      </w:r>
      <w:r w:rsidR="00CB7468" w:rsidRPr="00D402C6">
        <w:rPr>
          <w:sz w:val="24"/>
        </w:rPr>
        <w:t xml:space="preserve"> en non-valeur </w:t>
      </w:r>
      <w:r w:rsidR="00CB7468">
        <w:rPr>
          <w:sz w:val="24"/>
        </w:rPr>
        <w:t xml:space="preserve">dans ses écritures </w:t>
      </w:r>
      <w:r w:rsidR="00CB7468" w:rsidRPr="00D402C6">
        <w:rPr>
          <w:sz w:val="24"/>
        </w:rPr>
        <w:t>les créances en cause, sans attendre le terme du délai de six mois prévu à l’article 3 du décret n°</w:t>
      </w:r>
      <w:r w:rsidR="00CB7468">
        <w:rPr>
          <w:sz w:val="24"/>
        </w:rPr>
        <w:t> </w:t>
      </w:r>
      <w:r w:rsidR="00CB7468" w:rsidRPr="00316E26">
        <w:rPr>
          <w:sz w:val="24"/>
        </w:rPr>
        <w:t>92</w:t>
      </w:r>
      <w:r w:rsidR="00AC0057">
        <w:rPr>
          <w:sz w:val="24"/>
        </w:rPr>
        <w:t>-</w:t>
      </w:r>
      <w:r w:rsidR="00CB7468" w:rsidRPr="00316E26">
        <w:rPr>
          <w:sz w:val="24"/>
        </w:rPr>
        <w:t>1370</w:t>
      </w:r>
      <w:r w:rsidR="00CB7468" w:rsidRPr="00D402C6">
        <w:rPr>
          <w:sz w:val="24"/>
        </w:rPr>
        <w:t xml:space="preserve"> du 29</w:t>
      </w:r>
      <w:r w:rsidR="00AC0057">
        <w:rPr>
          <w:sz w:val="24"/>
        </w:rPr>
        <w:t xml:space="preserve"> </w:t>
      </w:r>
      <w:r w:rsidR="00CB7468" w:rsidRPr="00D402C6">
        <w:rPr>
          <w:sz w:val="24"/>
        </w:rPr>
        <w:t xml:space="preserve">décembre 1992 </w:t>
      </w:r>
      <w:r w:rsidR="00CB7468">
        <w:rPr>
          <w:sz w:val="24"/>
        </w:rPr>
        <w:t>susvisé ;</w:t>
      </w:r>
    </w:p>
    <w:p w:rsidR="00CB7468" w:rsidRDefault="008C0120" w:rsidP="00A31C65">
      <w:pPr>
        <w:keepLines/>
        <w:spacing w:before="360"/>
        <w:ind w:firstLine="708"/>
        <w:jc w:val="both"/>
        <w:rPr>
          <w:sz w:val="24"/>
        </w:rPr>
      </w:pPr>
      <w:r>
        <w:rPr>
          <w:sz w:val="24"/>
        </w:rPr>
        <w:t>Considérant</w:t>
      </w:r>
      <w:r w:rsidR="00CB7468">
        <w:rPr>
          <w:sz w:val="24"/>
        </w:rPr>
        <w:t xml:space="preserve">, </w:t>
      </w:r>
      <w:r w:rsidR="00CB7468" w:rsidRPr="00D402C6">
        <w:rPr>
          <w:sz w:val="24"/>
        </w:rPr>
        <w:t xml:space="preserve">en conséquence, </w:t>
      </w:r>
      <w:r w:rsidR="00CB7468">
        <w:rPr>
          <w:sz w:val="24"/>
        </w:rPr>
        <w:t xml:space="preserve">que le Procureur général a estimé que </w:t>
      </w:r>
      <w:r w:rsidR="00CB7468" w:rsidRPr="00D402C6">
        <w:rPr>
          <w:sz w:val="24"/>
        </w:rPr>
        <w:t>le défaut de justification de l’accord de l’ordonnateur</w:t>
      </w:r>
      <w:r w:rsidR="00495809">
        <w:rPr>
          <w:sz w:val="24"/>
        </w:rPr>
        <w:t xml:space="preserve"> sur</w:t>
      </w:r>
      <w:r w:rsidR="00CB7468">
        <w:rPr>
          <w:sz w:val="24"/>
        </w:rPr>
        <w:t xml:space="preserve"> le fait</w:t>
      </w:r>
      <w:r w:rsidR="00CB7468" w:rsidRPr="00D402C6">
        <w:rPr>
          <w:sz w:val="24"/>
        </w:rPr>
        <w:t xml:space="preserve"> </w:t>
      </w:r>
      <w:r w:rsidR="00CB7468">
        <w:rPr>
          <w:sz w:val="24"/>
        </w:rPr>
        <w:t>d’inscrire</w:t>
      </w:r>
      <w:r w:rsidR="00CB7468" w:rsidRPr="00D402C6">
        <w:rPr>
          <w:sz w:val="24"/>
        </w:rPr>
        <w:t xml:space="preserve"> en non-valeur </w:t>
      </w:r>
      <w:r w:rsidR="00CB7468">
        <w:rPr>
          <w:sz w:val="24"/>
        </w:rPr>
        <w:t xml:space="preserve">dans ses comptes </w:t>
      </w:r>
      <w:r w:rsidR="00CB7468" w:rsidRPr="00D402C6">
        <w:rPr>
          <w:sz w:val="24"/>
        </w:rPr>
        <w:t xml:space="preserve">les créances détenues sur les sociétés </w:t>
      </w:r>
      <w:r w:rsidR="00AC0057">
        <w:rPr>
          <w:sz w:val="24"/>
        </w:rPr>
        <w:t>« </w:t>
      </w:r>
      <w:proofErr w:type="spellStart"/>
      <w:r w:rsidR="00CB7468" w:rsidRPr="00D402C6">
        <w:rPr>
          <w:sz w:val="24"/>
        </w:rPr>
        <w:t>Costil</w:t>
      </w:r>
      <w:proofErr w:type="spellEnd"/>
      <w:r w:rsidR="00CB7468" w:rsidRPr="00D402C6">
        <w:rPr>
          <w:sz w:val="24"/>
        </w:rPr>
        <w:t xml:space="preserve"> Pont</w:t>
      </w:r>
      <w:r w:rsidR="00AC0057">
        <w:rPr>
          <w:sz w:val="24"/>
        </w:rPr>
        <w:t>-</w:t>
      </w:r>
      <w:r w:rsidR="00CB7468" w:rsidRPr="00D402C6">
        <w:rPr>
          <w:sz w:val="24"/>
        </w:rPr>
        <w:t>Audemer UNT</w:t>
      </w:r>
      <w:r w:rsidR="00AC0057">
        <w:rPr>
          <w:sz w:val="24"/>
        </w:rPr>
        <w:t> »</w:t>
      </w:r>
      <w:r w:rsidR="00CB7468" w:rsidRPr="00D402C6">
        <w:rPr>
          <w:sz w:val="24"/>
        </w:rPr>
        <w:t xml:space="preserve"> et </w:t>
      </w:r>
      <w:r w:rsidR="00AC0057">
        <w:rPr>
          <w:sz w:val="24"/>
        </w:rPr>
        <w:t>« </w:t>
      </w:r>
      <w:r w:rsidR="00CB7468" w:rsidRPr="00D402C6">
        <w:rPr>
          <w:sz w:val="24"/>
        </w:rPr>
        <w:t>Cartonnerie de Pont</w:t>
      </w:r>
      <w:r w:rsidR="00AC0057">
        <w:rPr>
          <w:sz w:val="24"/>
        </w:rPr>
        <w:t>-</w:t>
      </w:r>
      <w:r w:rsidR="00CB7468" w:rsidRPr="00D402C6">
        <w:rPr>
          <w:sz w:val="24"/>
        </w:rPr>
        <w:t>Audemer</w:t>
      </w:r>
      <w:r w:rsidR="00AC0057">
        <w:rPr>
          <w:sz w:val="24"/>
        </w:rPr>
        <w:t> »</w:t>
      </w:r>
      <w:r w:rsidR="00CB7468" w:rsidRPr="00D402C6">
        <w:rPr>
          <w:sz w:val="24"/>
        </w:rPr>
        <w:t xml:space="preserve">, </w:t>
      </w:r>
      <w:r w:rsidR="00CB7468">
        <w:rPr>
          <w:sz w:val="24"/>
        </w:rPr>
        <w:t xml:space="preserve">était </w:t>
      </w:r>
      <w:r w:rsidR="00CB7468" w:rsidRPr="00D402C6">
        <w:rPr>
          <w:sz w:val="24"/>
        </w:rPr>
        <w:t>susceptible de fonder la mise en jeu de la responsabilité personnelle et pécuniaire de M. </w:t>
      </w:r>
      <w:r w:rsidR="006020F7">
        <w:rPr>
          <w:sz w:val="24"/>
        </w:rPr>
        <w:t>X</w:t>
      </w:r>
      <w:r w:rsidR="00CB7468" w:rsidRPr="00D402C6">
        <w:rPr>
          <w:sz w:val="24"/>
        </w:rPr>
        <w:t>, à hauteur de 1 300 000 €, au titre de l’exercice 2008 ;</w:t>
      </w:r>
    </w:p>
    <w:p w:rsidR="00CB7468" w:rsidRPr="00D402C6" w:rsidRDefault="008C0120" w:rsidP="00A31C65">
      <w:pPr>
        <w:spacing w:before="360"/>
        <w:ind w:firstLine="708"/>
        <w:jc w:val="both"/>
        <w:rPr>
          <w:sz w:val="24"/>
        </w:rPr>
      </w:pPr>
      <w:r>
        <w:rPr>
          <w:sz w:val="24"/>
        </w:rPr>
        <w:t>Considérant</w:t>
      </w:r>
      <w:r w:rsidR="00CB7468">
        <w:rPr>
          <w:sz w:val="24"/>
        </w:rPr>
        <w:t xml:space="preserve"> cependant</w:t>
      </w:r>
      <w:r w:rsidR="00CB7468" w:rsidRPr="00D402C6">
        <w:rPr>
          <w:sz w:val="24"/>
        </w:rPr>
        <w:t xml:space="preserve"> </w:t>
      </w:r>
      <w:r w:rsidR="00CB7468">
        <w:rPr>
          <w:sz w:val="24"/>
        </w:rPr>
        <w:t xml:space="preserve">que </w:t>
      </w:r>
      <w:r w:rsidR="00CB7468" w:rsidRPr="00D402C6">
        <w:rPr>
          <w:sz w:val="24"/>
        </w:rPr>
        <w:t>le bordereau d’admission en non-va</w:t>
      </w:r>
      <w:r w:rsidR="00CB7468">
        <w:rPr>
          <w:sz w:val="24"/>
        </w:rPr>
        <w:t xml:space="preserve">leur dûment signé par le préfet </w:t>
      </w:r>
      <w:r w:rsidR="00CB7468" w:rsidRPr="00B91C39">
        <w:rPr>
          <w:sz w:val="24"/>
        </w:rPr>
        <w:t>a été</w:t>
      </w:r>
      <w:r w:rsidRPr="008C0120">
        <w:rPr>
          <w:sz w:val="24"/>
        </w:rPr>
        <w:t xml:space="preserve"> </w:t>
      </w:r>
      <w:r w:rsidR="00CB7468" w:rsidRPr="00B91C39">
        <w:rPr>
          <w:sz w:val="24"/>
        </w:rPr>
        <w:t xml:space="preserve">retrouvé par les services de la </w:t>
      </w:r>
      <w:r w:rsidR="00CB7468">
        <w:rPr>
          <w:sz w:val="24"/>
        </w:rPr>
        <w:t>p</w:t>
      </w:r>
      <w:r w:rsidR="00CB7468" w:rsidRPr="00B91C39">
        <w:rPr>
          <w:sz w:val="24"/>
        </w:rPr>
        <w:t>réfecture</w:t>
      </w:r>
      <w:r w:rsidR="00CB7468">
        <w:rPr>
          <w:sz w:val="24"/>
        </w:rPr>
        <w:t xml:space="preserve"> ; qu’il a été joint à l’appui de la réponse du 5 mars 2014 susvisée de </w:t>
      </w:r>
      <w:r w:rsidR="006020F7">
        <w:rPr>
          <w:sz w:val="24"/>
        </w:rPr>
        <w:t>M. X</w:t>
      </w:r>
      <w:r w:rsidR="00AC0057">
        <w:rPr>
          <w:sz w:val="24"/>
        </w:rPr>
        <w:t> ;</w:t>
      </w:r>
    </w:p>
    <w:p w:rsidR="00CB7468" w:rsidRDefault="008C0120" w:rsidP="00A31C65">
      <w:pPr>
        <w:pStyle w:val="Retraitcorpsdetexte"/>
        <w:spacing w:before="360" w:after="0"/>
        <w:ind w:left="0" w:firstLine="708"/>
      </w:pPr>
      <w:r>
        <w:t>Considérant</w:t>
      </w:r>
      <w:r w:rsidR="00CB7468">
        <w:t xml:space="preserve"> ainsi que le comptable a produit la justification manquante ; qu’il y a donc lieu de lever la deuxième charge ;</w:t>
      </w:r>
    </w:p>
    <w:p w:rsidR="00CB7468" w:rsidRDefault="008C0120" w:rsidP="00A31C65">
      <w:pPr>
        <w:pStyle w:val="Retraitcorpsdetexte"/>
        <w:spacing w:before="360" w:after="0"/>
        <w:ind w:left="0" w:firstLine="708"/>
      </w:pPr>
      <w:r>
        <w:t>Considérant</w:t>
      </w:r>
      <w:r w:rsidR="00CB7468">
        <w:t>, de ce fait, qu’il ne subsiste plus aucune charge sur la gestion 2008 de M. </w:t>
      </w:r>
      <w:r w:rsidR="006020F7">
        <w:t>X</w:t>
      </w:r>
      <w:r w:rsidR="00CB7468">
        <w:t>; qu’il convient de l’en décharger ;</w:t>
      </w:r>
    </w:p>
    <w:p w:rsidR="00CB7468" w:rsidRDefault="00CB7468" w:rsidP="00CB7468">
      <w:pPr>
        <w:rPr>
          <w:sz w:val="24"/>
        </w:rPr>
      </w:pPr>
    </w:p>
    <w:p w:rsidR="00CB7468" w:rsidRDefault="00CB7468" w:rsidP="00A31C65">
      <w:pPr>
        <w:pStyle w:val="Retraitcorpsdetexte"/>
        <w:spacing w:before="360" w:after="0"/>
        <w:ind w:left="284"/>
        <w:rPr>
          <w:b/>
        </w:rPr>
      </w:pPr>
      <w:r>
        <w:rPr>
          <w:b/>
        </w:rPr>
        <w:t>Troisième charge :</w:t>
      </w:r>
    </w:p>
    <w:p w:rsidR="00CB7468" w:rsidRDefault="00CB7468" w:rsidP="00A31C65">
      <w:pPr>
        <w:pStyle w:val="Retraitcorpsdetexte"/>
        <w:spacing w:before="360" w:after="0"/>
        <w:rPr>
          <w:b/>
        </w:rPr>
      </w:pPr>
      <w:r>
        <w:rPr>
          <w:b/>
        </w:rPr>
        <w:t>Année 2010</w:t>
      </w:r>
    </w:p>
    <w:p w:rsidR="00CB7468" w:rsidRDefault="008C0120" w:rsidP="00A31C65">
      <w:pPr>
        <w:keepLines/>
        <w:spacing w:before="360"/>
        <w:ind w:firstLine="708"/>
        <w:jc w:val="both"/>
        <w:rPr>
          <w:sz w:val="24"/>
        </w:rPr>
      </w:pPr>
      <w:r>
        <w:rPr>
          <w:sz w:val="24"/>
        </w:rPr>
        <w:t>Considérant</w:t>
      </w:r>
      <w:r w:rsidR="00CB7468">
        <w:rPr>
          <w:sz w:val="24"/>
        </w:rPr>
        <w:t xml:space="preserve"> que le Procureur général a relevé que l</w:t>
      </w:r>
      <w:r w:rsidR="00CB7468" w:rsidRPr="00D07F40">
        <w:rPr>
          <w:sz w:val="24"/>
        </w:rPr>
        <w:t>e comptable avait payé en 2010, sur le programme 156 « </w:t>
      </w:r>
      <w:r w:rsidR="00CB7468" w:rsidRPr="007948C6">
        <w:rPr>
          <w:i/>
          <w:sz w:val="24"/>
        </w:rPr>
        <w:t>Gestion fiscale et financière de l’Etat et du secteur public local</w:t>
      </w:r>
      <w:r w:rsidR="00CB7468" w:rsidRPr="00D07F40">
        <w:rPr>
          <w:sz w:val="24"/>
        </w:rPr>
        <w:t xml:space="preserve"> » du ministère du budget, la somme totale de 13 229,68 €, en exécution des </w:t>
      </w:r>
      <w:r w:rsidR="00CB7468">
        <w:rPr>
          <w:sz w:val="24"/>
        </w:rPr>
        <w:t xml:space="preserve">neuf </w:t>
      </w:r>
      <w:r w:rsidR="00CB7468" w:rsidRPr="00D07F40">
        <w:rPr>
          <w:sz w:val="24"/>
        </w:rPr>
        <w:t>mandats r</w:t>
      </w:r>
      <w:r w:rsidR="0079622B">
        <w:rPr>
          <w:sz w:val="24"/>
        </w:rPr>
        <w:t>épertoriés au tableau suivant :</w:t>
      </w:r>
    </w:p>
    <w:p w:rsidR="0079622B" w:rsidRDefault="0079622B" w:rsidP="003D3B1F">
      <w:pPr>
        <w:keepLines/>
        <w:spacing w:before="360"/>
        <w:ind w:firstLine="708"/>
        <w:jc w:val="both"/>
        <w:rPr>
          <w:sz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126"/>
        <w:gridCol w:w="2255"/>
        <w:gridCol w:w="2279"/>
        <w:gridCol w:w="2128"/>
      </w:tblGrid>
      <w:tr w:rsidR="00CB7468" w:rsidRPr="001603D7" w:rsidTr="00A929F0">
        <w:trPr>
          <w:jc w:val="center"/>
        </w:trPr>
        <w:tc>
          <w:tcPr>
            <w:tcW w:w="2126" w:type="dxa"/>
            <w:vAlign w:val="center"/>
          </w:tcPr>
          <w:p w:rsidR="00CB7468" w:rsidRPr="00A31C65" w:rsidRDefault="00CB7468" w:rsidP="00A929F0">
            <w:pPr>
              <w:keepNext/>
              <w:keepLines/>
              <w:spacing w:before="20" w:after="20"/>
              <w:jc w:val="center"/>
              <w:rPr>
                <w:b/>
                <w:sz w:val="22"/>
                <w:szCs w:val="22"/>
              </w:rPr>
            </w:pPr>
            <w:r w:rsidRPr="00A31C65">
              <w:rPr>
                <w:b/>
                <w:sz w:val="22"/>
                <w:szCs w:val="22"/>
              </w:rPr>
              <w:lastRenderedPageBreak/>
              <w:t>Date d’écriture</w:t>
            </w:r>
          </w:p>
        </w:tc>
        <w:tc>
          <w:tcPr>
            <w:tcW w:w="2255" w:type="dxa"/>
            <w:vAlign w:val="center"/>
          </w:tcPr>
          <w:p w:rsidR="00CB7468" w:rsidRPr="00A31C65" w:rsidRDefault="00CB7468" w:rsidP="00A929F0">
            <w:pPr>
              <w:keepNext/>
              <w:keepLines/>
              <w:spacing w:before="20" w:after="20"/>
              <w:jc w:val="center"/>
              <w:rPr>
                <w:b/>
                <w:sz w:val="22"/>
                <w:szCs w:val="22"/>
              </w:rPr>
            </w:pPr>
            <w:r w:rsidRPr="00A31C65">
              <w:rPr>
                <w:b/>
                <w:sz w:val="22"/>
                <w:szCs w:val="22"/>
              </w:rPr>
              <w:t>N° de mandat</w:t>
            </w:r>
          </w:p>
        </w:tc>
        <w:tc>
          <w:tcPr>
            <w:tcW w:w="2279" w:type="dxa"/>
            <w:vAlign w:val="center"/>
          </w:tcPr>
          <w:p w:rsidR="00CB7468" w:rsidRPr="00A31C65" w:rsidRDefault="00CB7468" w:rsidP="00A929F0">
            <w:pPr>
              <w:keepNext/>
              <w:keepLines/>
              <w:spacing w:before="20" w:after="20"/>
              <w:jc w:val="center"/>
              <w:rPr>
                <w:b/>
                <w:sz w:val="22"/>
                <w:szCs w:val="22"/>
              </w:rPr>
            </w:pPr>
            <w:r w:rsidRPr="00A31C65">
              <w:rPr>
                <w:b/>
                <w:sz w:val="22"/>
                <w:szCs w:val="22"/>
              </w:rPr>
              <w:t>Ordonnateur</w:t>
            </w:r>
          </w:p>
        </w:tc>
        <w:tc>
          <w:tcPr>
            <w:tcW w:w="2128" w:type="dxa"/>
            <w:vAlign w:val="center"/>
          </w:tcPr>
          <w:p w:rsidR="00CB7468" w:rsidRPr="00A31C65" w:rsidRDefault="00CB7468" w:rsidP="00A929F0">
            <w:pPr>
              <w:keepNext/>
              <w:keepLines/>
              <w:spacing w:before="20" w:after="20"/>
              <w:jc w:val="center"/>
              <w:rPr>
                <w:b/>
                <w:sz w:val="22"/>
                <w:szCs w:val="22"/>
              </w:rPr>
            </w:pPr>
            <w:r w:rsidRPr="00A31C65">
              <w:rPr>
                <w:b/>
                <w:sz w:val="22"/>
                <w:szCs w:val="22"/>
              </w:rPr>
              <w:t>Montant (€)</w:t>
            </w:r>
          </w:p>
        </w:tc>
      </w:tr>
      <w:tr w:rsidR="00CB7468" w:rsidRPr="001603D7" w:rsidTr="00A929F0">
        <w:trPr>
          <w:jc w:val="center"/>
        </w:trPr>
        <w:tc>
          <w:tcPr>
            <w:tcW w:w="2126" w:type="dxa"/>
            <w:vMerge w:val="restart"/>
            <w:vAlign w:val="center"/>
          </w:tcPr>
          <w:p w:rsidR="00CB7468" w:rsidRPr="001603D7" w:rsidRDefault="00CB7468" w:rsidP="00A929F0">
            <w:pPr>
              <w:keepNext/>
              <w:keepLines/>
              <w:spacing w:before="20" w:after="20"/>
              <w:jc w:val="center"/>
              <w:rPr>
                <w:sz w:val="22"/>
                <w:szCs w:val="22"/>
              </w:rPr>
            </w:pPr>
            <w:r w:rsidRPr="001603D7">
              <w:rPr>
                <w:sz w:val="22"/>
                <w:szCs w:val="22"/>
              </w:rPr>
              <w:t>11/03/2010</w:t>
            </w:r>
          </w:p>
          <w:p w:rsidR="00CB7468" w:rsidRPr="001603D7" w:rsidRDefault="00CB7468" w:rsidP="00A929F0">
            <w:pPr>
              <w:keepNext/>
              <w:keepLines/>
              <w:spacing w:before="20" w:after="20"/>
              <w:jc w:val="center"/>
              <w:rPr>
                <w:sz w:val="22"/>
                <w:szCs w:val="22"/>
              </w:rPr>
            </w:pPr>
          </w:p>
        </w:tc>
        <w:tc>
          <w:tcPr>
            <w:tcW w:w="2255" w:type="dxa"/>
            <w:vAlign w:val="center"/>
          </w:tcPr>
          <w:p w:rsidR="00CB7468" w:rsidRPr="001603D7" w:rsidRDefault="00CB7468" w:rsidP="00A929F0">
            <w:pPr>
              <w:keepNext/>
              <w:keepLines/>
              <w:spacing w:before="20" w:after="20"/>
              <w:jc w:val="center"/>
              <w:rPr>
                <w:sz w:val="22"/>
                <w:szCs w:val="22"/>
              </w:rPr>
            </w:pPr>
            <w:r w:rsidRPr="001603D7">
              <w:rPr>
                <w:sz w:val="22"/>
                <w:szCs w:val="22"/>
              </w:rPr>
              <w:t>238</w:t>
            </w:r>
          </w:p>
        </w:tc>
        <w:tc>
          <w:tcPr>
            <w:tcW w:w="2279" w:type="dxa"/>
            <w:vMerge w:val="restart"/>
            <w:vAlign w:val="center"/>
          </w:tcPr>
          <w:p w:rsidR="00CB7468" w:rsidRPr="001603D7" w:rsidRDefault="00CB7468" w:rsidP="00A929F0">
            <w:pPr>
              <w:keepNext/>
              <w:keepLines/>
              <w:spacing w:before="20" w:after="20"/>
              <w:jc w:val="center"/>
              <w:rPr>
                <w:sz w:val="22"/>
                <w:szCs w:val="22"/>
              </w:rPr>
            </w:pPr>
            <w:r w:rsidRPr="001603D7">
              <w:rPr>
                <w:sz w:val="22"/>
                <w:szCs w:val="22"/>
              </w:rPr>
              <w:t>070027</w:t>
            </w:r>
          </w:p>
          <w:p w:rsidR="00CB7468" w:rsidRPr="001603D7" w:rsidRDefault="00CB7468" w:rsidP="00A929F0">
            <w:pPr>
              <w:keepNext/>
              <w:keepLines/>
              <w:spacing w:before="20" w:after="20"/>
              <w:jc w:val="center"/>
              <w:rPr>
                <w:sz w:val="22"/>
                <w:szCs w:val="22"/>
              </w:rPr>
            </w:pPr>
          </w:p>
        </w:tc>
        <w:tc>
          <w:tcPr>
            <w:tcW w:w="2128" w:type="dxa"/>
            <w:vAlign w:val="center"/>
          </w:tcPr>
          <w:p w:rsidR="00CB7468" w:rsidRPr="001603D7" w:rsidRDefault="00CB7468" w:rsidP="00A929F0">
            <w:pPr>
              <w:keepNext/>
              <w:keepLines/>
              <w:spacing w:before="20" w:after="20"/>
              <w:ind w:right="113"/>
              <w:jc w:val="right"/>
              <w:rPr>
                <w:sz w:val="22"/>
                <w:szCs w:val="22"/>
              </w:rPr>
            </w:pPr>
            <w:r w:rsidRPr="001603D7">
              <w:rPr>
                <w:sz w:val="22"/>
                <w:szCs w:val="22"/>
              </w:rPr>
              <w:t>807,72</w:t>
            </w:r>
          </w:p>
        </w:tc>
      </w:tr>
      <w:tr w:rsidR="00CB7468" w:rsidRPr="001603D7" w:rsidTr="00A929F0">
        <w:trPr>
          <w:jc w:val="center"/>
        </w:trPr>
        <w:tc>
          <w:tcPr>
            <w:tcW w:w="2126" w:type="dxa"/>
            <w:vMerge/>
            <w:vAlign w:val="center"/>
          </w:tcPr>
          <w:p w:rsidR="00CB7468" w:rsidRPr="001603D7" w:rsidRDefault="00CB7468" w:rsidP="00A929F0">
            <w:pPr>
              <w:keepNext/>
              <w:keepLines/>
              <w:spacing w:before="20" w:after="20"/>
              <w:jc w:val="center"/>
              <w:rPr>
                <w:sz w:val="22"/>
                <w:szCs w:val="22"/>
              </w:rPr>
            </w:pPr>
          </w:p>
        </w:tc>
        <w:tc>
          <w:tcPr>
            <w:tcW w:w="2255" w:type="dxa"/>
            <w:vAlign w:val="center"/>
          </w:tcPr>
          <w:p w:rsidR="00CB7468" w:rsidRPr="001603D7" w:rsidRDefault="00CB7468" w:rsidP="00A929F0">
            <w:pPr>
              <w:keepNext/>
              <w:keepLines/>
              <w:spacing w:before="20" w:after="20"/>
              <w:jc w:val="center"/>
              <w:rPr>
                <w:sz w:val="22"/>
                <w:szCs w:val="22"/>
              </w:rPr>
            </w:pPr>
            <w:r w:rsidRPr="001603D7">
              <w:rPr>
                <w:sz w:val="22"/>
                <w:szCs w:val="22"/>
              </w:rPr>
              <w:t>239</w:t>
            </w:r>
          </w:p>
        </w:tc>
        <w:tc>
          <w:tcPr>
            <w:tcW w:w="2279" w:type="dxa"/>
            <w:vMerge/>
            <w:vAlign w:val="center"/>
          </w:tcPr>
          <w:p w:rsidR="00CB7468" w:rsidRPr="001603D7" w:rsidRDefault="00CB7468" w:rsidP="00A929F0">
            <w:pPr>
              <w:keepNext/>
              <w:keepLines/>
              <w:spacing w:before="20" w:after="20"/>
              <w:jc w:val="center"/>
              <w:rPr>
                <w:sz w:val="22"/>
                <w:szCs w:val="22"/>
              </w:rPr>
            </w:pPr>
          </w:p>
        </w:tc>
        <w:tc>
          <w:tcPr>
            <w:tcW w:w="2128" w:type="dxa"/>
            <w:vAlign w:val="center"/>
          </w:tcPr>
          <w:p w:rsidR="00CB7468" w:rsidRPr="001603D7" w:rsidRDefault="00CB7468" w:rsidP="00A929F0">
            <w:pPr>
              <w:keepNext/>
              <w:keepLines/>
              <w:spacing w:before="20" w:after="20"/>
              <w:ind w:right="113"/>
              <w:jc w:val="right"/>
              <w:rPr>
                <w:sz w:val="22"/>
                <w:szCs w:val="22"/>
              </w:rPr>
            </w:pPr>
            <w:r w:rsidRPr="001603D7">
              <w:rPr>
                <w:sz w:val="22"/>
                <w:szCs w:val="22"/>
              </w:rPr>
              <w:t>121,98</w:t>
            </w:r>
          </w:p>
        </w:tc>
      </w:tr>
      <w:tr w:rsidR="00CB7468" w:rsidRPr="001603D7" w:rsidTr="00A929F0">
        <w:trPr>
          <w:jc w:val="center"/>
        </w:trPr>
        <w:tc>
          <w:tcPr>
            <w:tcW w:w="2126" w:type="dxa"/>
            <w:vMerge/>
            <w:vAlign w:val="center"/>
          </w:tcPr>
          <w:p w:rsidR="00CB7468" w:rsidRPr="001603D7" w:rsidRDefault="00CB7468" w:rsidP="00A929F0">
            <w:pPr>
              <w:keepNext/>
              <w:keepLines/>
              <w:spacing w:before="20" w:after="20"/>
              <w:jc w:val="center"/>
              <w:rPr>
                <w:sz w:val="22"/>
                <w:szCs w:val="22"/>
              </w:rPr>
            </w:pPr>
          </w:p>
        </w:tc>
        <w:tc>
          <w:tcPr>
            <w:tcW w:w="2255" w:type="dxa"/>
            <w:vAlign w:val="center"/>
          </w:tcPr>
          <w:p w:rsidR="00CB7468" w:rsidRPr="001603D7" w:rsidRDefault="00CB7468" w:rsidP="00A929F0">
            <w:pPr>
              <w:keepNext/>
              <w:keepLines/>
              <w:spacing w:before="20" w:after="20"/>
              <w:jc w:val="center"/>
              <w:rPr>
                <w:sz w:val="22"/>
                <w:szCs w:val="22"/>
              </w:rPr>
            </w:pPr>
            <w:r w:rsidRPr="001603D7">
              <w:rPr>
                <w:sz w:val="22"/>
                <w:szCs w:val="22"/>
              </w:rPr>
              <w:t>240</w:t>
            </w:r>
          </w:p>
        </w:tc>
        <w:tc>
          <w:tcPr>
            <w:tcW w:w="2279" w:type="dxa"/>
            <w:vMerge/>
            <w:vAlign w:val="center"/>
          </w:tcPr>
          <w:p w:rsidR="00CB7468" w:rsidRPr="001603D7" w:rsidRDefault="00CB7468" w:rsidP="00A929F0">
            <w:pPr>
              <w:keepNext/>
              <w:keepLines/>
              <w:spacing w:before="20" w:after="20"/>
              <w:jc w:val="center"/>
              <w:rPr>
                <w:sz w:val="22"/>
                <w:szCs w:val="22"/>
              </w:rPr>
            </w:pPr>
          </w:p>
        </w:tc>
        <w:tc>
          <w:tcPr>
            <w:tcW w:w="2128" w:type="dxa"/>
            <w:vAlign w:val="center"/>
          </w:tcPr>
          <w:p w:rsidR="00CB7468" w:rsidRPr="001603D7" w:rsidRDefault="00CB7468" w:rsidP="00A929F0">
            <w:pPr>
              <w:keepNext/>
              <w:keepLines/>
              <w:spacing w:before="20" w:after="20"/>
              <w:ind w:right="113"/>
              <w:jc w:val="right"/>
              <w:rPr>
                <w:sz w:val="22"/>
                <w:szCs w:val="22"/>
              </w:rPr>
            </w:pPr>
            <w:r w:rsidRPr="001603D7">
              <w:rPr>
                <w:sz w:val="22"/>
                <w:szCs w:val="22"/>
              </w:rPr>
              <w:t>50,22</w:t>
            </w:r>
          </w:p>
        </w:tc>
      </w:tr>
      <w:tr w:rsidR="00CB7468" w:rsidRPr="001603D7" w:rsidTr="00A929F0">
        <w:trPr>
          <w:jc w:val="center"/>
        </w:trPr>
        <w:tc>
          <w:tcPr>
            <w:tcW w:w="2126" w:type="dxa"/>
            <w:vMerge/>
            <w:vAlign w:val="center"/>
          </w:tcPr>
          <w:p w:rsidR="00CB7468" w:rsidRPr="001603D7" w:rsidRDefault="00CB7468" w:rsidP="00A929F0">
            <w:pPr>
              <w:keepNext/>
              <w:keepLines/>
              <w:spacing w:before="20" w:after="20"/>
              <w:jc w:val="center"/>
              <w:rPr>
                <w:sz w:val="22"/>
                <w:szCs w:val="22"/>
              </w:rPr>
            </w:pPr>
          </w:p>
        </w:tc>
        <w:tc>
          <w:tcPr>
            <w:tcW w:w="2255" w:type="dxa"/>
            <w:vAlign w:val="center"/>
          </w:tcPr>
          <w:p w:rsidR="00CB7468" w:rsidRPr="001603D7" w:rsidRDefault="00CB7468" w:rsidP="00A929F0">
            <w:pPr>
              <w:keepNext/>
              <w:keepLines/>
              <w:spacing w:before="20" w:after="20"/>
              <w:jc w:val="center"/>
              <w:rPr>
                <w:sz w:val="22"/>
                <w:szCs w:val="22"/>
              </w:rPr>
            </w:pPr>
            <w:r w:rsidRPr="001603D7">
              <w:rPr>
                <w:sz w:val="22"/>
                <w:szCs w:val="22"/>
              </w:rPr>
              <w:t>242</w:t>
            </w:r>
          </w:p>
        </w:tc>
        <w:tc>
          <w:tcPr>
            <w:tcW w:w="2279" w:type="dxa"/>
            <w:vMerge/>
            <w:vAlign w:val="center"/>
          </w:tcPr>
          <w:p w:rsidR="00CB7468" w:rsidRPr="001603D7" w:rsidRDefault="00CB7468" w:rsidP="00A929F0">
            <w:pPr>
              <w:keepNext/>
              <w:keepLines/>
              <w:spacing w:before="20" w:after="20"/>
              <w:jc w:val="center"/>
              <w:rPr>
                <w:sz w:val="22"/>
                <w:szCs w:val="22"/>
              </w:rPr>
            </w:pPr>
          </w:p>
        </w:tc>
        <w:tc>
          <w:tcPr>
            <w:tcW w:w="2128" w:type="dxa"/>
            <w:vAlign w:val="center"/>
          </w:tcPr>
          <w:p w:rsidR="00CB7468" w:rsidRPr="001603D7" w:rsidRDefault="00CB7468" w:rsidP="00A929F0">
            <w:pPr>
              <w:keepNext/>
              <w:keepLines/>
              <w:spacing w:before="20" w:after="20"/>
              <w:ind w:right="113"/>
              <w:jc w:val="right"/>
              <w:rPr>
                <w:sz w:val="22"/>
                <w:szCs w:val="22"/>
              </w:rPr>
            </w:pPr>
            <w:r w:rsidRPr="001603D7">
              <w:rPr>
                <w:sz w:val="22"/>
                <w:szCs w:val="22"/>
              </w:rPr>
              <w:t>121,90</w:t>
            </w:r>
          </w:p>
        </w:tc>
      </w:tr>
      <w:tr w:rsidR="00CB7468" w:rsidRPr="001603D7" w:rsidTr="00A929F0">
        <w:trPr>
          <w:jc w:val="center"/>
        </w:trPr>
        <w:tc>
          <w:tcPr>
            <w:tcW w:w="2126" w:type="dxa"/>
            <w:vMerge/>
            <w:vAlign w:val="center"/>
          </w:tcPr>
          <w:p w:rsidR="00CB7468" w:rsidRPr="001603D7" w:rsidRDefault="00CB7468" w:rsidP="00A929F0">
            <w:pPr>
              <w:keepNext/>
              <w:keepLines/>
              <w:spacing w:before="20" w:after="20"/>
              <w:jc w:val="center"/>
              <w:rPr>
                <w:sz w:val="22"/>
                <w:szCs w:val="22"/>
              </w:rPr>
            </w:pPr>
          </w:p>
        </w:tc>
        <w:tc>
          <w:tcPr>
            <w:tcW w:w="2255" w:type="dxa"/>
            <w:vAlign w:val="center"/>
          </w:tcPr>
          <w:p w:rsidR="00CB7468" w:rsidRPr="001603D7" w:rsidRDefault="00CB7468" w:rsidP="00A929F0">
            <w:pPr>
              <w:keepNext/>
              <w:keepLines/>
              <w:spacing w:before="20" w:after="20"/>
              <w:jc w:val="center"/>
              <w:rPr>
                <w:sz w:val="22"/>
                <w:szCs w:val="22"/>
              </w:rPr>
            </w:pPr>
            <w:r w:rsidRPr="001603D7">
              <w:rPr>
                <w:sz w:val="22"/>
                <w:szCs w:val="22"/>
              </w:rPr>
              <w:t>243</w:t>
            </w:r>
          </w:p>
        </w:tc>
        <w:tc>
          <w:tcPr>
            <w:tcW w:w="2279" w:type="dxa"/>
            <w:vMerge/>
            <w:vAlign w:val="center"/>
          </w:tcPr>
          <w:p w:rsidR="00CB7468" w:rsidRPr="001603D7" w:rsidRDefault="00CB7468" w:rsidP="00A929F0">
            <w:pPr>
              <w:keepNext/>
              <w:keepLines/>
              <w:spacing w:before="20" w:after="20"/>
              <w:jc w:val="center"/>
              <w:rPr>
                <w:sz w:val="22"/>
                <w:szCs w:val="22"/>
              </w:rPr>
            </w:pPr>
          </w:p>
        </w:tc>
        <w:tc>
          <w:tcPr>
            <w:tcW w:w="2128" w:type="dxa"/>
            <w:vAlign w:val="center"/>
          </w:tcPr>
          <w:p w:rsidR="00CB7468" w:rsidRPr="001603D7" w:rsidRDefault="00CB7468" w:rsidP="00A929F0">
            <w:pPr>
              <w:keepNext/>
              <w:keepLines/>
              <w:spacing w:before="20" w:after="20"/>
              <w:ind w:right="113"/>
              <w:jc w:val="right"/>
              <w:rPr>
                <w:sz w:val="22"/>
                <w:szCs w:val="22"/>
              </w:rPr>
            </w:pPr>
            <w:r w:rsidRPr="001603D7">
              <w:rPr>
                <w:sz w:val="22"/>
                <w:szCs w:val="22"/>
              </w:rPr>
              <w:t>994,59</w:t>
            </w:r>
          </w:p>
        </w:tc>
      </w:tr>
      <w:tr w:rsidR="00CB7468" w:rsidRPr="001603D7" w:rsidTr="00A929F0">
        <w:trPr>
          <w:jc w:val="center"/>
        </w:trPr>
        <w:tc>
          <w:tcPr>
            <w:tcW w:w="2126" w:type="dxa"/>
            <w:vMerge/>
            <w:vAlign w:val="center"/>
          </w:tcPr>
          <w:p w:rsidR="00CB7468" w:rsidRPr="001603D7" w:rsidRDefault="00CB7468" w:rsidP="00A929F0">
            <w:pPr>
              <w:keepNext/>
              <w:keepLines/>
              <w:spacing w:before="20" w:after="20"/>
              <w:jc w:val="center"/>
              <w:rPr>
                <w:sz w:val="22"/>
                <w:szCs w:val="22"/>
              </w:rPr>
            </w:pPr>
          </w:p>
        </w:tc>
        <w:tc>
          <w:tcPr>
            <w:tcW w:w="2255" w:type="dxa"/>
            <w:vAlign w:val="center"/>
          </w:tcPr>
          <w:p w:rsidR="00CB7468" w:rsidRPr="001603D7" w:rsidRDefault="00CB7468" w:rsidP="00A929F0">
            <w:pPr>
              <w:keepNext/>
              <w:keepLines/>
              <w:spacing w:before="20" w:after="20"/>
              <w:jc w:val="center"/>
              <w:rPr>
                <w:sz w:val="22"/>
                <w:szCs w:val="22"/>
              </w:rPr>
            </w:pPr>
            <w:r w:rsidRPr="001603D7">
              <w:rPr>
                <w:sz w:val="22"/>
                <w:szCs w:val="22"/>
              </w:rPr>
              <w:t>245</w:t>
            </w:r>
          </w:p>
        </w:tc>
        <w:tc>
          <w:tcPr>
            <w:tcW w:w="2279" w:type="dxa"/>
            <w:vMerge/>
            <w:vAlign w:val="center"/>
          </w:tcPr>
          <w:p w:rsidR="00CB7468" w:rsidRPr="001603D7" w:rsidRDefault="00CB7468" w:rsidP="00A929F0">
            <w:pPr>
              <w:keepNext/>
              <w:keepLines/>
              <w:spacing w:before="20" w:after="20"/>
              <w:jc w:val="center"/>
              <w:rPr>
                <w:sz w:val="22"/>
                <w:szCs w:val="22"/>
              </w:rPr>
            </w:pPr>
          </w:p>
        </w:tc>
        <w:tc>
          <w:tcPr>
            <w:tcW w:w="2128" w:type="dxa"/>
            <w:vAlign w:val="center"/>
          </w:tcPr>
          <w:p w:rsidR="00CB7468" w:rsidRPr="001603D7" w:rsidRDefault="00CB7468" w:rsidP="00A929F0">
            <w:pPr>
              <w:keepNext/>
              <w:keepLines/>
              <w:spacing w:before="20" w:after="20"/>
              <w:ind w:right="113"/>
              <w:jc w:val="right"/>
              <w:rPr>
                <w:sz w:val="22"/>
                <w:szCs w:val="22"/>
              </w:rPr>
            </w:pPr>
            <w:r w:rsidRPr="001603D7">
              <w:rPr>
                <w:sz w:val="22"/>
                <w:szCs w:val="22"/>
              </w:rPr>
              <w:t>1 839,62</w:t>
            </w:r>
          </w:p>
        </w:tc>
      </w:tr>
      <w:tr w:rsidR="00CB7468" w:rsidRPr="001603D7" w:rsidTr="00A929F0">
        <w:trPr>
          <w:jc w:val="center"/>
        </w:trPr>
        <w:tc>
          <w:tcPr>
            <w:tcW w:w="2126" w:type="dxa"/>
            <w:vMerge/>
            <w:vAlign w:val="center"/>
          </w:tcPr>
          <w:p w:rsidR="00CB7468" w:rsidRPr="001603D7" w:rsidRDefault="00CB7468" w:rsidP="00A929F0">
            <w:pPr>
              <w:keepNext/>
              <w:keepLines/>
              <w:spacing w:before="20" w:after="20"/>
              <w:jc w:val="center"/>
              <w:rPr>
                <w:sz w:val="22"/>
                <w:szCs w:val="22"/>
              </w:rPr>
            </w:pPr>
          </w:p>
        </w:tc>
        <w:tc>
          <w:tcPr>
            <w:tcW w:w="2255" w:type="dxa"/>
            <w:vAlign w:val="center"/>
          </w:tcPr>
          <w:p w:rsidR="00CB7468" w:rsidRPr="001603D7" w:rsidRDefault="00CB7468" w:rsidP="00A929F0">
            <w:pPr>
              <w:keepNext/>
              <w:keepLines/>
              <w:spacing w:before="20" w:after="20"/>
              <w:jc w:val="center"/>
              <w:rPr>
                <w:sz w:val="22"/>
                <w:szCs w:val="22"/>
              </w:rPr>
            </w:pPr>
            <w:r w:rsidRPr="001603D7">
              <w:rPr>
                <w:sz w:val="22"/>
                <w:szCs w:val="22"/>
              </w:rPr>
              <w:t>246</w:t>
            </w:r>
          </w:p>
        </w:tc>
        <w:tc>
          <w:tcPr>
            <w:tcW w:w="2279" w:type="dxa"/>
            <w:vMerge/>
            <w:vAlign w:val="center"/>
          </w:tcPr>
          <w:p w:rsidR="00CB7468" w:rsidRPr="001603D7" w:rsidRDefault="00CB7468" w:rsidP="00A929F0">
            <w:pPr>
              <w:keepNext/>
              <w:keepLines/>
              <w:spacing w:before="20" w:after="20"/>
              <w:jc w:val="center"/>
              <w:rPr>
                <w:sz w:val="22"/>
                <w:szCs w:val="22"/>
              </w:rPr>
            </w:pPr>
          </w:p>
        </w:tc>
        <w:tc>
          <w:tcPr>
            <w:tcW w:w="2128" w:type="dxa"/>
            <w:vAlign w:val="center"/>
          </w:tcPr>
          <w:p w:rsidR="00CB7468" w:rsidRPr="001603D7" w:rsidRDefault="00CB7468" w:rsidP="00A929F0">
            <w:pPr>
              <w:keepNext/>
              <w:keepLines/>
              <w:spacing w:before="20" w:after="20"/>
              <w:ind w:right="113"/>
              <w:jc w:val="right"/>
              <w:rPr>
                <w:sz w:val="22"/>
                <w:szCs w:val="22"/>
              </w:rPr>
            </w:pPr>
            <w:r w:rsidRPr="001603D7">
              <w:rPr>
                <w:sz w:val="22"/>
                <w:szCs w:val="22"/>
              </w:rPr>
              <w:t>549,25</w:t>
            </w:r>
          </w:p>
        </w:tc>
      </w:tr>
      <w:tr w:rsidR="00CB7468" w:rsidRPr="001603D7" w:rsidTr="00A929F0">
        <w:trPr>
          <w:jc w:val="center"/>
        </w:trPr>
        <w:tc>
          <w:tcPr>
            <w:tcW w:w="2126" w:type="dxa"/>
            <w:vMerge/>
            <w:vAlign w:val="center"/>
          </w:tcPr>
          <w:p w:rsidR="00CB7468" w:rsidRPr="001603D7" w:rsidRDefault="00CB7468" w:rsidP="00A929F0">
            <w:pPr>
              <w:keepNext/>
              <w:keepLines/>
              <w:spacing w:before="20" w:after="20"/>
              <w:jc w:val="center"/>
              <w:rPr>
                <w:sz w:val="22"/>
                <w:szCs w:val="22"/>
              </w:rPr>
            </w:pPr>
          </w:p>
        </w:tc>
        <w:tc>
          <w:tcPr>
            <w:tcW w:w="2255" w:type="dxa"/>
            <w:vAlign w:val="center"/>
          </w:tcPr>
          <w:p w:rsidR="00CB7468" w:rsidRPr="001603D7" w:rsidRDefault="00CB7468" w:rsidP="00A929F0">
            <w:pPr>
              <w:keepNext/>
              <w:keepLines/>
              <w:spacing w:before="20" w:after="20"/>
              <w:jc w:val="center"/>
              <w:rPr>
                <w:sz w:val="22"/>
                <w:szCs w:val="22"/>
              </w:rPr>
            </w:pPr>
            <w:r w:rsidRPr="001603D7">
              <w:rPr>
                <w:sz w:val="22"/>
                <w:szCs w:val="22"/>
              </w:rPr>
              <w:t>248</w:t>
            </w:r>
          </w:p>
        </w:tc>
        <w:tc>
          <w:tcPr>
            <w:tcW w:w="2279" w:type="dxa"/>
            <w:vMerge/>
            <w:vAlign w:val="center"/>
          </w:tcPr>
          <w:p w:rsidR="00CB7468" w:rsidRPr="001603D7" w:rsidRDefault="00CB7468" w:rsidP="00A929F0">
            <w:pPr>
              <w:keepNext/>
              <w:keepLines/>
              <w:spacing w:before="20" w:after="20"/>
              <w:jc w:val="center"/>
              <w:rPr>
                <w:sz w:val="22"/>
                <w:szCs w:val="22"/>
              </w:rPr>
            </w:pPr>
          </w:p>
        </w:tc>
        <w:tc>
          <w:tcPr>
            <w:tcW w:w="2128" w:type="dxa"/>
            <w:vAlign w:val="center"/>
          </w:tcPr>
          <w:p w:rsidR="00CB7468" w:rsidRPr="001603D7" w:rsidRDefault="00CB7468" w:rsidP="00A929F0">
            <w:pPr>
              <w:keepNext/>
              <w:keepLines/>
              <w:spacing w:before="20" w:after="20"/>
              <w:ind w:right="113"/>
              <w:jc w:val="right"/>
              <w:rPr>
                <w:sz w:val="22"/>
                <w:szCs w:val="22"/>
              </w:rPr>
            </w:pPr>
            <w:r w:rsidRPr="001603D7">
              <w:rPr>
                <w:sz w:val="22"/>
                <w:szCs w:val="22"/>
              </w:rPr>
              <w:t>42,58</w:t>
            </w:r>
          </w:p>
        </w:tc>
      </w:tr>
      <w:tr w:rsidR="00CB7468" w:rsidRPr="001603D7" w:rsidTr="00A929F0">
        <w:trPr>
          <w:jc w:val="center"/>
        </w:trPr>
        <w:tc>
          <w:tcPr>
            <w:tcW w:w="2126" w:type="dxa"/>
            <w:vMerge/>
            <w:vAlign w:val="center"/>
          </w:tcPr>
          <w:p w:rsidR="00CB7468" w:rsidRPr="001603D7" w:rsidRDefault="00CB7468" w:rsidP="00A929F0">
            <w:pPr>
              <w:keepNext/>
              <w:keepLines/>
              <w:spacing w:before="20" w:after="20"/>
              <w:jc w:val="center"/>
              <w:rPr>
                <w:sz w:val="22"/>
                <w:szCs w:val="22"/>
              </w:rPr>
            </w:pPr>
          </w:p>
        </w:tc>
        <w:tc>
          <w:tcPr>
            <w:tcW w:w="2255" w:type="dxa"/>
            <w:vAlign w:val="center"/>
          </w:tcPr>
          <w:p w:rsidR="00CB7468" w:rsidRPr="001603D7" w:rsidRDefault="00CB7468" w:rsidP="00A929F0">
            <w:pPr>
              <w:keepNext/>
              <w:keepLines/>
              <w:spacing w:before="20" w:after="20"/>
              <w:jc w:val="center"/>
              <w:rPr>
                <w:sz w:val="22"/>
                <w:szCs w:val="22"/>
              </w:rPr>
            </w:pPr>
            <w:r w:rsidRPr="001603D7">
              <w:rPr>
                <w:sz w:val="22"/>
                <w:szCs w:val="22"/>
              </w:rPr>
              <w:t>249</w:t>
            </w:r>
          </w:p>
        </w:tc>
        <w:tc>
          <w:tcPr>
            <w:tcW w:w="2279" w:type="dxa"/>
            <w:vMerge/>
            <w:vAlign w:val="center"/>
          </w:tcPr>
          <w:p w:rsidR="00CB7468" w:rsidRPr="001603D7" w:rsidRDefault="00CB7468" w:rsidP="00A929F0">
            <w:pPr>
              <w:keepNext/>
              <w:keepLines/>
              <w:spacing w:before="20" w:after="20"/>
              <w:jc w:val="center"/>
              <w:rPr>
                <w:sz w:val="22"/>
                <w:szCs w:val="22"/>
              </w:rPr>
            </w:pPr>
          </w:p>
        </w:tc>
        <w:tc>
          <w:tcPr>
            <w:tcW w:w="2128" w:type="dxa"/>
            <w:vAlign w:val="center"/>
          </w:tcPr>
          <w:p w:rsidR="00CB7468" w:rsidRPr="001603D7" w:rsidRDefault="00CB7468" w:rsidP="00A929F0">
            <w:pPr>
              <w:keepNext/>
              <w:keepLines/>
              <w:spacing w:before="20" w:after="20"/>
              <w:ind w:right="113"/>
              <w:jc w:val="right"/>
              <w:rPr>
                <w:sz w:val="22"/>
                <w:szCs w:val="22"/>
              </w:rPr>
            </w:pPr>
            <w:r w:rsidRPr="001603D7">
              <w:rPr>
                <w:sz w:val="22"/>
                <w:szCs w:val="22"/>
              </w:rPr>
              <w:t>8</w:t>
            </w:r>
            <w:r>
              <w:rPr>
                <w:sz w:val="22"/>
                <w:szCs w:val="22"/>
              </w:rPr>
              <w:t> </w:t>
            </w:r>
            <w:r w:rsidRPr="001603D7">
              <w:rPr>
                <w:sz w:val="22"/>
                <w:szCs w:val="22"/>
              </w:rPr>
              <w:t>701,82</w:t>
            </w:r>
          </w:p>
        </w:tc>
      </w:tr>
      <w:tr w:rsidR="00CB7468" w:rsidRPr="001603D7" w:rsidTr="00A929F0">
        <w:trPr>
          <w:jc w:val="center"/>
        </w:trPr>
        <w:tc>
          <w:tcPr>
            <w:tcW w:w="6660" w:type="dxa"/>
            <w:gridSpan w:val="3"/>
            <w:vAlign w:val="center"/>
          </w:tcPr>
          <w:p w:rsidR="00CB7468" w:rsidRPr="001603D7" w:rsidRDefault="00CB7468" w:rsidP="00A929F0">
            <w:pPr>
              <w:keepNext/>
              <w:keepLines/>
              <w:spacing w:before="20" w:after="20"/>
              <w:jc w:val="center"/>
              <w:rPr>
                <w:sz w:val="22"/>
                <w:szCs w:val="22"/>
              </w:rPr>
            </w:pPr>
            <w:r w:rsidRPr="001603D7">
              <w:rPr>
                <w:sz w:val="22"/>
                <w:szCs w:val="22"/>
              </w:rPr>
              <w:t>TOTAL</w:t>
            </w:r>
          </w:p>
        </w:tc>
        <w:tc>
          <w:tcPr>
            <w:tcW w:w="2128" w:type="dxa"/>
            <w:vAlign w:val="center"/>
          </w:tcPr>
          <w:p w:rsidR="00CB7468" w:rsidRPr="001603D7" w:rsidRDefault="00CB7468" w:rsidP="00A929F0">
            <w:pPr>
              <w:keepNext/>
              <w:keepLines/>
              <w:spacing w:before="20" w:after="20"/>
              <w:ind w:left="284" w:right="113"/>
              <w:jc w:val="right"/>
              <w:rPr>
                <w:sz w:val="22"/>
                <w:szCs w:val="22"/>
              </w:rPr>
            </w:pPr>
            <w:r>
              <w:rPr>
                <w:sz w:val="22"/>
                <w:szCs w:val="22"/>
              </w:rPr>
              <w:t>13 </w:t>
            </w:r>
            <w:r w:rsidRPr="001603D7">
              <w:rPr>
                <w:sz w:val="22"/>
                <w:szCs w:val="22"/>
              </w:rPr>
              <w:t>229,68</w:t>
            </w:r>
          </w:p>
        </w:tc>
      </w:tr>
    </w:tbl>
    <w:p w:rsidR="00BF574C" w:rsidRDefault="00BF574C" w:rsidP="00BF574C">
      <w:pPr>
        <w:keepLines/>
        <w:spacing w:beforeLines="20" w:before="48" w:afterLines="20" w:after="48"/>
        <w:jc w:val="both"/>
      </w:pPr>
    </w:p>
    <w:p w:rsidR="00CB7468" w:rsidRPr="00D07F40" w:rsidRDefault="008C0120" w:rsidP="00A31C65">
      <w:pPr>
        <w:keepLines/>
        <w:spacing w:before="360"/>
        <w:ind w:firstLine="708"/>
        <w:jc w:val="both"/>
        <w:rPr>
          <w:sz w:val="24"/>
        </w:rPr>
      </w:pPr>
      <w:r>
        <w:rPr>
          <w:sz w:val="24"/>
        </w:rPr>
        <w:t>Considérant</w:t>
      </w:r>
      <w:r w:rsidR="00CB7468" w:rsidRPr="00D07F40">
        <w:rPr>
          <w:sz w:val="24"/>
        </w:rPr>
        <w:t xml:space="preserve"> que ces mandats n’avaient pas fait l’objet de la signature de l’ordonnateur secondaire ; que ceux-ci n’étaient revêtus que d’un cachet mentionnant « la Préfète, pour la Préfète et par délégation, la chef du service des affaires financières, </w:t>
      </w:r>
      <w:r w:rsidR="006020F7">
        <w:rPr>
          <w:sz w:val="24"/>
        </w:rPr>
        <w:t>Y</w:t>
      </w:r>
      <w:r w:rsidR="00CB7468" w:rsidRPr="00D07F40">
        <w:rPr>
          <w:sz w:val="24"/>
        </w:rPr>
        <w:t>» ;</w:t>
      </w:r>
    </w:p>
    <w:p w:rsidR="00CB7468" w:rsidRDefault="008C0120" w:rsidP="00A31C65">
      <w:pPr>
        <w:keepLines/>
        <w:spacing w:before="360"/>
        <w:ind w:firstLine="708"/>
        <w:jc w:val="both"/>
        <w:rPr>
          <w:sz w:val="24"/>
        </w:rPr>
      </w:pPr>
      <w:r>
        <w:rPr>
          <w:sz w:val="24"/>
        </w:rPr>
        <w:t>Considérant</w:t>
      </w:r>
      <w:r w:rsidR="00CB7468">
        <w:rPr>
          <w:sz w:val="24"/>
        </w:rPr>
        <w:t xml:space="preserve"> qu’e</w:t>
      </w:r>
      <w:r w:rsidR="00CB7468" w:rsidRPr="00D07F40">
        <w:rPr>
          <w:sz w:val="24"/>
        </w:rPr>
        <w:t>n application de l’article 12 du décret du 29</w:t>
      </w:r>
      <w:r w:rsidR="00A31C65">
        <w:rPr>
          <w:sz w:val="24"/>
        </w:rPr>
        <w:t xml:space="preserve"> </w:t>
      </w:r>
      <w:r w:rsidR="00CB7468" w:rsidRPr="00D07F40">
        <w:rPr>
          <w:sz w:val="24"/>
        </w:rPr>
        <w:t>décembre 1962</w:t>
      </w:r>
      <w:r w:rsidR="00CB7468">
        <w:rPr>
          <w:sz w:val="24"/>
        </w:rPr>
        <w:t xml:space="preserve"> susvisé,</w:t>
      </w:r>
      <w:r w:rsidR="00CB7468" w:rsidRPr="00D07F40">
        <w:rPr>
          <w:sz w:val="24"/>
        </w:rPr>
        <w:t xml:space="preserve"> « </w:t>
      </w:r>
      <w:r w:rsidR="00CB7468" w:rsidRPr="00230D5C">
        <w:rPr>
          <w:i/>
          <w:sz w:val="24"/>
        </w:rPr>
        <w:t>les comptables sont tenus d’exercer [...] B. - En matière de dépenses, le contrôle : De la qualité de l’ordonnateur ou de son délégué [...]</w:t>
      </w:r>
      <w:r w:rsidR="00CB7468">
        <w:rPr>
          <w:sz w:val="24"/>
        </w:rPr>
        <w:t> » ;</w:t>
      </w:r>
    </w:p>
    <w:p w:rsidR="00CB7468" w:rsidRPr="00160670" w:rsidRDefault="003160B1" w:rsidP="00A31C65">
      <w:pPr>
        <w:spacing w:before="360"/>
        <w:ind w:firstLine="708"/>
        <w:jc w:val="both"/>
        <w:rPr>
          <w:szCs w:val="22"/>
          <w:lang w:eastAsia="en-US"/>
        </w:rPr>
      </w:pPr>
      <w:bookmarkStart w:id="2" w:name="_Toc380129059"/>
      <w:bookmarkEnd w:id="2"/>
      <w:r>
        <w:rPr>
          <w:sz w:val="24"/>
        </w:rPr>
        <w:t>Considérant</w:t>
      </w:r>
      <w:r w:rsidR="00CB7468">
        <w:rPr>
          <w:sz w:val="24"/>
          <w:szCs w:val="22"/>
          <w:lang w:eastAsia="en-US"/>
        </w:rPr>
        <w:t>, ainsi que le rappelle le ministère public,</w:t>
      </w:r>
      <w:r w:rsidR="00CB7468" w:rsidRPr="00160670">
        <w:rPr>
          <w:sz w:val="24"/>
          <w:szCs w:val="22"/>
          <w:lang w:eastAsia="en-US"/>
        </w:rPr>
        <w:t xml:space="preserve"> qu’il résulte d</w:t>
      </w:r>
      <w:r w:rsidR="00CB7468">
        <w:rPr>
          <w:sz w:val="24"/>
          <w:szCs w:val="22"/>
          <w:lang w:eastAsia="en-US"/>
        </w:rPr>
        <w:t>u B d</w:t>
      </w:r>
      <w:r w:rsidR="00CB7468" w:rsidRPr="00160670">
        <w:rPr>
          <w:sz w:val="24"/>
          <w:szCs w:val="22"/>
          <w:lang w:eastAsia="en-US"/>
        </w:rPr>
        <w:t>e l’article 12</w:t>
      </w:r>
      <w:r w:rsidR="00CB7468">
        <w:rPr>
          <w:sz w:val="24"/>
          <w:szCs w:val="22"/>
          <w:lang w:eastAsia="en-US"/>
        </w:rPr>
        <w:t xml:space="preserve"> </w:t>
      </w:r>
      <w:r w:rsidR="00CB7468" w:rsidRPr="00160670">
        <w:rPr>
          <w:sz w:val="24"/>
          <w:szCs w:val="22"/>
          <w:lang w:eastAsia="en-US"/>
        </w:rPr>
        <w:t xml:space="preserve">du décret du 29 décembre 1962 </w:t>
      </w:r>
      <w:r w:rsidR="00CB7468">
        <w:rPr>
          <w:sz w:val="24"/>
          <w:szCs w:val="22"/>
          <w:lang w:eastAsia="en-US"/>
        </w:rPr>
        <w:t xml:space="preserve">susvisé </w:t>
      </w:r>
      <w:r w:rsidR="00CB7468" w:rsidRPr="00160670">
        <w:rPr>
          <w:sz w:val="24"/>
          <w:szCs w:val="22"/>
          <w:lang w:eastAsia="en-US"/>
        </w:rPr>
        <w:t>que le comptable est tenu d’exercer le contrôle de la qualité de l’ordonnateur ou de son délégué ; qu</w:t>
      </w:r>
      <w:r w:rsidR="00CB7468">
        <w:rPr>
          <w:sz w:val="24"/>
          <w:szCs w:val="22"/>
          <w:lang w:eastAsia="en-US"/>
        </w:rPr>
        <w:t>’en outre</w:t>
      </w:r>
      <w:r w:rsidR="00CB7468" w:rsidRPr="00160670">
        <w:rPr>
          <w:sz w:val="24"/>
          <w:szCs w:val="22"/>
          <w:lang w:eastAsia="en-US"/>
        </w:rPr>
        <w:t>, l’annexe de la circulaire du budget du 30 septembre 2003 relative à la</w:t>
      </w:r>
      <w:r w:rsidR="00A31C65">
        <w:rPr>
          <w:sz w:val="24"/>
          <w:szCs w:val="22"/>
          <w:lang w:eastAsia="en-US"/>
        </w:rPr>
        <w:t xml:space="preserve"> </w:t>
      </w:r>
      <w:r w:rsidR="00CB7468" w:rsidRPr="00160670">
        <w:rPr>
          <w:sz w:val="24"/>
          <w:szCs w:val="22"/>
          <w:lang w:eastAsia="en-US"/>
        </w:rPr>
        <w:t xml:space="preserve">nomenclature des pièces justificatives des dépenses de l’État et l’instruction codificatrice du 17 novembre 2003 susvisée, </w:t>
      </w:r>
      <w:r w:rsidR="00CB7468">
        <w:rPr>
          <w:sz w:val="24"/>
          <w:szCs w:val="22"/>
          <w:lang w:eastAsia="en-US"/>
        </w:rPr>
        <w:t xml:space="preserve">précisent que </w:t>
      </w:r>
      <w:r w:rsidR="00CB7468" w:rsidRPr="00160670">
        <w:rPr>
          <w:sz w:val="24"/>
          <w:szCs w:val="22"/>
          <w:lang w:eastAsia="en-US"/>
        </w:rPr>
        <w:t>le comptable « </w:t>
      </w:r>
      <w:r w:rsidR="00CB7468" w:rsidRPr="007948C6">
        <w:rPr>
          <w:i/>
          <w:sz w:val="24"/>
          <w:szCs w:val="22"/>
          <w:lang w:eastAsia="en-US"/>
        </w:rPr>
        <w:t>doit au stade du paiement s’assurer de la qualité d’ordonnateur ou de délégataire de l’ordonnateur, du signataire de l’ordonnance ou du mandat de paiemen</w:t>
      </w:r>
      <w:r w:rsidR="00CB7468" w:rsidRPr="00160670">
        <w:rPr>
          <w:sz w:val="24"/>
          <w:szCs w:val="22"/>
          <w:lang w:eastAsia="en-US"/>
        </w:rPr>
        <w:t xml:space="preserve">t » ; </w:t>
      </w:r>
    </w:p>
    <w:p w:rsidR="00CB7468" w:rsidRDefault="003160B1" w:rsidP="00A31C65">
      <w:pPr>
        <w:spacing w:before="360"/>
        <w:ind w:firstLine="708"/>
        <w:jc w:val="both"/>
        <w:rPr>
          <w:sz w:val="24"/>
          <w:szCs w:val="22"/>
          <w:lang w:eastAsia="en-US"/>
        </w:rPr>
      </w:pPr>
      <w:r>
        <w:rPr>
          <w:sz w:val="24"/>
        </w:rPr>
        <w:t>Considérant</w:t>
      </w:r>
      <w:r w:rsidR="00CB7468">
        <w:rPr>
          <w:sz w:val="24"/>
          <w:szCs w:val="22"/>
          <w:lang w:eastAsia="en-US"/>
        </w:rPr>
        <w:t xml:space="preserve"> </w:t>
      </w:r>
      <w:r w:rsidR="00CB7468" w:rsidRPr="00160670">
        <w:rPr>
          <w:sz w:val="24"/>
          <w:szCs w:val="22"/>
          <w:lang w:eastAsia="en-US"/>
        </w:rPr>
        <w:t>qu</w:t>
      </w:r>
      <w:r w:rsidR="00CB7468">
        <w:rPr>
          <w:sz w:val="24"/>
          <w:szCs w:val="22"/>
          <w:lang w:eastAsia="en-US"/>
        </w:rPr>
        <w:t>e</w:t>
      </w:r>
      <w:r w:rsidR="00CB7468" w:rsidRPr="00160670">
        <w:rPr>
          <w:sz w:val="24"/>
          <w:szCs w:val="22"/>
          <w:lang w:eastAsia="en-US"/>
        </w:rPr>
        <w:t xml:space="preserve"> le défaut de signature des mandats rendait impossible le contrôle de la qualité de l’ordonnateur ; que ces dépenses ont </w:t>
      </w:r>
      <w:r w:rsidR="00CB7468">
        <w:rPr>
          <w:sz w:val="24"/>
          <w:szCs w:val="22"/>
          <w:lang w:eastAsia="en-US"/>
        </w:rPr>
        <w:t xml:space="preserve">ainsi </w:t>
      </w:r>
      <w:r w:rsidR="00CB7468" w:rsidRPr="00160670">
        <w:rPr>
          <w:sz w:val="24"/>
          <w:szCs w:val="22"/>
          <w:lang w:eastAsia="en-US"/>
        </w:rPr>
        <w:t>été irrégulièrement payées ;</w:t>
      </w:r>
      <w:r w:rsidR="00CB7468">
        <w:rPr>
          <w:sz w:val="24"/>
          <w:szCs w:val="22"/>
          <w:lang w:eastAsia="en-US"/>
        </w:rPr>
        <w:t xml:space="preserve"> que la responsabilité du comptable doit être engagée au titre</w:t>
      </w:r>
      <w:r w:rsidR="00A31C65">
        <w:rPr>
          <w:sz w:val="24"/>
          <w:szCs w:val="22"/>
          <w:lang w:eastAsia="en-US"/>
        </w:rPr>
        <w:t xml:space="preserve"> </w:t>
      </w:r>
      <w:r w:rsidR="00CB7468">
        <w:rPr>
          <w:sz w:val="24"/>
          <w:szCs w:val="22"/>
          <w:lang w:eastAsia="en-US"/>
        </w:rPr>
        <w:t>de ce manquement ;</w:t>
      </w:r>
    </w:p>
    <w:p w:rsidR="00CB7468" w:rsidRDefault="003160B1" w:rsidP="00A31C65">
      <w:pPr>
        <w:spacing w:before="360"/>
        <w:ind w:firstLine="708"/>
        <w:rPr>
          <w:sz w:val="24"/>
          <w:szCs w:val="22"/>
          <w:lang w:eastAsia="en-US"/>
        </w:rPr>
      </w:pPr>
      <w:r>
        <w:rPr>
          <w:sz w:val="24"/>
        </w:rPr>
        <w:t>Considérant</w:t>
      </w:r>
      <w:r w:rsidR="00CB7468">
        <w:rPr>
          <w:sz w:val="24"/>
          <w:szCs w:val="22"/>
          <w:lang w:eastAsia="en-US"/>
        </w:rPr>
        <w:t xml:space="preserve"> que ce manquement ne résulte pas d’un cas de force majeure ;</w:t>
      </w:r>
    </w:p>
    <w:p w:rsidR="00CB7468" w:rsidRDefault="003160B1" w:rsidP="00A31C65">
      <w:pPr>
        <w:spacing w:before="360"/>
        <w:ind w:firstLine="708"/>
        <w:jc w:val="both"/>
        <w:rPr>
          <w:sz w:val="24"/>
          <w:szCs w:val="22"/>
          <w:lang w:eastAsia="en-US"/>
        </w:rPr>
      </w:pPr>
      <w:r>
        <w:rPr>
          <w:sz w:val="24"/>
        </w:rPr>
        <w:t>Considérant</w:t>
      </w:r>
      <w:r w:rsidR="00CB7468">
        <w:rPr>
          <w:sz w:val="24"/>
          <w:szCs w:val="22"/>
          <w:lang w:eastAsia="en-US"/>
        </w:rPr>
        <w:t xml:space="preserve"> que la Cour se prononce sur l’existence d’un préjudice financier au regard de chacun des mandats concernés ; qu’au</w:t>
      </w:r>
      <w:r w:rsidR="00CB7468" w:rsidRPr="00160670">
        <w:rPr>
          <w:sz w:val="24"/>
          <w:szCs w:val="22"/>
          <w:lang w:eastAsia="en-US"/>
        </w:rPr>
        <w:t xml:space="preserve"> cas d’espèce, l</w:t>
      </w:r>
      <w:r w:rsidR="00CB7468">
        <w:rPr>
          <w:sz w:val="24"/>
          <w:szCs w:val="22"/>
          <w:lang w:eastAsia="en-US"/>
        </w:rPr>
        <w:t>es dépenses n’apparaissent pas indues ; qu’ainsi l</w:t>
      </w:r>
      <w:r w:rsidR="00CB7468" w:rsidRPr="00160670">
        <w:rPr>
          <w:sz w:val="24"/>
          <w:szCs w:val="22"/>
          <w:lang w:eastAsia="en-US"/>
        </w:rPr>
        <w:t>e préj</w:t>
      </w:r>
      <w:r w:rsidR="00CB7468">
        <w:rPr>
          <w:sz w:val="24"/>
          <w:szCs w:val="22"/>
          <w:lang w:eastAsia="en-US"/>
        </w:rPr>
        <w:t xml:space="preserve">udice financier n’est pas avéré ; </w:t>
      </w:r>
    </w:p>
    <w:p w:rsidR="00CB7468" w:rsidRDefault="003160B1" w:rsidP="00A31C65">
      <w:pPr>
        <w:pStyle w:val="Retraitcorpsdetexte"/>
        <w:spacing w:before="360" w:after="0"/>
        <w:ind w:left="0"/>
        <w:rPr>
          <w:szCs w:val="22"/>
          <w:lang w:eastAsia="en-US"/>
        </w:rPr>
      </w:pPr>
      <w:r>
        <w:t>Considérant</w:t>
      </w:r>
      <w:r w:rsidR="00CB7468" w:rsidRPr="00160670">
        <w:rPr>
          <w:szCs w:val="22"/>
          <w:lang w:eastAsia="en-US"/>
        </w:rPr>
        <w:t xml:space="preserve"> qu</w:t>
      </w:r>
      <w:r w:rsidR="00CB7468">
        <w:rPr>
          <w:szCs w:val="22"/>
          <w:lang w:eastAsia="en-US"/>
        </w:rPr>
        <w:t>’</w:t>
      </w:r>
      <w:r w:rsidR="00CB7468" w:rsidRPr="00160670">
        <w:rPr>
          <w:szCs w:val="22"/>
          <w:lang w:eastAsia="en-US"/>
        </w:rPr>
        <w:t xml:space="preserve">en application de l’article 60-IV de la loi du 23 février 1963 </w:t>
      </w:r>
      <w:r w:rsidR="00CB7468">
        <w:rPr>
          <w:szCs w:val="22"/>
          <w:lang w:eastAsia="en-US"/>
        </w:rPr>
        <w:t>susvisée</w:t>
      </w:r>
      <w:r w:rsidR="00CB7468" w:rsidRPr="00160670">
        <w:rPr>
          <w:szCs w:val="22"/>
          <w:lang w:eastAsia="en-US"/>
        </w:rPr>
        <w:t>, lorsque le manquement du comptable à ses obligations n’a pas causé de préjudice financier à l'organisme public concerné, le juge des comptes peut l’obliger à s’acquitter d’une somme arrêtée, pour chaque exercice, en tenant compte des circonstances de l’espèce ; que le montant maximal de cette somme a été fixé, par décret du 10 décembre 2012 susvisé, à un millième et demi du montant du cautionnement prévu pour le poste comptable ;</w:t>
      </w:r>
    </w:p>
    <w:p w:rsidR="00CB7468" w:rsidRDefault="003160B1" w:rsidP="00A31C65">
      <w:pPr>
        <w:pStyle w:val="Retraitcorpsdetexte"/>
        <w:spacing w:before="360" w:after="0"/>
        <w:ind w:left="0" w:firstLine="708"/>
        <w:rPr>
          <w:szCs w:val="22"/>
          <w:lang w:eastAsia="en-US"/>
        </w:rPr>
      </w:pPr>
      <w:r>
        <w:lastRenderedPageBreak/>
        <w:t>Considérant</w:t>
      </w:r>
      <w:r w:rsidR="00CB7468">
        <w:rPr>
          <w:szCs w:val="22"/>
          <w:lang w:eastAsia="en-US"/>
        </w:rPr>
        <w:t xml:space="preserve"> que le juge n’apprécie le respect des règles gouvernant le contrôle hiérarchisé ou sélectif de la dépense que dans les cas où il prononce un débet</w:t>
      </w:r>
      <w:r w:rsidR="00A31C65">
        <w:rPr>
          <w:szCs w:val="22"/>
          <w:lang w:eastAsia="en-US"/>
        </w:rPr>
        <w:t xml:space="preserve"> </w:t>
      </w:r>
      <w:r w:rsidR="00CB7468">
        <w:rPr>
          <w:szCs w:val="22"/>
          <w:lang w:eastAsia="en-US"/>
        </w:rPr>
        <w:t>au titre du manquement correspondant</w:t>
      </w:r>
      <w:r w:rsidR="00A31C65">
        <w:rPr>
          <w:szCs w:val="22"/>
          <w:lang w:eastAsia="en-US"/>
        </w:rPr>
        <w:t> </w:t>
      </w:r>
      <w:r w:rsidR="00CB7468">
        <w:rPr>
          <w:szCs w:val="22"/>
          <w:lang w:eastAsia="en-US"/>
        </w:rPr>
        <w:t>; qu’ainsi, en l’absence de préjudice financier, il n’y a pas lieu de se prononcer sur ce point ;</w:t>
      </w:r>
    </w:p>
    <w:p w:rsidR="00CB7468" w:rsidRPr="00160670" w:rsidRDefault="003160B1" w:rsidP="00A31C65">
      <w:pPr>
        <w:pStyle w:val="Retraitcorpsdetexte"/>
        <w:spacing w:before="360" w:after="0"/>
        <w:ind w:left="0" w:firstLine="708"/>
        <w:rPr>
          <w:szCs w:val="22"/>
          <w:lang w:eastAsia="en-US"/>
        </w:rPr>
      </w:pPr>
      <w:r>
        <w:t>Considérant</w:t>
      </w:r>
      <w:r w:rsidR="00CB7468">
        <w:rPr>
          <w:szCs w:val="22"/>
          <w:lang w:eastAsia="en-US"/>
        </w:rPr>
        <w:t xml:space="preserve"> </w:t>
      </w:r>
      <w:r w:rsidR="00CB7468" w:rsidRPr="00160670">
        <w:rPr>
          <w:szCs w:val="22"/>
          <w:lang w:eastAsia="en-US"/>
        </w:rPr>
        <w:t xml:space="preserve">qu’il sera fait une </w:t>
      </w:r>
      <w:r w:rsidR="00CB7468">
        <w:rPr>
          <w:szCs w:val="22"/>
          <w:lang w:eastAsia="en-US"/>
        </w:rPr>
        <w:t>exacte</w:t>
      </w:r>
      <w:r w:rsidR="00CB7468" w:rsidRPr="00160670">
        <w:rPr>
          <w:szCs w:val="22"/>
          <w:lang w:eastAsia="en-US"/>
        </w:rPr>
        <w:t xml:space="preserve"> appréciation des circonstances de l’espèce en mettant à la charge du comptable une somme non rémissible de </w:t>
      </w:r>
      <w:r w:rsidR="00CB7468">
        <w:rPr>
          <w:szCs w:val="22"/>
          <w:lang w:eastAsia="en-US"/>
        </w:rPr>
        <w:t>180</w:t>
      </w:r>
      <w:r w:rsidR="00CB7468" w:rsidRPr="00160670">
        <w:rPr>
          <w:szCs w:val="22"/>
          <w:lang w:eastAsia="en-US"/>
        </w:rPr>
        <w:t xml:space="preserve"> euros </w:t>
      </w:r>
      <w:r w:rsidR="00CB7468">
        <w:rPr>
          <w:szCs w:val="22"/>
          <w:lang w:eastAsia="en-US"/>
        </w:rPr>
        <w:t xml:space="preserve">pour le manquement unique constitué par le paiement des neuf mandats litigieux </w:t>
      </w:r>
      <w:r w:rsidR="00CB7468" w:rsidRPr="00160670">
        <w:rPr>
          <w:szCs w:val="22"/>
          <w:lang w:eastAsia="en-US"/>
        </w:rPr>
        <w:t>;</w:t>
      </w:r>
      <w:r w:rsidR="00CB7468">
        <w:rPr>
          <w:szCs w:val="22"/>
          <w:lang w:eastAsia="en-US"/>
        </w:rPr>
        <w:t xml:space="preserve"> </w:t>
      </w:r>
    </w:p>
    <w:p w:rsidR="008C0723" w:rsidRDefault="008C0723" w:rsidP="00CB7468">
      <w:pPr>
        <w:pStyle w:val="Retraitcorpsdetexte"/>
      </w:pPr>
    </w:p>
    <w:p w:rsidR="00CB7468" w:rsidRPr="006A3F0E" w:rsidRDefault="00CB7468" w:rsidP="00CB7468">
      <w:pPr>
        <w:pStyle w:val="Retraitcorpsdetexte"/>
        <w:rPr>
          <w:b/>
        </w:rPr>
      </w:pPr>
      <w:r w:rsidRPr="006A3F0E">
        <w:rPr>
          <w:b/>
        </w:rPr>
        <w:t xml:space="preserve">Par ces motifs, </w:t>
      </w:r>
    </w:p>
    <w:p w:rsidR="00CB7468" w:rsidRDefault="003160B1" w:rsidP="00CB7468">
      <w:pPr>
        <w:pStyle w:val="Retraitcorpsdetexte"/>
        <w:jc w:val="center"/>
      </w:pPr>
      <w:r w:rsidRPr="006A3F0E">
        <w:rPr>
          <w:b/>
        </w:rPr>
        <w:t>DECIDE</w:t>
      </w:r>
      <w:r w:rsidR="00CB7468">
        <w:t> :</w:t>
      </w:r>
    </w:p>
    <w:p w:rsidR="00CB7468" w:rsidRDefault="00CB7468" w:rsidP="00001DD2">
      <w:pPr>
        <w:pStyle w:val="Retraitcorpsdetexte"/>
        <w:ind w:left="0" w:firstLine="0"/>
      </w:pPr>
      <w:r w:rsidRPr="00001DD2">
        <w:rPr>
          <w:u w:val="single"/>
        </w:rPr>
        <w:t>Article 1</w:t>
      </w:r>
      <w:r w:rsidRPr="00001DD2">
        <w:rPr>
          <w:u w:val="single"/>
          <w:vertAlign w:val="superscript"/>
        </w:rPr>
        <w:t>er</w:t>
      </w:r>
      <w:r>
        <w:rPr>
          <w:vertAlign w:val="superscript"/>
        </w:rPr>
        <w:t> </w:t>
      </w:r>
      <w:r>
        <w:t>: Il n’y a pas lieu de prononcer de charge à l’encontre de M. </w:t>
      </w:r>
      <w:r w:rsidR="006020F7">
        <w:t>X</w:t>
      </w:r>
      <w:r>
        <w:t xml:space="preserve"> sur sa gestion 2010, au motif de l’absence de recouvrement du solde de 3.500 € du titre de perception mentionné à la première charge ;</w:t>
      </w:r>
    </w:p>
    <w:p w:rsidR="006A3F0E" w:rsidRDefault="00CB7468" w:rsidP="00001DD2">
      <w:pPr>
        <w:pStyle w:val="Retraitcorpsdetexte"/>
        <w:spacing w:before="360"/>
        <w:ind w:left="0" w:firstLine="0"/>
      </w:pPr>
      <w:r w:rsidRPr="00001DD2">
        <w:rPr>
          <w:u w:val="single"/>
        </w:rPr>
        <w:t>Article 2</w:t>
      </w:r>
      <w:r w:rsidRPr="00001DD2">
        <w:t> </w:t>
      </w:r>
      <w:r>
        <w:t>:</w:t>
      </w:r>
      <w:r w:rsidR="00001DD2">
        <w:t xml:space="preserve"> </w:t>
      </w:r>
      <w:r>
        <w:t>Il n’y a pas lieu de prononcer de charge à l’encontre de M. </w:t>
      </w:r>
      <w:r w:rsidR="006020F7">
        <w:t>X</w:t>
      </w:r>
      <w:r>
        <w:t xml:space="preserve"> sur sa gestion 2008, au motif de l’admission en non-valeur de deux créances d’un montant total de </w:t>
      </w:r>
      <w:r w:rsidRPr="00B91C39">
        <w:t>1 300 000 €</w:t>
      </w:r>
      <w:r w:rsidR="00A31C65">
        <w:t> </w:t>
      </w:r>
      <w:r>
        <w:t>;</w:t>
      </w:r>
    </w:p>
    <w:p w:rsidR="00CB7468" w:rsidRDefault="00CB7468" w:rsidP="00001DD2">
      <w:pPr>
        <w:pStyle w:val="Retraitcorpsdetexte"/>
        <w:ind w:left="0" w:firstLine="1134"/>
      </w:pPr>
      <w:bookmarkStart w:id="3" w:name="_GoBack"/>
      <w:bookmarkEnd w:id="3"/>
      <w:r>
        <w:t>M. </w:t>
      </w:r>
      <w:r w:rsidR="006020F7">
        <w:t>X</w:t>
      </w:r>
      <w:r>
        <w:t xml:space="preserve"> est déchargé de sa gestion pour l’année </w:t>
      </w:r>
      <w:r w:rsidRPr="000570F8">
        <w:t>200</w:t>
      </w:r>
      <w:r>
        <w:t>8 ;</w:t>
      </w:r>
    </w:p>
    <w:p w:rsidR="00CB7468" w:rsidRDefault="00CB7468" w:rsidP="00001DD2">
      <w:pPr>
        <w:pStyle w:val="Retraitcorpsdetexte"/>
        <w:spacing w:before="360"/>
        <w:ind w:left="0" w:firstLine="0"/>
      </w:pPr>
      <w:r w:rsidRPr="00001DD2">
        <w:rPr>
          <w:u w:val="single"/>
        </w:rPr>
        <w:t>Article 3</w:t>
      </w:r>
      <w:r>
        <w:t> :</w:t>
      </w:r>
      <w:r w:rsidR="00001DD2">
        <w:t xml:space="preserve"> </w:t>
      </w:r>
      <w:r>
        <w:t>Il est mis à la charge de M. </w:t>
      </w:r>
      <w:r w:rsidR="006020F7">
        <w:t>X</w:t>
      </w:r>
      <w:r>
        <w:t xml:space="preserve"> une somme non ré</w:t>
      </w:r>
      <w:r w:rsidR="003160B1">
        <w:t>missible de 180 € sur</w:t>
      </w:r>
      <w:r>
        <w:t xml:space="preserve"> sa gestion 2010, le manquement constaté ci-dessus n’ayant pas causé de préjudice financier au trésor. </w:t>
      </w:r>
    </w:p>
    <w:p w:rsidR="00CB7468" w:rsidRDefault="00CB7468" w:rsidP="00CB7468">
      <w:pPr>
        <w:pStyle w:val="Retraitcorpsdetexte"/>
        <w:jc w:val="center"/>
      </w:pPr>
      <w:r>
        <w:t>--------------</w:t>
      </w:r>
    </w:p>
    <w:p w:rsidR="00CB7468" w:rsidRDefault="00CB7468" w:rsidP="00BF574C">
      <w:pPr>
        <w:pStyle w:val="Retraitcorpsdetexte"/>
        <w:ind w:left="0" w:firstLine="708"/>
      </w:pPr>
      <w:r>
        <w:t>Fait et jugé en la Cour des comptes, première chambre, première section, le quatre juin deux mil quatorze. Présents : M</w:t>
      </w:r>
      <w:r w:rsidRPr="00A31C65">
        <w:rPr>
          <w:vertAlign w:val="superscript"/>
        </w:rPr>
        <w:t>me</w:t>
      </w:r>
      <w:r>
        <w:t xml:space="preserve"> Fradin, présidente de section, MM. Brun Buisson, Feller et Chouvet, conseillers maîtres.</w:t>
      </w:r>
    </w:p>
    <w:p w:rsidR="009B28E3" w:rsidRPr="009B28E3" w:rsidRDefault="009B28E3" w:rsidP="00A63294">
      <w:pPr>
        <w:spacing w:before="120" w:after="240"/>
        <w:ind w:firstLine="720"/>
        <w:rPr>
          <w:sz w:val="24"/>
          <w:szCs w:val="24"/>
        </w:rPr>
      </w:pPr>
      <w:r w:rsidRPr="009B28E3">
        <w:rPr>
          <w:sz w:val="24"/>
          <w:szCs w:val="24"/>
        </w:rPr>
        <w:t>Signé : Fradin, président de section, et Le Baron, greffier.</w:t>
      </w:r>
    </w:p>
    <w:p w:rsidR="009B28E3" w:rsidRPr="009B28E3" w:rsidRDefault="009B28E3" w:rsidP="00A63294">
      <w:pPr>
        <w:spacing w:before="120" w:after="240"/>
        <w:ind w:firstLine="720"/>
        <w:rPr>
          <w:sz w:val="24"/>
          <w:szCs w:val="24"/>
        </w:rPr>
      </w:pPr>
      <w:r w:rsidRPr="009B28E3">
        <w:rPr>
          <w:sz w:val="24"/>
          <w:szCs w:val="24"/>
        </w:rPr>
        <w:t>Collationné, certifié conforme à la minute étant au greffe de la Cour des comptes.</w:t>
      </w:r>
    </w:p>
    <w:p w:rsidR="009B28E3" w:rsidRPr="009B28E3" w:rsidRDefault="009B28E3" w:rsidP="009B28E3">
      <w:pPr>
        <w:spacing w:before="120" w:after="120"/>
        <w:ind w:firstLine="720"/>
        <w:rPr>
          <w:sz w:val="24"/>
          <w:szCs w:val="24"/>
        </w:rPr>
      </w:pPr>
      <w:r w:rsidRPr="009B28E3">
        <w:rPr>
          <w:sz w:val="24"/>
          <w:szCs w:val="24"/>
        </w:rPr>
        <w:t>En conséquence, la République française mande et ordonne à tous les huissiers de justice, sur ce requis, de mettre ledit arrêt à exécution ; aux procureurs généraux et aux procureurs de la République près les tribunaux de grande instance d’y tenir la main, à tous commandants et officiers de la force publique de prêter main forte lorsqu’ils en seront légalement requis.</w:t>
      </w:r>
    </w:p>
    <w:p w:rsidR="009B28E3" w:rsidRPr="009B28E3" w:rsidRDefault="009B28E3" w:rsidP="009B28E3">
      <w:pPr>
        <w:spacing w:before="240" w:after="360"/>
        <w:ind w:firstLine="720"/>
        <w:rPr>
          <w:sz w:val="24"/>
          <w:szCs w:val="24"/>
        </w:rPr>
      </w:pPr>
      <w:r w:rsidRPr="009B28E3">
        <w:rPr>
          <w:sz w:val="24"/>
          <w:szCs w:val="24"/>
        </w:rPr>
        <w:t>Délivré par moi, secrétaire général.</w:t>
      </w:r>
    </w:p>
    <w:p w:rsidR="009B28E3" w:rsidRDefault="009B28E3" w:rsidP="009B28E3">
      <w:pPr>
        <w:pStyle w:val="PS"/>
        <w:spacing w:after="0"/>
        <w:ind w:firstLine="2410"/>
        <w:jc w:val="center"/>
        <w:rPr>
          <w:b/>
          <w:bCs/>
        </w:rPr>
      </w:pPr>
      <w:r>
        <w:rPr>
          <w:b/>
          <w:bCs/>
        </w:rPr>
        <w:t>Pour le secrétaire général</w:t>
      </w:r>
    </w:p>
    <w:p w:rsidR="009B28E3" w:rsidRDefault="009B28E3" w:rsidP="009B28E3">
      <w:pPr>
        <w:pStyle w:val="PS"/>
        <w:spacing w:after="0"/>
        <w:ind w:firstLine="2410"/>
        <w:jc w:val="center"/>
        <w:rPr>
          <w:b/>
          <w:bCs/>
        </w:rPr>
      </w:pPr>
      <w:proofErr w:type="gramStart"/>
      <w:r>
        <w:rPr>
          <w:b/>
          <w:bCs/>
        </w:rPr>
        <w:t>et</w:t>
      </w:r>
      <w:proofErr w:type="gramEnd"/>
      <w:r>
        <w:rPr>
          <w:b/>
          <w:bCs/>
        </w:rPr>
        <w:t xml:space="preserve"> par délégation, le chef du greffe contentieux</w:t>
      </w:r>
    </w:p>
    <w:p w:rsidR="009B28E3" w:rsidRDefault="009B28E3" w:rsidP="009B28E3">
      <w:pPr>
        <w:pStyle w:val="PS"/>
        <w:spacing w:after="0"/>
        <w:ind w:firstLine="2410"/>
        <w:jc w:val="center"/>
        <w:rPr>
          <w:b/>
          <w:bCs/>
        </w:rPr>
      </w:pPr>
    </w:p>
    <w:p w:rsidR="009B28E3" w:rsidRDefault="009B28E3" w:rsidP="009B28E3">
      <w:pPr>
        <w:pStyle w:val="PS"/>
        <w:spacing w:after="0"/>
        <w:ind w:firstLine="2410"/>
        <w:jc w:val="center"/>
        <w:rPr>
          <w:b/>
          <w:bCs/>
        </w:rPr>
      </w:pPr>
    </w:p>
    <w:p w:rsidR="00A63294" w:rsidRDefault="00A63294" w:rsidP="009B28E3">
      <w:pPr>
        <w:pStyle w:val="PS"/>
        <w:spacing w:after="0"/>
        <w:ind w:firstLine="2410"/>
        <w:jc w:val="center"/>
        <w:rPr>
          <w:b/>
          <w:bCs/>
        </w:rPr>
      </w:pPr>
    </w:p>
    <w:p w:rsidR="009B28E3" w:rsidRDefault="009B28E3" w:rsidP="009B28E3">
      <w:pPr>
        <w:pStyle w:val="PS"/>
        <w:spacing w:after="0"/>
        <w:ind w:firstLine="2410"/>
        <w:jc w:val="center"/>
        <w:rPr>
          <w:b/>
          <w:bCs/>
        </w:rPr>
      </w:pPr>
    </w:p>
    <w:p w:rsidR="009B28E3" w:rsidRDefault="009B28E3" w:rsidP="009B28E3">
      <w:pPr>
        <w:pStyle w:val="PS"/>
        <w:spacing w:after="600"/>
        <w:ind w:firstLine="2410"/>
        <w:jc w:val="center"/>
        <w:rPr>
          <w:b/>
          <w:bCs/>
        </w:rPr>
      </w:pPr>
      <w:r>
        <w:rPr>
          <w:b/>
          <w:bCs/>
        </w:rPr>
        <w:t xml:space="preserve">Daniel </w:t>
      </w:r>
      <w:proofErr w:type="spellStart"/>
      <w:r>
        <w:rPr>
          <w:b/>
          <w:bCs/>
        </w:rPr>
        <w:t>Férez</w:t>
      </w:r>
      <w:proofErr w:type="spellEnd"/>
      <w:r w:rsidR="000B113D">
        <w:rPr>
          <w:b/>
          <w:bCs/>
        </w:rPr>
        <w:t xml:space="preserve"> </w:t>
      </w:r>
    </w:p>
    <w:sectPr w:rsidR="009B28E3">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E36C2" w:rsidRDefault="00CE36C2" w:rsidP="009B28E3">
      <w:r>
        <w:separator/>
      </w:r>
    </w:p>
  </w:endnote>
  <w:endnote w:type="continuationSeparator" w:id="0">
    <w:p w:rsidR="00CE36C2" w:rsidRDefault="00CE36C2" w:rsidP="009B28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28E3" w:rsidRDefault="009B28E3">
    <w:pPr>
      <w:pStyle w:val="Pieddepage"/>
      <w:jc w:val="right"/>
    </w:pPr>
    <w:r>
      <w:fldChar w:fldCharType="begin"/>
    </w:r>
    <w:r>
      <w:instrText>PAGE   \* MERGEFORMAT</w:instrText>
    </w:r>
    <w:r>
      <w:fldChar w:fldCharType="separate"/>
    </w:r>
    <w:r w:rsidR="00001DD2">
      <w:rPr>
        <w:noProof/>
      </w:rPr>
      <w:t>6</w:t>
    </w:r>
    <w:r>
      <w:fldChar w:fldCharType="end"/>
    </w:r>
  </w:p>
  <w:p w:rsidR="009B28E3" w:rsidRDefault="009B28E3">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E36C2" w:rsidRDefault="00CE36C2" w:rsidP="009B28E3">
      <w:r>
        <w:separator/>
      </w:r>
    </w:p>
  </w:footnote>
  <w:footnote w:type="continuationSeparator" w:id="0">
    <w:p w:rsidR="00CE36C2" w:rsidRDefault="00CE36C2" w:rsidP="009B28E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8485AE3"/>
    <w:multiLevelType w:val="hybridMultilevel"/>
    <w:tmpl w:val="561E51D6"/>
    <w:lvl w:ilvl="0" w:tplc="E3049130">
      <w:numFmt w:val="bullet"/>
      <w:lvlText w:val="-"/>
      <w:lvlJc w:val="left"/>
      <w:pPr>
        <w:tabs>
          <w:tab w:val="num" w:pos="-2963"/>
        </w:tabs>
        <w:ind w:left="-2963" w:hanging="1725"/>
      </w:pPr>
      <w:rPr>
        <w:rFonts w:ascii="Times New Roman" w:eastAsia="Times New Roman" w:hAnsi="Times New Roman" w:hint="default"/>
      </w:rPr>
    </w:lvl>
    <w:lvl w:ilvl="1" w:tplc="47CA9EE0" w:tentative="1">
      <w:start w:val="1"/>
      <w:numFmt w:val="bullet"/>
      <w:lvlText w:val="o"/>
      <w:lvlJc w:val="left"/>
      <w:pPr>
        <w:tabs>
          <w:tab w:val="num" w:pos="-3608"/>
        </w:tabs>
        <w:ind w:left="-3608" w:hanging="360"/>
      </w:pPr>
      <w:rPr>
        <w:rFonts w:ascii="Courier New" w:hAnsi="Courier New" w:hint="default"/>
      </w:rPr>
    </w:lvl>
    <w:lvl w:ilvl="2" w:tplc="817C1664" w:tentative="1">
      <w:start w:val="1"/>
      <w:numFmt w:val="bullet"/>
      <w:lvlText w:val=""/>
      <w:lvlJc w:val="left"/>
      <w:pPr>
        <w:tabs>
          <w:tab w:val="num" w:pos="-2888"/>
        </w:tabs>
        <w:ind w:left="-2888" w:hanging="360"/>
      </w:pPr>
      <w:rPr>
        <w:rFonts w:ascii="Wingdings" w:hAnsi="Wingdings" w:hint="default"/>
      </w:rPr>
    </w:lvl>
    <w:lvl w:ilvl="3" w:tplc="440285A6" w:tentative="1">
      <w:start w:val="1"/>
      <w:numFmt w:val="bullet"/>
      <w:lvlText w:val=""/>
      <w:lvlJc w:val="left"/>
      <w:pPr>
        <w:tabs>
          <w:tab w:val="num" w:pos="-2168"/>
        </w:tabs>
        <w:ind w:left="-2168" w:hanging="360"/>
      </w:pPr>
      <w:rPr>
        <w:rFonts w:ascii="Symbol" w:hAnsi="Symbol" w:hint="default"/>
      </w:rPr>
    </w:lvl>
    <w:lvl w:ilvl="4" w:tplc="B3C40BCC" w:tentative="1">
      <w:start w:val="1"/>
      <w:numFmt w:val="bullet"/>
      <w:lvlText w:val="o"/>
      <w:lvlJc w:val="left"/>
      <w:pPr>
        <w:tabs>
          <w:tab w:val="num" w:pos="-1448"/>
        </w:tabs>
        <w:ind w:left="-1448" w:hanging="360"/>
      </w:pPr>
      <w:rPr>
        <w:rFonts w:ascii="Courier New" w:hAnsi="Courier New" w:hint="default"/>
      </w:rPr>
    </w:lvl>
    <w:lvl w:ilvl="5" w:tplc="EBC43FF8" w:tentative="1">
      <w:start w:val="1"/>
      <w:numFmt w:val="bullet"/>
      <w:lvlText w:val=""/>
      <w:lvlJc w:val="left"/>
      <w:pPr>
        <w:tabs>
          <w:tab w:val="num" w:pos="-728"/>
        </w:tabs>
        <w:ind w:left="-728" w:hanging="360"/>
      </w:pPr>
      <w:rPr>
        <w:rFonts w:ascii="Wingdings" w:hAnsi="Wingdings" w:hint="default"/>
      </w:rPr>
    </w:lvl>
    <w:lvl w:ilvl="6" w:tplc="8E445F62" w:tentative="1">
      <w:start w:val="1"/>
      <w:numFmt w:val="bullet"/>
      <w:lvlText w:val=""/>
      <w:lvlJc w:val="left"/>
      <w:pPr>
        <w:tabs>
          <w:tab w:val="num" w:pos="-8"/>
        </w:tabs>
        <w:ind w:left="-8" w:hanging="360"/>
      </w:pPr>
      <w:rPr>
        <w:rFonts w:ascii="Symbol" w:hAnsi="Symbol" w:hint="default"/>
      </w:rPr>
    </w:lvl>
    <w:lvl w:ilvl="7" w:tplc="A68E0444" w:tentative="1">
      <w:start w:val="1"/>
      <w:numFmt w:val="bullet"/>
      <w:lvlText w:val="o"/>
      <w:lvlJc w:val="left"/>
      <w:pPr>
        <w:tabs>
          <w:tab w:val="num" w:pos="712"/>
        </w:tabs>
        <w:ind w:left="712" w:hanging="360"/>
      </w:pPr>
      <w:rPr>
        <w:rFonts w:ascii="Courier New" w:hAnsi="Courier New" w:hint="default"/>
      </w:rPr>
    </w:lvl>
    <w:lvl w:ilvl="8" w:tplc="1EB67966" w:tentative="1">
      <w:start w:val="1"/>
      <w:numFmt w:val="bullet"/>
      <w:lvlText w:val=""/>
      <w:lvlJc w:val="left"/>
      <w:pPr>
        <w:tabs>
          <w:tab w:val="num" w:pos="1432"/>
        </w:tabs>
        <w:ind w:left="1432"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3"/>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7468"/>
    <w:rsid w:val="00001DD2"/>
    <w:rsid w:val="00057D2F"/>
    <w:rsid w:val="000778D0"/>
    <w:rsid w:val="000A3FC9"/>
    <w:rsid w:val="000B113D"/>
    <w:rsid w:val="001F13EB"/>
    <w:rsid w:val="002C01F2"/>
    <w:rsid w:val="003160B1"/>
    <w:rsid w:val="00376740"/>
    <w:rsid w:val="003A173C"/>
    <w:rsid w:val="003D3B1F"/>
    <w:rsid w:val="00495809"/>
    <w:rsid w:val="004A26EB"/>
    <w:rsid w:val="004C4E3E"/>
    <w:rsid w:val="004E59D1"/>
    <w:rsid w:val="005636BD"/>
    <w:rsid w:val="006020F7"/>
    <w:rsid w:val="00647A1C"/>
    <w:rsid w:val="0066351E"/>
    <w:rsid w:val="006A3F0E"/>
    <w:rsid w:val="0079619C"/>
    <w:rsid w:val="0079622B"/>
    <w:rsid w:val="008457E8"/>
    <w:rsid w:val="00883173"/>
    <w:rsid w:val="0089082F"/>
    <w:rsid w:val="008C0120"/>
    <w:rsid w:val="008C0723"/>
    <w:rsid w:val="009B28E3"/>
    <w:rsid w:val="00A31C65"/>
    <w:rsid w:val="00A63294"/>
    <w:rsid w:val="00A929F0"/>
    <w:rsid w:val="00AC0057"/>
    <w:rsid w:val="00B72D83"/>
    <w:rsid w:val="00BF574C"/>
    <w:rsid w:val="00CB5C01"/>
    <w:rsid w:val="00CB7468"/>
    <w:rsid w:val="00CE10DE"/>
    <w:rsid w:val="00CE36C2"/>
    <w:rsid w:val="00DC060B"/>
    <w:rsid w:val="00E16E84"/>
    <w:rsid w:val="00E90C01"/>
    <w:rsid w:val="00EC7AC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7468"/>
    <w:rPr>
      <w:rFonts w:ascii="Times New Roman" w:eastAsia="Times New Roman" w:hAnsi="Times New Roma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rsid w:val="00CB7468"/>
    <w:pPr>
      <w:tabs>
        <w:tab w:val="center" w:pos="4819"/>
        <w:tab w:val="right" w:pos="9071"/>
      </w:tabs>
    </w:pPr>
  </w:style>
  <w:style w:type="character" w:customStyle="1" w:styleId="En-tteCar">
    <w:name w:val="En-tête Car"/>
    <w:link w:val="En-tte"/>
    <w:uiPriority w:val="99"/>
    <w:rsid w:val="00CB7468"/>
    <w:rPr>
      <w:rFonts w:ascii="Times New Roman" w:eastAsia="Times New Roman" w:hAnsi="Times New Roman" w:cs="Times New Roman"/>
      <w:sz w:val="20"/>
      <w:szCs w:val="20"/>
      <w:lang w:eastAsia="fr-FR"/>
    </w:rPr>
  </w:style>
  <w:style w:type="character" w:customStyle="1" w:styleId="CorpsdetexteCar">
    <w:name w:val="Corps de texte Car"/>
    <w:aliases w:val="Corps de texte Car Car Car1,Corps de texte Car Car Car Car Car,Corps de texte Car Car Car Car1,Corps de texte Car Car C Car,Corps de texte Car1 Car Car Car,Corps de texte Car1 Car Car Car Car Car"/>
    <w:link w:val="Corpsdetexte"/>
    <w:uiPriority w:val="99"/>
    <w:semiHidden/>
    <w:locked/>
    <w:rsid w:val="00CB7468"/>
    <w:rPr>
      <w:rFonts w:ascii="Times New Roman" w:hAnsi="Times New Roman" w:cs="Times New Roman"/>
    </w:rPr>
  </w:style>
  <w:style w:type="paragraph" w:styleId="Corpsdetexte">
    <w:name w:val="Body Text"/>
    <w:aliases w:val="Corps de texte Car Car,Corps de texte Car Car Car Car,Corps de texte Car Car Car,Corps de texte Car Car C,Corps de texte Car1 Car Car,Corps de texte Car1 Car Car Car Car,Corps de texte Car Car Car Car Car Car"/>
    <w:basedOn w:val="Normal"/>
    <w:link w:val="CorpsdetexteCar"/>
    <w:uiPriority w:val="99"/>
    <w:semiHidden/>
    <w:rsid w:val="00CB7468"/>
    <w:rPr>
      <w:rFonts w:eastAsia="Calibri"/>
      <w:sz w:val="22"/>
      <w:szCs w:val="22"/>
      <w:lang w:eastAsia="en-US"/>
    </w:rPr>
  </w:style>
  <w:style w:type="character" w:customStyle="1" w:styleId="CorpsdetexteCar1">
    <w:name w:val="Corps de texte Car1"/>
    <w:uiPriority w:val="99"/>
    <w:semiHidden/>
    <w:rsid w:val="00CB7468"/>
    <w:rPr>
      <w:rFonts w:ascii="Times New Roman" w:eastAsia="Times New Roman" w:hAnsi="Times New Roman" w:cs="Times New Roman"/>
      <w:sz w:val="20"/>
      <w:szCs w:val="20"/>
      <w:lang w:eastAsia="fr-FR"/>
    </w:rPr>
  </w:style>
  <w:style w:type="paragraph" w:styleId="Retraitcorpsdetexte">
    <w:name w:val="Body Text Indent"/>
    <w:basedOn w:val="Normal"/>
    <w:link w:val="RetraitcorpsdetexteCar"/>
    <w:uiPriority w:val="99"/>
    <w:rsid w:val="00CB7468"/>
    <w:pPr>
      <w:spacing w:before="120" w:after="120"/>
      <w:ind w:left="283" w:firstLine="709"/>
      <w:jc w:val="both"/>
    </w:pPr>
    <w:rPr>
      <w:sz w:val="24"/>
    </w:rPr>
  </w:style>
  <w:style w:type="character" w:customStyle="1" w:styleId="RetraitcorpsdetexteCar">
    <w:name w:val="Retrait corps de texte Car"/>
    <w:link w:val="Retraitcorpsdetexte"/>
    <w:uiPriority w:val="99"/>
    <w:rsid w:val="00CB7468"/>
    <w:rPr>
      <w:rFonts w:ascii="Times New Roman" w:eastAsia="Times New Roman" w:hAnsi="Times New Roman" w:cs="Times New Roman"/>
      <w:sz w:val="24"/>
      <w:szCs w:val="20"/>
      <w:lang w:eastAsia="fr-FR"/>
    </w:rPr>
  </w:style>
  <w:style w:type="paragraph" w:customStyle="1" w:styleId="ET">
    <w:name w:val="ET"/>
    <w:basedOn w:val="Normal"/>
    <w:uiPriority w:val="99"/>
    <w:rsid w:val="00CB7468"/>
    <w:rPr>
      <w:b/>
      <w:caps/>
      <w:sz w:val="24"/>
    </w:rPr>
  </w:style>
  <w:style w:type="paragraph" w:customStyle="1" w:styleId="OR">
    <w:name w:val="OR"/>
    <w:basedOn w:val="ET"/>
    <w:uiPriority w:val="99"/>
    <w:rsid w:val="00CB7468"/>
    <w:pPr>
      <w:ind w:left="5670"/>
    </w:pPr>
    <w:rPr>
      <w:b w:val="0"/>
      <w:caps w:val="0"/>
    </w:rPr>
  </w:style>
  <w:style w:type="character" w:customStyle="1" w:styleId="P0Car">
    <w:name w:val="P0 Car"/>
    <w:link w:val="P0"/>
    <w:locked/>
    <w:rsid w:val="00CB7468"/>
    <w:rPr>
      <w:rFonts w:ascii="Times New Roman" w:hAnsi="Times New Roman"/>
      <w:sz w:val="24"/>
    </w:rPr>
  </w:style>
  <w:style w:type="paragraph" w:customStyle="1" w:styleId="P0">
    <w:name w:val="P0"/>
    <w:basedOn w:val="ET"/>
    <w:link w:val="P0Car"/>
    <w:rsid w:val="00CB7468"/>
    <w:pPr>
      <w:ind w:left="1701"/>
      <w:jc w:val="both"/>
    </w:pPr>
    <w:rPr>
      <w:rFonts w:eastAsia="Calibri"/>
      <w:b w:val="0"/>
      <w:caps w:val="0"/>
      <w:szCs w:val="22"/>
      <w:lang w:eastAsia="en-US"/>
    </w:rPr>
  </w:style>
  <w:style w:type="paragraph" w:customStyle="1" w:styleId="AR">
    <w:name w:val="AR"/>
    <w:basedOn w:val="Normal"/>
    <w:uiPriority w:val="99"/>
    <w:rsid w:val="00CB7468"/>
    <w:pPr>
      <w:spacing w:before="720" w:after="720"/>
      <w:ind w:left="5103"/>
    </w:pPr>
    <w:rPr>
      <w:caps/>
      <w:sz w:val="24"/>
      <w:u w:val="single"/>
    </w:rPr>
  </w:style>
  <w:style w:type="paragraph" w:styleId="Textedebulles">
    <w:name w:val="Balloon Text"/>
    <w:basedOn w:val="Normal"/>
    <w:link w:val="TextedebullesCar"/>
    <w:uiPriority w:val="99"/>
    <w:semiHidden/>
    <w:unhideWhenUsed/>
    <w:rsid w:val="00CE10DE"/>
    <w:rPr>
      <w:rFonts w:ascii="Tahoma" w:hAnsi="Tahoma" w:cs="Tahoma"/>
      <w:sz w:val="16"/>
      <w:szCs w:val="16"/>
    </w:rPr>
  </w:style>
  <w:style w:type="character" w:customStyle="1" w:styleId="TextedebullesCar">
    <w:name w:val="Texte de bulles Car"/>
    <w:link w:val="Textedebulles"/>
    <w:uiPriority w:val="99"/>
    <w:semiHidden/>
    <w:rsid w:val="00CE10DE"/>
    <w:rPr>
      <w:rFonts w:ascii="Tahoma" w:eastAsia="Times New Roman" w:hAnsi="Tahoma" w:cs="Tahoma"/>
      <w:sz w:val="16"/>
      <w:szCs w:val="16"/>
      <w:lang w:eastAsia="fr-FR"/>
    </w:rPr>
  </w:style>
  <w:style w:type="paragraph" w:customStyle="1" w:styleId="CarCar1CarCarCar">
    <w:name w:val="Car Car1 Car Car Car"/>
    <w:basedOn w:val="Normal"/>
    <w:rsid w:val="00376740"/>
    <w:pPr>
      <w:spacing w:after="160" w:line="240" w:lineRule="exact"/>
    </w:pPr>
    <w:rPr>
      <w:rFonts w:ascii="Tahoma" w:hAnsi="Tahoma"/>
      <w:lang w:val="en-US" w:eastAsia="en-US"/>
    </w:rPr>
  </w:style>
  <w:style w:type="character" w:customStyle="1" w:styleId="PSCar">
    <w:name w:val="PS Car"/>
    <w:link w:val="PS"/>
    <w:locked/>
    <w:rsid w:val="009B28E3"/>
    <w:rPr>
      <w:rFonts w:ascii="Times New Roman" w:eastAsia="Times New Roman" w:hAnsi="Times New Roman" w:cs="Times New Roman"/>
      <w:sz w:val="24"/>
      <w:szCs w:val="24"/>
    </w:rPr>
  </w:style>
  <w:style w:type="paragraph" w:customStyle="1" w:styleId="PS">
    <w:name w:val="PS"/>
    <w:basedOn w:val="Normal"/>
    <w:link w:val="PSCar"/>
    <w:rsid w:val="009B28E3"/>
    <w:pPr>
      <w:spacing w:after="480"/>
      <w:ind w:left="1701" w:firstLine="1134"/>
      <w:jc w:val="both"/>
    </w:pPr>
    <w:rPr>
      <w:sz w:val="24"/>
      <w:szCs w:val="24"/>
      <w:lang w:eastAsia="en-US"/>
    </w:rPr>
  </w:style>
  <w:style w:type="paragraph" w:styleId="Pieddepage">
    <w:name w:val="footer"/>
    <w:basedOn w:val="Normal"/>
    <w:link w:val="PieddepageCar"/>
    <w:uiPriority w:val="99"/>
    <w:unhideWhenUsed/>
    <w:rsid w:val="009B28E3"/>
    <w:pPr>
      <w:tabs>
        <w:tab w:val="center" w:pos="4536"/>
        <w:tab w:val="right" w:pos="9072"/>
      </w:tabs>
    </w:pPr>
  </w:style>
  <w:style w:type="character" w:customStyle="1" w:styleId="PieddepageCar">
    <w:name w:val="Pied de page Car"/>
    <w:link w:val="Pieddepage"/>
    <w:uiPriority w:val="99"/>
    <w:rsid w:val="009B28E3"/>
    <w:rPr>
      <w:rFonts w:ascii="Times New Roman" w:eastAsia="Times New Roman" w:hAnsi="Times New Roman" w:cs="Times New Roman"/>
      <w:sz w:val="20"/>
      <w:szCs w:val="20"/>
      <w:lang w:eastAsia="fr-FR"/>
    </w:rPr>
  </w:style>
  <w:style w:type="character" w:styleId="Marquedecommentaire">
    <w:name w:val="annotation reference"/>
    <w:uiPriority w:val="99"/>
    <w:semiHidden/>
    <w:unhideWhenUsed/>
    <w:rsid w:val="005636BD"/>
    <w:rPr>
      <w:sz w:val="16"/>
      <w:szCs w:val="16"/>
    </w:rPr>
  </w:style>
  <w:style w:type="paragraph" w:styleId="Commentaire">
    <w:name w:val="annotation text"/>
    <w:basedOn w:val="Normal"/>
    <w:link w:val="CommentaireCar"/>
    <w:uiPriority w:val="99"/>
    <w:semiHidden/>
    <w:unhideWhenUsed/>
    <w:rsid w:val="005636BD"/>
  </w:style>
  <w:style w:type="character" w:customStyle="1" w:styleId="CommentaireCar">
    <w:name w:val="Commentaire Car"/>
    <w:link w:val="Commentaire"/>
    <w:uiPriority w:val="99"/>
    <w:semiHidden/>
    <w:rsid w:val="005636BD"/>
    <w:rPr>
      <w:rFonts w:ascii="Times New Roman" w:eastAsia="Times New Roman" w:hAnsi="Times New Roman" w:cs="Times New Roman"/>
      <w:sz w:val="20"/>
      <w:szCs w:val="20"/>
      <w:lang w:eastAsia="fr-FR"/>
    </w:rPr>
  </w:style>
  <w:style w:type="paragraph" w:styleId="Objetducommentaire">
    <w:name w:val="annotation subject"/>
    <w:basedOn w:val="Commentaire"/>
    <w:next w:val="Commentaire"/>
    <w:link w:val="ObjetducommentaireCar"/>
    <w:uiPriority w:val="99"/>
    <w:semiHidden/>
    <w:unhideWhenUsed/>
    <w:rsid w:val="005636BD"/>
    <w:rPr>
      <w:b/>
      <w:bCs/>
    </w:rPr>
  </w:style>
  <w:style w:type="character" w:customStyle="1" w:styleId="ObjetducommentaireCar">
    <w:name w:val="Objet du commentaire Car"/>
    <w:link w:val="Objetducommentaire"/>
    <w:uiPriority w:val="99"/>
    <w:semiHidden/>
    <w:rsid w:val="005636BD"/>
    <w:rPr>
      <w:rFonts w:ascii="Times New Roman" w:eastAsia="Times New Roman" w:hAnsi="Times New Roman" w:cs="Times New Roman"/>
      <w:b/>
      <w:bCs/>
      <w:sz w:val="20"/>
      <w:szCs w:val="20"/>
      <w:lang w:eastAsia="fr-FR"/>
    </w:rPr>
  </w:style>
  <w:style w:type="paragraph" w:styleId="Rvision">
    <w:name w:val="Revision"/>
    <w:hidden/>
    <w:uiPriority w:val="99"/>
    <w:semiHidden/>
    <w:rsid w:val="005636BD"/>
    <w:rPr>
      <w:rFonts w:ascii="Times New Roman" w:eastAsia="Times New Roman" w:hAnsi="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7468"/>
    <w:rPr>
      <w:rFonts w:ascii="Times New Roman" w:eastAsia="Times New Roman" w:hAnsi="Times New Roma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rsid w:val="00CB7468"/>
    <w:pPr>
      <w:tabs>
        <w:tab w:val="center" w:pos="4819"/>
        <w:tab w:val="right" w:pos="9071"/>
      </w:tabs>
    </w:pPr>
  </w:style>
  <w:style w:type="character" w:customStyle="1" w:styleId="En-tteCar">
    <w:name w:val="En-tête Car"/>
    <w:link w:val="En-tte"/>
    <w:uiPriority w:val="99"/>
    <w:rsid w:val="00CB7468"/>
    <w:rPr>
      <w:rFonts w:ascii="Times New Roman" w:eastAsia="Times New Roman" w:hAnsi="Times New Roman" w:cs="Times New Roman"/>
      <w:sz w:val="20"/>
      <w:szCs w:val="20"/>
      <w:lang w:eastAsia="fr-FR"/>
    </w:rPr>
  </w:style>
  <w:style w:type="character" w:customStyle="1" w:styleId="CorpsdetexteCar">
    <w:name w:val="Corps de texte Car"/>
    <w:aliases w:val="Corps de texte Car Car Car1,Corps de texte Car Car Car Car Car,Corps de texte Car Car Car Car1,Corps de texte Car Car C Car,Corps de texte Car1 Car Car Car,Corps de texte Car1 Car Car Car Car Car"/>
    <w:link w:val="Corpsdetexte"/>
    <w:uiPriority w:val="99"/>
    <w:semiHidden/>
    <w:locked/>
    <w:rsid w:val="00CB7468"/>
    <w:rPr>
      <w:rFonts w:ascii="Times New Roman" w:hAnsi="Times New Roman" w:cs="Times New Roman"/>
    </w:rPr>
  </w:style>
  <w:style w:type="paragraph" w:styleId="Corpsdetexte">
    <w:name w:val="Body Text"/>
    <w:aliases w:val="Corps de texte Car Car,Corps de texte Car Car Car Car,Corps de texte Car Car Car,Corps de texte Car Car C,Corps de texte Car1 Car Car,Corps de texte Car1 Car Car Car Car,Corps de texte Car Car Car Car Car Car"/>
    <w:basedOn w:val="Normal"/>
    <w:link w:val="CorpsdetexteCar"/>
    <w:uiPriority w:val="99"/>
    <w:semiHidden/>
    <w:rsid w:val="00CB7468"/>
    <w:rPr>
      <w:rFonts w:eastAsia="Calibri"/>
      <w:sz w:val="22"/>
      <w:szCs w:val="22"/>
      <w:lang w:eastAsia="en-US"/>
    </w:rPr>
  </w:style>
  <w:style w:type="character" w:customStyle="1" w:styleId="CorpsdetexteCar1">
    <w:name w:val="Corps de texte Car1"/>
    <w:uiPriority w:val="99"/>
    <w:semiHidden/>
    <w:rsid w:val="00CB7468"/>
    <w:rPr>
      <w:rFonts w:ascii="Times New Roman" w:eastAsia="Times New Roman" w:hAnsi="Times New Roman" w:cs="Times New Roman"/>
      <w:sz w:val="20"/>
      <w:szCs w:val="20"/>
      <w:lang w:eastAsia="fr-FR"/>
    </w:rPr>
  </w:style>
  <w:style w:type="paragraph" w:styleId="Retraitcorpsdetexte">
    <w:name w:val="Body Text Indent"/>
    <w:basedOn w:val="Normal"/>
    <w:link w:val="RetraitcorpsdetexteCar"/>
    <w:uiPriority w:val="99"/>
    <w:rsid w:val="00CB7468"/>
    <w:pPr>
      <w:spacing w:before="120" w:after="120"/>
      <w:ind w:left="283" w:firstLine="709"/>
      <w:jc w:val="both"/>
    </w:pPr>
    <w:rPr>
      <w:sz w:val="24"/>
    </w:rPr>
  </w:style>
  <w:style w:type="character" w:customStyle="1" w:styleId="RetraitcorpsdetexteCar">
    <w:name w:val="Retrait corps de texte Car"/>
    <w:link w:val="Retraitcorpsdetexte"/>
    <w:uiPriority w:val="99"/>
    <w:rsid w:val="00CB7468"/>
    <w:rPr>
      <w:rFonts w:ascii="Times New Roman" w:eastAsia="Times New Roman" w:hAnsi="Times New Roman" w:cs="Times New Roman"/>
      <w:sz w:val="24"/>
      <w:szCs w:val="20"/>
      <w:lang w:eastAsia="fr-FR"/>
    </w:rPr>
  </w:style>
  <w:style w:type="paragraph" w:customStyle="1" w:styleId="ET">
    <w:name w:val="ET"/>
    <w:basedOn w:val="Normal"/>
    <w:uiPriority w:val="99"/>
    <w:rsid w:val="00CB7468"/>
    <w:rPr>
      <w:b/>
      <w:caps/>
      <w:sz w:val="24"/>
    </w:rPr>
  </w:style>
  <w:style w:type="paragraph" w:customStyle="1" w:styleId="OR">
    <w:name w:val="OR"/>
    <w:basedOn w:val="ET"/>
    <w:uiPriority w:val="99"/>
    <w:rsid w:val="00CB7468"/>
    <w:pPr>
      <w:ind w:left="5670"/>
    </w:pPr>
    <w:rPr>
      <w:b w:val="0"/>
      <w:caps w:val="0"/>
    </w:rPr>
  </w:style>
  <w:style w:type="character" w:customStyle="1" w:styleId="P0Car">
    <w:name w:val="P0 Car"/>
    <w:link w:val="P0"/>
    <w:locked/>
    <w:rsid w:val="00CB7468"/>
    <w:rPr>
      <w:rFonts w:ascii="Times New Roman" w:hAnsi="Times New Roman"/>
      <w:sz w:val="24"/>
    </w:rPr>
  </w:style>
  <w:style w:type="paragraph" w:customStyle="1" w:styleId="P0">
    <w:name w:val="P0"/>
    <w:basedOn w:val="ET"/>
    <w:link w:val="P0Car"/>
    <w:rsid w:val="00CB7468"/>
    <w:pPr>
      <w:ind w:left="1701"/>
      <w:jc w:val="both"/>
    </w:pPr>
    <w:rPr>
      <w:rFonts w:eastAsia="Calibri"/>
      <w:b w:val="0"/>
      <w:caps w:val="0"/>
      <w:szCs w:val="22"/>
      <w:lang w:eastAsia="en-US"/>
    </w:rPr>
  </w:style>
  <w:style w:type="paragraph" w:customStyle="1" w:styleId="AR">
    <w:name w:val="AR"/>
    <w:basedOn w:val="Normal"/>
    <w:uiPriority w:val="99"/>
    <w:rsid w:val="00CB7468"/>
    <w:pPr>
      <w:spacing w:before="720" w:after="720"/>
      <w:ind w:left="5103"/>
    </w:pPr>
    <w:rPr>
      <w:caps/>
      <w:sz w:val="24"/>
      <w:u w:val="single"/>
    </w:rPr>
  </w:style>
  <w:style w:type="paragraph" w:styleId="Textedebulles">
    <w:name w:val="Balloon Text"/>
    <w:basedOn w:val="Normal"/>
    <w:link w:val="TextedebullesCar"/>
    <w:uiPriority w:val="99"/>
    <w:semiHidden/>
    <w:unhideWhenUsed/>
    <w:rsid w:val="00CE10DE"/>
    <w:rPr>
      <w:rFonts w:ascii="Tahoma" w:hAnsi="Tahoma" w:cs="Tahoma"/>
      <w:sz w:val="16"/>
      <w:szCs w:val="16"/>
    </w:rPr>
  </w:style>
  <w:style w:type="character" w:customStyle="1" w:styleId="TextedebullesCar">
    <w:name w:val="Texte de bulles Car"/>
    <w:link w:val="Textedebulles"/>
    <w:uiPriority w:val="99"/>
    <w:semiHidden/>
    <w:rsid w:val="00CE10DE"/>
    <w:rPr>
      <w:rFonts w:ascii="Tahoma" w:eastAsia="Times New Roman" w:hAnsi="Tahoma" w:cs="Tahoma"/>
      <w:sz w:val="16"/>
      <w:szCs w:val="16"/>
      <w:lang w:eastAsia="fr-FR"/>
    </w:rPr>
  </w:style>
  <w:style w:type="paragraph" w:customStyle="1" w:styleId="CarCar1CarCarCar">
    <w:name w:val="Car Car1 Car Car Car"/>
    <w:basedOn w:val="Normal"/>
    <w:rsid w:val="00376740"/>
    <w:pPr>
      <w:spacing w:after="160" w:line="240" w:lineRule="exact"/>
    </w:pPr>
    <w:rPr>
      <w:rFonts w:ascii="Tahoma" w:hAnsi="Tahoma"/>
      <w:lang w:val="en-US" w:eastAsia="en-US"/>
    </w:rPr>
  </w:style>
  <w:style w:type="character" w:customStyle="1" w:styleId="PSCar">
    <w:name w:val="PS Car"/>
    <w:link w:val="PS"/>
    <w:locked/>
    <w:rsid w:val="009B28E3"/>
    <w:rPr>
      <w:rFonts w:ascii="Times New Roman" w:eastAsia="Times New Roman" w:hAnsi="Times New Roman" w:cs="Times New Roman"/>
      <w:sz w:val="24"/>
      <w:szCs w:val="24"/>
    </w:rPr>
  </w:style>
  <w:style w:type="paragraph" w:customStyle="1" w:styleId="PS">
    <w:name w:val="PS"/>
    <w:basedOn w:val="Normal"/>
    <w:link w:val="PSCar"/>
    <w:rsid w:val="009B28E3"/>
    <w:pPr>
      <w:spacing w:after="480"/>
      <w:ind w:left="1701" w:firstLine="1134"/>
      <w:jc w:val="both"/>
    </w:pPr>
    <w:rPr>
      <w:sz w:val="24"/>
      <w:szCs w:val="24"/>
      <w:lang w:eastAsia="en-US"/>
    </w:rPr>
  </w:style>
  <w:style w:type="paragraph" w:styleId="Pieddepage">
    <w:name w:val="footer"/>
    <w:basedOn w:val="Normal"/>
    <w:link w:val="PieddepageCar"/>
    <w:uiPriority w:val="99"/>
    <w:unhideWhenUsed/>
    <w:rsid w:val="009B28E3"/>
    <w:pPr>
      <w:tabs>
        <w:tab w:val="center" w:pos="4536"/>
        <w:tab w:val="right" w:pos="9072"/>
      </w:tabs>
    </w:pPr>
  </w:style>
  <w:style w:type="character" w:customStyle="1" w:styleId="PieddepageCar">
    <w:name w:val="Pied de page Car"/>
    <w:link w:val="Pieddepage"/>
    <w:uiPriority w:val="99"/>
    <w:rsid w:val="009B28E3"/>
    <w:rPr>
      <w:rFonts w:ascii="Times New Roman" w:eastAsia="Times New Roman" w:hAnsi="Times New Roman" w:cs="Times New Roman"/>
      <w:sz w:val="20"/>
      <w:szCs w:val="20"/>
      <w:lang w:eastAsia="fr-FR"/>
    </w:rPr>
  </w:style>
  <w:style w:type="character" w:styleId="Marquedecommentaire">
    <w:name w:val="annotation reference"/>
    <w:uiPriority w:val="99"/>
    <w:semiHidden/>
    <w:unhideWhenUsed/>
    <w:rsid w:val="005636BD"/>
    <w:rPr>
      <w:sz w:val="16"/>
      <w:szCs w:val="16"/>
    </w:rPr>
  </w:style>
  <w:style w:type="paragraph" w:styleId="Commentaire">
    <w:name w:val="annotation text"/>
    <w:basedOn w:val="Normal"/>
    <w:link w:val="CommentaireCar"/>
    <w:uiPriority w:val="99"/>
    <w:semiHidden/>
    <w:unhideWhenUsed/>
    <w:rsid w:val="005636BD"/>
  </w:style>
  <w:style w:type="character" w:customStyle="1" w:styleId="CommentaireCar">
    <w:name w:val="Commentaire Car"/>
    <w:link w:val="Commentaire"/>
    <w:uiPriority w:val="99"/>
    <w:semiHidden/>
    <w:rsid w:val="005636BD"/>
    <w:rPr>
      <w:rFonts w:ascii="Times New Roman" w:eastAsia="Times New Roman" w:hAnsi="Times New Roman" w:cs="Times New Roman"/>
      <w:sz w:val="20"/>
      <w:szCs w:val="20"/>
      <w:lang w:eastAsia="fr-FR"/>
    </w:rPr>
  </w:style>
  <w:style w:type="paragraph" w:styleId="Objetducommentaire">
    <w:name w:val="annotation subject"/>
    <w:basedOn w:val="Commentaire"/>
    <w:next w:val="Commentaire"/>
    <w:link w:val="ObjetducommentaireCar"/>
    <w:uiPriority w:val="99"/>
    <w:semiHidden/>
    <w:unhideWhenUsed/>
    <w:rsid w:val="005636BD"/>
    <w:rPr>
      <w:b/>
      <w:bCs/>
    </w:rPr>
  </w:style>
  <w:style w:type="character" w:customStyle="1" w:styleId="ObjetducommentaireCar">
    <w:name w:val="Objet du commentaire Car"/>
    <w:link w:val="Objetducommentaire"/>
    <w:uiPriority w:val="99"/>
    <w:semiHidden/>
    <w:rsid w:val="005636BD"/>
    <w:rPr>
      <w:rFonts w:ascii="Times New Roman" w:eastAsia="Times New Roman" w:hAnsi="Times New Roman" w:cs="Times New Roman"/>
      <w:b/>
      <w:bCs/>
      <w:sz w:val="20"/>
      <w:szCs w:val="20"/>
      <w:lang w:eastAsia="fr-FR"/>
    </w:rPr>
  </w:style>
  <w:style w:type="paragraph" w:styleId="Rvision">
    <w:name w:val="Revision"/>
    <w:hidden/>
    <w:uiPriority w:val="99"/>
    <w:semiHidden/>
    <w:rsid w:val="005636BD"/>
    <w:rPr>
      <w:rFonts w:ascii="Times New Roman" w:eastAsia="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6</Pages>
  <Words>2064</Words>
  <Characters>11358</Characters>
  <Application>Microsoft Office Word</Application>
  <DocSecurity>0</DocSecurity>
  <Lines>94</Lines>
  <Paragraphs>26</Paragraphs>
  <ScaleCrop>false</ScaleCrop>
  <HeadingPairs>
    <vt:vector size="2" baseType="variant">
      <vt:variant>
        <vt:lpstr>Titre</vt:lpstr>
      </vt:variant>
      <vt:variant>
        <vt:i4>1</vt:i4>
      </vt:variant>
    </vt:vector>
  </HeadingPairs>
  <TitlesOfParts>
    <vt:vector size="1" baseType="lpstr">
      <vt:lpstr/>
    </vt:vector>
  </TitlesOfParts>
  <Company>Cour des Comptes</Company>
  <LinksUpToDate>false</LinksUpToDate>
  <CharactersWithSpaces>13396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Marcou, Jean</dc:creator>
  <cp:lastModifiedBy>Jean-Pierre Bonin</cp:lastModifiedBy>
  <cp:revision>4</cp:revision>
  <cp:lastPrinted>2014-12-04T14:03:00Z</cp:lastPrinted>
  <dcterms:created xsi:type="dcterms:W3CDTF">2015-02-19T10:59:00Z</dcterms:created>
  <dcterms:modified xsi:type="dcterms:W3CDTF">2015-02-20T11:39:00Z</dcterms:modified>
</cp:coreProperties>
</file>