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76CB" w:rsidRDefault="001976CB"/>
    <w:p w:rsidR="00F36334" w:rsidRDefault="00F36334"/>
    <w:tbl>
      <w:tblPr>
        <w:tblW w:w="10314" w:type="dxa"/>
        <w:tblLook w:val="00A0" w:firstRow="1" w:lastRow="0" w:firstColumn="1" w:lastColumn="0" w:noHBand="0" w:noVBand="0"/>
      </w:tblPr>
      <w:tblGrid>
        <w:gridCol w:w="5103"/>
        <w:gridCol w:w="5211"/>
      </w:tblGrid>
      <w:tr w:rsidR="001976CB" w:rsidRPr="001976CB" w:rsidTr="00F723FD">
        <w:tc>
          <w:tcPr>
            <w:tcW w:w="5103" w:type="dxa"/>
          </w:tcPr>
          <w:p w:rsidR="001976CB" w:rsidRPr="001976CB" w:rsidRDefault="001976CB" w:rsidP="001976CB">
            <w:pPr>
              <w:spacing w:after="0" w:line="240" w:lineRule="auto"/>
              <w:ind w:firstLine="34"/>
              <w:jc w:val="center"/>
              <w:rPr>
                <w:rFonts w:ascii="Arial" w:eastAsia="Times New Roman" w:hAnsi="Arial" w:cs="Arial"/>
                <w:lang w:eastAsia="fr-FR"/>
              </w:rPr>
            </w:pPr>
            <w:r w:rsidRPr="001976CB">
              <w:rPr>
                <w:rFonts w:ascii="Arial" w:eastAsia="Times New Roman" w:hAnsi="Arial" w:cs="Arial"/>
                <w:lang w:eastAsia="fr-FR"/>
              </w:rPr>
              <w:t>QUATRIÈME CHAMBRE</w:t>
            </w:r>
          </w:p>
          <w:p w:rsidR="001976CB" w:rsidRPr="001976CB" w:rsidRDefault="001976CB" w:rsidP="001976CB">
            <w:pPr>
              <w:spacing w:after="0" w:line="240" w:lineRule="auto"/>
              <w:ind w:firstLine="34"/>
              <w:jc w:val="center"/>
              <w:rPr>
                <w:rFonts w:ascii="Arial" w:eastAsia="Times New Roman" w:hAnsi="Arial" w:cs="Arial"/>
                <w:b/>
                <w:lang w:eastAsia="fr-FR"/>
              </w:rPr>
            </w:pPr>
            <w:r w:rsidRPr="001976CB">
              <w:rPr>
                <w:rFonts w:ascii="Arial" w:eastAsia="Times New Roman" w:hAnsi="Arial" w:cs="Arial"/>
                <w:b/>
                <w:lang w:eastAsia="fr-FR"/>
              </w:rPr>
              <w:t> -------</w:t>
            </w:r>
          </w:p>
          <w:p w:rsidR="001976CB" w:rsidRPr="001976CB" w:rsidRDefault="001976CB" w:rsidP="001976CB">
            <w:pPr>
              <w:tabs>
                <w:tab w:val="center" w:pos="4819"/>
                <w:tab w:val="right" w:pos="9071"/>
              </w:tabs>
              <w:spacing w:after="0" w:line="240" w:lineRule="auto"/>
              <w:ind w:left="142" w:firstLine="34"/>
              <w:jc w:val="center"/>
              <w:rPr>
                <w:rFonts w:ascii="Arial" w:eastAsia="Times New Roman" w:hAnsi="Arial" w:cs="Arial"/>
                <w:lang w:eastAsia="fr-FR"/>
              </w:rPr>
            </w:pPr>
            <w:r w:rsidRPr="001976CB">
              <w:rPr>
                <w:rFonts w:ascii="Arial" w:eastAsia="Times New Roman" w:hAnsi="Arial" w:cs="Arial"/>
                <w:lang w:eastAsia="fr-FR"/>
              </w:rPr>
              <w:t>Première section</w:t>
            </w:r>
          </w:p>
          <w:p w:rsidR="001976CB" w:rsidRPr="001976CB" w:rsidRDefault="001976CB" w:rsidP="001976CB">
            <w:pPr>
              <w:tabs>
                <w:tab w:val="center" w:pos="4819"/>
                <w:tab w:val="right" w:pos="9071"/>
              </w:tabs>
              <w:spacing w:after="0" w:line="240" w:lineRule="auto"/>
              <w:ind w:left="142" w:firstLine="34"/>
              <w:jc w:val="center"/>
              <w:rPr>
                <w:rFonts w:ascii="Arial" w:eastAsia="Times New Roman" w:hAnsi="Arial" w:cs="Arial"/>
                <w:b/>
                <w:lang w:eastAsia="fr-FR"/>
              </w:rPr>
            </w:pPr>
            <w:r w:rsidRPr="001976CB">
              <w:rPr>
                <w:rFonts w:ascii="Arial" w:eastAsia="Times New Roman" w:hAnsi="Arial" w:cs="Arial"/>
                <w:b/>
                <w:lang w:eastAsia="fr-FR"/>
              </w:rPr>
              <w:t>-------</w:t>
            </w:r>
          </w:p>
          <w:p w:rsidR="001976CB" w:rsidRPr="001976CB" w:rsidRDefault="001976CB" w:rsidP="001976CB">
            <w:pPr>
              <w:tabs>
                <w:tab w:val="center" w:pos="4819"/>
                <w:tab w:val="right" w:pos="9071"/>
              </w:tabs>
              <w:spacing w:after="0" w:line="240" w:lineRule="auto"/>
              <w:ind w:left="142" w:firstLine="34"/>
              <w:jc w:val="center"/>
              <w:rPr>
                <w:rFonts w:ascii="Arial" w:eastAsia="Times New Roman" w:hAnsi="Arial" w:cs="Arial"/>
                <w:lang w:eastAsia="fr-FR"/>
              </w:rPr>
            </w:pPr>
            <w:r w:rsidRPr="001976CB">
              <w:rPr>
                <w:rFonts w:ascii="Arial" w:eastAsia="Times New Roman" w:hAnsi="Arial" w:cs="Arial"/>
                <w:lang w:eastAsia="fr-FR"/>
              </w:rPr>
              <w:t xml:space="preserve">Arrêt n° </w:t>
            </w:r>
            <w:r w:rsidR="004F15C1">
              <w:rPr>
                <w:rFonts w:ascii="Arial" w:eastAsia="Times New Roman" w:hAnsi="Arial" w:cs="Arial"/>
                <w:lang w:eastAsia="fr-FR"/>
              </w:rPr>
              <w:t>72325</w:t>
            </w:r>
          </w:p>
          <w:p w:rsidR="001976CB" w:rsidRPr="001976CB" w:rsidRDefault="001976CB" w:rsidP="001976CB">
            <w:pPr>
              <w:tabs>
                <w:tab w:val="center" w:pos="4819"/>
                <w:tab w:val="right" w:pos="9071"/>
              </w:tabs>
              <w:spacing w:after="0" w:line="240" w:lineRule="auto"/>
              <w:ind w:left="142" w:firstLine="34"/>
              <w:jc w:val="center"/>
              <w:rPr>
                <w:rFonts w:ascii="Arial" w:eastAsia="Times New Roman" w:hAnsi="Arial" w:cs="Arial"/>
                <w:lang w:eastAsia="fr-FR"/>
              </w:rPr>
            </w:pPr>
          </w:p>
          <w:p w:rsidR="001976CB" w:rsidRPr="001976CB" w:rsidRDefault="001976CB" w:rsidP="001976CB">
            <w:pPr>
              <w:spacing w:after="0" w:line="240" w:lineRule="auto"/>
              <w:jc w:val="center"/>
              <w:rPr>
                <w:rFonts w:ascii="Arial" w:eastAsia="Times New Roman" w:hAnsi="Arial" w:cs="Arial"/>
                <w:lang w:eastAsia="fr-FR"/>
              </w:rPr>
            </w:pPr>
            <w:r w:rsidRPr="001976CB">
              <w:rPr>
                <w:rFonts w:ascii="Arial" w:eastAsia="Times New Roman" w:hAnsi="Arial" w:cs="Arial"/>
                <w:lang w:eastAsia="fr-FR"/>
              </w:rPr>
              <w:t xml:space="preserve">Audience publique du </w:t>
            </w:r>
            <w:r>
              <w:rPr>
                <w:rFonts w:ascii="Arial" w:eastAsia="Times New Roman" w:hAnsi="Arial" w:cs="Arial"/>
                <w:lang w:eastAsia="fr-FR"/>
              </w:rPr>
              <w:t>16 avril</w:t>
            </w:r>
            <w:r w:rsidRPr="001976CB">
              <w:rPr>
                <w:rFonts w:ascii="Arial" w:eastAsia="Times New Roman" w:hAnsi="Arial" w:cs="Arial"/>
                <w:lang w:eastAsia="fr-FR"/>
              </w:rPr>
              <w:t xml:space="preserve"> 2015</w:t>
            </w:r>
          </w:p>
          <w:p w:rsidR="001976CB" w:rsidRPr="001976CB" w:rsidRDefault="001976CB" w:rsidP="001976CB">
            <w:pPr>
              <w:spacing w:after="0" w:line="240" w:lineRule="auto"/>
              <w:ind w:left="5670" w:hanging="4245"/>
              <w:jc w:val="center"/>
              <w:rPr>
                <w:rFonts w:ascii="Arial" w:eastAsia="Times New Roman" w:hAnsi="Arial" w:cs="Arial"/>
                <w:lang w:eastAsia="fr-FR"/>
              </w:rPr>
            </w:pPr>
          </w:p>
          <w:p w:rsidR="001976CB" w:rsidRPr="001976CB" w:rsidRDefault="001976CB" w:rsidP="001976CB">
            <w:pPr>
              <w:spacing w:after="0" w:line="240" w:lineRule="auto"/>
              <w:jc w:val="center"/>
              <w:rPr>
                <w:rFonts w:ascii="Arial" w:eastAsia="Times New Roman" w:hAnsi="Arial" w:cs="Arial"/>
                <w:i/>
                <w:lang w:eastAsia="fr-FR"/>
              </w:rPr>
            </w:pPr>
            <w:r>
              <w:rPr>
                <w:rFonts w:ascii="Arial" w:eastAsia="Times New Roman" w:hAnsi="Arial" w:cs="Arial"/>
                <w:lang w:eastAsia="fr-FR"/>
              </w:rPr>
              <w:t>Prononcé</w:t>
            </w:r>
            <w:r w:rsidRPr="001976CB">
              <w:rPr>
                <w:rFonts w:ascii="Arial" w:eastAsia="Times New Roman" w:hAnsi="Arial" w:cs="Arial"/>
                <w:lang w:eastAsia="fr-FR"/>
              </w:rPr>
              <w:t xml:space="preserve"> du </w:t>
            </w:r>
            <w:r>
              <w:rPr>
                <w:rFonts w:ascii="Arial" w:eastAsia="Times New Roman" w:hAnsi="Arial" w:cs="Arial"/>
                <w:lang w:eastAsia="fr-FR"/>
              </w:rPr>
              <w:t>21 mai</w:t>
            </w:r>
            <w:r w:rsidRPr="001976CB">
              <w:rPr>
                <w:rFonts w:ascii="Arial" w:eastAsia="Times New Roman" w:hAnsi="Arial" w:cs="Arial"/>
                <w:lang w:eastAsia="fr-FR"/>
              </w:rPr>
              <w:t xml:space="preserve"> 2015</w:t>
            </w:r>
          </w:p>
          <w:p w:rsidR="001976CB" w:rsidRPr="001976CB" w:rsidRDefault="001976CB" w:rsidP="001976CB">
            <w:pPr>
              <w:spacing w:after="0" w:line="240" w:lineRule="auto"/>
              <w:ind w:firstLine="851"/>
              <w:rPr>
                <w:rFonts w:ascii="Arial" w:eastAsia="Times New Roman" w:hAnsi="Arial" w:cs="Arial"/>
                <w:lang w:eastAsia="fr-FR"/>
              </w:rPr>
            </w:pPr>
          </w:p>
        </w:tc>
        <w:tc>
          <w:tcPr>
            <w:tcW w:w="5211" w:type="dxa"/>
          </w:tcPr>
          <w:p w:rsidR="001976CB" w:rsidRPr="001976CB" w:rsidRDefault="001976CB" w:rsidP="001976CB">
            <w:pPr>
              <w:spacing w:after="0" w:line="216" w:lineRule="atLeast"/>
              <w:rPr>
                <w:rFonts w:ascii="Arial" w:eastAsia="Arial" w:hAnsi="Arial" w:cs="Arial"/>
              </w:rPr>
            </w:pPr>
            <w:r w:rsidRPr="001976CB">
              <w:rPr>
                <w:rFonts w:ascii="Arial" w:eastAsia="Arial" w:hAnsi="Arial" w:cs="Arial"/>
              </w:rPr>
              <w:t>DEPARTEMENT DU JURA</w:t>
            </w:r>
          </w:p>
          <w:p w:rsidR="001976CB" w:rsidRPr="001976CB" w:rsidRDefault="001976CB" w:rsidP="001976CB">
            <w:pPr>
              <w:spacing w:after="0" w:line="216" w:lineRule="atLeast"/>
              <w:rPr>
                <w:rFonts w:ascii="Arial" w:eastAsia="Arial" w:hAnsi="Arial" w:cs="Arial"/>
              </w:rPr>
            </w:pPr>
          </w:p>
          <w:p w:rsidR="00B53E94" w:rsidRDefault="001976CB" w:rsidP="001976CB">
            <w:pPr>
              <w:spacing w:after="0" w:line="216" w:lineRule="atLeast"/>
              <w:rPr>
                <w:rFonts w:ascii="Arial" w:eastAsia="Arial" w:hAnsi="Arial" w:cs="Arial"/>
              </w:rPr>
            </w:pPr>
            <w:r w:rsidRPr="001976CB">
              <w:rPr>
                <w:rFonts w:ascii="Arial" w:eastAsia="Arial" w:hAnsi="Arial" w:cs="Arial"/>
              </w:rPr>
              <w:t>Appel d’un jugement de la chambre régionale</w:t>
            </w:r>
          </w:p>
          <w:p w:rsidR="001976CB" w:rsidRPr="001976CB" w:rsidRDefault="001976CB" w:rsidP="001976CB">
            <w:pPr>
              <w:spacing w:after="0" w:line="216" w:lineRule="atLeast"/>
              <w:rPr>
                <w:rFonts w:ascii="Arial" w:eastAsia="Arial" w:hAnsi="Arial" w:cs="Arial"/>
              </w:rPr>
            </w:pPr>
            <w:r w:rsidRPr="001976CB">
              <w:rPr>
                <w:rFonts w:ascii="Arial" w:eastAsia="Arial" w:hAnsi="Arial" w:cs="Arial"/>
              </w:rPr>
              <w:t>des comptes de Bourgogne, Franche-Comté</w:t>
            </w:r>
          </w:p>
          <w:p w:rsidR="001976CB" w:rsidRPr="001976CB" w:rsidRDefault="001976CB" w:rsidP="001976CB">
            <w:pPr>
              <w:spacing w:after="0" w:line="216" w:lineRule="atLeast"/>
              <w:rPr>
                <w:rFonts w:ascii="Arial" w:eastAsia="Arial" w:hAnsi="Arial" w:cs="Arial"/>
              </w:rPr>
            </w:pPr>
          </w:p>
          <w:p w:rsidR="001976CB" w:rsidRPr="001976CB" w:rsidRDefault="001976CB" w:rsidP="001976CB">
            <w:pPr>
              <w:spacing w:after="0" w:line="216" w:lineRule="atLeast"/>
              <w:rPr>
                <w:rFonts w:ascii="Arial" w:eastAsia="Arial" w:hAnsi="Arial" w:cs="Arial"/>
              </w:rPr>
            </w:pPr>
            <w:r w:rsidRPr="001976CB">
              <w:rPr>
                <w:rFonts w:ascii="Arial" w:eastAsia="Arial" w:hAnsi="Arial" w:cs="Arial"/>
                <w:noProof/>
                <w:color w:val="000000"/>
              </w:rPr>
              <w:t>Rapport n° 2015</w:t>
            </w:r>
            <w:r w:rsidR="00FA319E">
              <w:rPr>
                <w:rFonts w:ascii="Arial" w:eastAsia="Arial" w:hAnsi="Arial" w:cs="Arial"/>
                <w:noProof/>
                <w:color w:val="000000"/>
              </w:rPr>
              <w:t>-156</w:t>
            </w:r>
            <w:r w:rsidRPr="001976CB">
              <w:rPr>
                <w:rFonts w:ascii="Arial" w:eastAsia="Arial" w:hAnsi="Arial" w:cs="Arial"/>
                <w:noProof/>
                <w:color w:val="000000"/>
              </w:rPr>
              <w:t>-0</w:t>
            </w:r>
          </w:p>
          <w:p w:rsidR="001976CB" w:rsidRPr="001976CB" w:rsidRDefault="001976CB" w:rsidP="001976CB">
            <w:pPr>
              <w:spacing w:after="0" w:line="240" w:lineRule="auto"/>
              <w:jc w:val="both"/>
              <w:rPr>
                <w:rFonts w:ascii="Arial" w:eastAsia="Times New Roman" w:hAnsi="Arial" w:cs="Arial"/>
                <w:lang w:eastAsia="fr-FR"/>
              </w:rPr>
            </w:pPr>
          </w:p>
        </w:tc>
      </w:tr>
    </w:tbl>
    <w:p w:rsidR="00BD5C45" w:rsidRDefault="00BD5C45" w:rsidP="00BD5C45">
      <w:pPr>
        <w:spacing w:after="0" w:line="240" w:lineRule="auto"/>
        <w:jc w:val="both"/>
        <w:rPr>
          <w:rFonts w:ascii="Arial" w:eastAsia="Times New Roman" w:hAnsi="Arial" w:cs="Arial"/>
          <w:lang w:eastAsia="fr-FR"/>
        </w:rPr>
      </w:pPr>
    </w:p>
    <w:p w:rsidR="004F15C1" w:rsidRPr="00692582" w:rsidRDefault="004F15C1" w:rsidP="00BD5C45">
      <w:pPr>
        <w:spacing w:after="0" w:line="240" w:lineRule="auto"/>
        <w:jc w:val="both"/>
        <w:rPr>
          <w:rFonts w:ascii="Arial" w:eastAsia="Times New Roman" w:hAnsi="Arial" w:cs="Arial"/>
          <w:lang w:eastAsia="fr-FR"/>
        </w:rPr>
      </w:pPr>
    </w:p>
    <w:p w:rsidR="00BD5C45" w:rsidRPr="00692582" w:rsidRDefault="00BD5C45" w:rsidP="00BD5C45">
      <w:pPr>
        <w:spacing w:after="0" w:line="240" w:lineRule="auto"/>
        <w:jc w:val="center"/>
        <w:rPr>
          <w:rFonts w:ascii="Arial" w:eastAsia="Times New Roman" w:hAnsi="Arial" w:cs="Arial"/>
          <w:lang w:eastAsia="fr-FR"/>
        </w:rPr>
      </w:pPr>
      <w:r w:rsidRPr="00692582">
        <w:rPr>
          <w:rFonts w:ascii="Arial" w:eastAsia="Times New Roman" w:hAnsi="Arial" w:cs="Arial"/>
          <w:lang w:eastAsia="fr-FR"/>
        </w:rPr>
        <w:t>République Française,</w:t>
      </w:r>
    </w:p>
    <w:p w:rsidR="00BD5C45" w:rsidRPr="00692582" w:rsidRDefault="00BD5C45" w:rsidP="00BD5C45">
      <w:pPr>
        <w:spacing w:after="0" w:line="240" w:lineRule="auto"/>
        <w:jc w:val="center"/>
        <w:rPr>
          <w:rFonts w:ascii="Arial" w:eastAsia="Times New Roman" w:hAnsi="Arial" w:cs="Arial"/>
          <w:lang w:eastAsia="fr-FR"/>
        </w:rPr>
      </w:pPr>
      <w:r>
        <w:rPr>
          <w:rFonts w:ascii="Arial" w:eastAsia="Times New Roman" w:hAnsi="Arial" w:cs="Arial"/>
          <w:lang w:eastAsia="fr-FR"/>
        </w:rPr>
        <w:t>Au nom du p</w:t>
      </w:r>
      <w:r w:rsidRPr="00692582">
        <w:rPr>
          <w:rFonts w:ascii="Arial" w:eastAsia="Times New Roman" w:hAnsi="Arial" w:cs="Arial"/>
          <w:lang w:eastAsia="fr-FR"/>
        </w:rPr>
        <w:t>euple français,</w:t>
      </w:r>
    </w:p>
    <w:p w:rsidR="00BD5C45" w:rsidRPr="00692582" w:rsidRDefault="00BD5C45" w:rsidP="001976CB">
      <w:pPr>
        <w:spacing w:before="240" w:after="480" w:line="240" w:lineRule="auto"/>
        <w:jc w:val="center"/>
        <w:rPr>
          <w:rFonts w:ascii="Arial" w:eastAsia="Times New Roman" w:hAnsi="Arial" w:cs="Arial"/>
          <w:lang w:eastAsia="fr-FR"/>
        </w:rPr>
      </w:pPr>
      <w:r w:rsidRPr="00692582">
        <w:rPr>
          <w:rFonts w:ascii="Arial" w:eastAsia="Times New Roman" w:hAnsi="Arial" w:cs="Arial"/>
          <w:lang w:eastAsia="fr-FR"/>
        </w:rPr>
        <w:t>La Cour,</w:t>
      </w:r>
    </w:p>
    <w:p w:rsidR="00BD2543" w:rsidRDefault="00BD2543" w:rsidP="00CF1E9F">
      <w:pPr>
        <w:spacing w:after="0" w:line="240" w:lineRule="auto"/>
        <w:jc w:val="both"/>
        <w:rPr>
          <w:rFonts w:ascii="Arial" w:eastAsia="Times New Roman" w:hAnsi="Arial" w:cs="Arial"/>
          <w:lang w:eastAsia="fr-FR"/>
        </w:rPr>
      </w:pPr>
      <w:r>
        <w:rPr>
          <w:rFonts w:ascii="Arial" w:eastAsia="Times New Roman" w:hAnsi="Arial" w:cs="Arial"/>
          <w:lang w:eastAsia="fr-FR"/>
        </w:rPr>
        <w:t xml:space="preserve">Vu la requête enregistrée le 7 août 2014 </w:t>
      </w:r>
      <w:r w:rsidRPr="00692582">
        <w:rPr>
          <w:rFonts w:ascii="Arial" w:hAnsi="Arial" w:cs="Arial"/>
        </w:rPr>
        <w:t>au greffe de la chambre régionale des comptes de</w:t>
      </w:r>
      <w:r>
        <w:rPr>
          <w:rFonts w:ascii="Arial" w:hAnsi="Arial" w:cs="Arial"/>
        </w:rPr>
        <w:t xml:space="preserve"> Bourgogne, Franche-Comté, par laquelle </w:t>
      </w:r>
      <w:r w:rsidR="00AA42D9">
        <w:rPr>
          <w:rFonts w:ascii="Arial" w:hAnsi="Arial" w:cs="Arial"/>
        </w:rPr>
        <w:t>M. X</w:t>
      </w:r>
      <w:r>
        <w:rPr>
          <w:rFonts w:ascii="Arial" w:hAnsi="Arial" w:cs="Arial"/>
        </w:rPr>
        <w:t>, comptable du département du Jura, a élevé appel du jugement du 17 juillet 2014 par lequel ladite chambre l’a</w:t>
      </w:r>
      <w:r w:rsidRPr="00692582">
        <w:rPr>
          <w:rFonts w:ascii="Arial" w:hAnsi="Arial" w:cs="Arial"/>
        </w:rPr>
        <w:t xml:space="preserve"> constitué débiteur de ce département à hauteur de</w:t>
      </w:r>
      <w:r>
        <w:rPr>
          <w:rFonts w:ascii="Arial" w:hAnsi="Arial" w:cs="Arial"/>
        </w:rPr>
        <w:t xml:space="preserve"> 1 638 182,23 euros, augmentés des intérêts de droit à compter du 3 février 2014</w:t>
      </w:r>
      <w:r w:rsidR="00452B73">
        <w:rPr>
          <w:rFonts w:ascii="Arial" w:hAnsi="Arial" w:cs="Arial"/>
        </w:rPr>
        <w:t xml:space="preserve"> </w:t>
      </w:r>
      <w:r>
        <w:rPr>
          <w:rFonts w:ascii="Arial" w:hAnsi="Arial" w:cs="Arial"/>
        </w:rPr>
        <w:t>pour avoir payé des primes de fin d’année en l’absence des pièces requises à la rubrique 210223 de l’annexe I de l’article D.</w:t>
      </w:r>
      <w:r w:rsidR="00A41AAC">
        <w:rPr>
          <w:rFonts w:ascii="Arial" w:hAnsi="Arial" w:cs="Arial"/>
        </w:rPr>
        <w:t> </w:t>
      </w:r>
      <w:r>
        <w:rPr>
          <w:rFonts w:ascii="Arial" w:hAnsi="Arial" w:cs="Arial"/>
        </w:rPr>
        <w:t>1617-19 du code général des collectivités territoriales ;</w:t>
      </w:r>
    </w:p>
    <w:p w:rsidR="00BD2543" w:rsidRDefault="00BD2543" w:rsidP="00CF1E9F">
      <w:pPr>
        <w:spacing w:after="0" w:line="240" w:lineRule="auto"/>
        <w:jc w:val="both"/>
        <w:rPr>
          <w:rFonts w:ascii="Arial" w:eastAsia="Times New Roman" w:hAnsi="Arial" w:cs="Arial"/>
          <w:lang w:eastAsia="fr-FR"/>
        </w:rPr>
      </w:pPr>
    </w:p>
    <w:p w:rsidR="00674992" w:rsidRDefault="00BD5C45" w:rsidP="00CF1E9F">
      <w:pPr>
        <w:spacing w:after="0" w:line="240" w:lineRule="auto"/>
        <w:jc w:val="both"/>
        <w:rPr>
          <w:rFonts w:ascii="Arial" w:hAnsi="Arial" w:cs="Arial"/>
        </w:rPr>
      </w:pPr>
      <w:r w:rsidRPr="00BD5C45">
        <w:rPr>
          <w:rFonts w:ascii="Arial" w:eastAsia="Times New Roman" w:hAnsi="Arial" w:cs="Arial"/>
          <w:lang w:eastAsia="fr-FR"/>
        </w:rPr>
        <w:t>Vu le réquisitoire n°</w:t>
      </w:r>
      <w:r w:rsidR="001976CB">
        <w:rPr>
          <w:rFonts w:ascii="Arial" w:eastAsia="Times New Roman" w:hAnsi="Arial" w:cs="Arial"/>
          <w:lang w:eastAsia="fr-FR"/>
        </w:rPr>
        <w:t xml:space="preserve"> </w:t>
      </w:r>
      <w:r w:rsidRPr="00BD5C45">
        <w:rPr>
          <w:rFonts w:ascii="Arial" w:eastAsia="Times New Roman" w:hAnsi="Arial" w:cs="Arial"/>
          <w:lang w:eastAsia="fr-FR"/>
        </w:rPr>
        <w:t>2015-2 du 6 janvier 2015</w:t>
      </w:r>
      <w:r>
        <w:rPr>
          <w:rFonts w:ascii="Arial" w:eastAsia="Times New Roman" w:hAnsi="Arial" w:cs="Arial"/>
          <w:lang w:eastAsia="fr-FR"/>
        </w:rPr>
        <w:t xml:space="preserve"> </w:t>
      </w:r>
      <w:r w:rsidRPr="00692582">
        <w:rPr>
          <w:rFonts w:ascii="Arial" w:hAnsi="Arial" w:cs="Arial"/>
        </w:rPr>
        <w:t xml:space="preserve">du Procureur général près la Cour des comptes transmettant </w:t>
      </w:r>
      <w:r w:rsidR="00BD2543">
        <w:rPr>
          <w:rFonts w:ascii="Arial" w:hAnsi="Arial" w:cs="Arial"/>
        </w:rPr>
        <w:t>ladite</w:t>
      </w:r>
      <w:r w:rsidRPr="00692582">
        <w:rPr>
          <w:rFonts w:ascii="Arial" w:hAnsi="Arial" w:cs="Arial"/>
        </w:rPr>
        <w:t xml:space="preserve"> requête</w:t>
      </w:r>
      <w:r w:rsidR="004F15C1">
        <w:rPr>
          <w:rFonts w:ascii="Arial" w:hAnsi="Arial" w:cs="Arial"/>
        </w:rPr>
        <w:t xml:space="preserve"> </w:t>
      </w:r>
      <w:r w:rsidR="00CF1E9F">
        <w:rPr>
          <w:rFonts w:ascii="Arial" w:hAnsi="Arial" w:cs="Arial"/>
        </w:rPr>
        <w:t>;</w:t>
      </w:r>
    </w:p>
    <w:p w:rsidR="00CF1E9F" w:rsidRDefault="00CF1E9F" w:rsidP="00CF1E9F">
      <w:pPr>
        <w:spacing w:after="0" w:line="240" w:lineRule="auto"/>
        <w:jc w:val="both"/>
        <w:rPr>
          <w:rFonts w:ascii="Arial" w:eastAsia="Times New Roman" w:hAnsi="Arial" w:cs="Arial"/>
          <w:lang w:eastAsia="fr-FR"/>
        </w:rPr>
      </w:pPr>
    </w:p>
    <w:p w:rsidR="00CF1E9F" w:rsidRDefault="00CF1E9F" w:rsidP="00CF1E9F">
      <w:pPr>
        <w:spacing w:after="0" w:line="240" w:lineRule="auto"/>
        <w:jc w:val="both"/>
        <w:rPr>
          <w:rFonts w:ascii="Arial" w:eastAsia="Times New Roman" w:hAnsi="Arial" w:cs="Arial"/>
          <w:lang w:eastAsia="fr-FR"/>
        </w:rPr>
      </w:pPr>
      <w:r>
        <w:rPr>
          <w:rFonts w:ascii="Arial" w:eastAsia="Times New Roman" w:hAnsi="Arial" w:cs="Arial"/>
          <w:lang w:eastAsia="fr-FR"/>
        </w:rPr>
        <w:t>Vu les pièces de la procédure suivie en première instance ;</w:t>
      </w:r>
    </w:p>
    <w:p w:rsidR="004F15C1" w:rsidRDefault="004F15C1" w:rsidP="00CF1E9F">
      <w:pPr>
        <w:spacing w:after="0" w:line="240" w:lineRule="auto"/>
        <w:jc w:val="both"/>
        <w:rPr>
          <w:rFonts w:ascii="Arial" w:eastAsia="Times New Roman" w:hAnsi="Arial" w:cs="Arial"/>
          <w:lang w:eastAsia="fr-FR"/>
        </w:rPr>
      </w:pPr>
    </w:p>
    <w:p w:rsidR="00CF1E9F" w:rsidRDefault="00CF1E9F" w:rsidP="004F15C1">
      <w:pPr>
        <w:spacing w:after="0" w:line="240" w:lineRule="auto"/>
        <w:jc w:val="both"/>
        <w:rPr>
          <w:rFonts w:ascii="Arial" w:hAnsi="Arial" w:cs="Arial"/>
        </w:rPr>
      </w:pPr>
      <w:r w:rsidRPr="00692582">
        <w:rPr>
          <w:rFonts w:ascii="Arial" w:hAnsi="Arial" w:cs="Arial"/>
        </w:rPr>
        <w:t>Vu le code des juridictions financières ;</w:t>
      </w:r>
    </w:p>
    <w:p w:rsidR="004F15C1" w:rsidRPr="00CF1E9F" w:rsidRDefault="004F15C1" w:rsidP="004F15C1">
      <w:pPr>
        <w:spacing w:after="0" w:line="240" w:lineRule="auto"/>
        <w:jc w:val="both"/>
        <w:rPr>
          <w:rFonts w:ascii="Arial" w:hAnsi="Arial" w:cs="Arial"/>
        </w:rPr>
      </w:pPr>
    </w:p>
    <w:p w:rsidR="00CF1E9F" w:rsidRDefault="00CF1E9F" w:rsidP="004F15C1">
      <w:pPr>
        <w:spacing w:after="0" w:line="240" w:lineRule="auto"/>
        <w:jc w:val="both"/>
        <w:rPr>
          <w:rFonts w:ascii="Arial" w:hAnsi="Arial" w:cs="Arial"/>
        </w:rPr>
      </w:pPr>
      <w:r w:rsidRPr="00692582">
        <w:rPr>
          <w:rFonts w:ascii="Arial" w:hAnsi="Arial" w:cs="Arial"/>
        </w:rPr>
        <w:t>Vu l’article 60 de la loi de finances n° 63-156 du 23 février 1963 modifiée ;</w:t>
      </w:r>
    </w:p>
    <w:p w:rsidR="00F36334" w:rsidRPr="00692582" w:rsidRDefault="00F36334" w:rsidP="004F15C1">
      <w:pPr>
        <w:spacing w:after="0" w:line="240" w:lineRule="auto"/>
        <w:jc w:val="both"/>
        <w:rPr>
          <w:rFonts w:ascii="Arial" w:hAnsi="Arial" w:cs="Arial"/>
        </w:rPr>
      </w:pPr>
    </w:p>
    <w:p w:rsidR="004F15C1" w:rsidRDefault="00CF1E9F" w:rsidP="00F36334">
      <w:pPr>
        <w:spacing w:after="0" w:line="240" w:lineRule="auto"/>
        <w:jc w:val="both"/>
        <w:rPr>
          <w:rFonts w:ascii="Arial" w:hAnsi="Arial" w:cs="Arial"/>
        </w:rPr>
      </w:pPr>
      <w:r>
        <w:rPr>
          <w:rFonts w:ascii="Arial" w:hAnsi="Arial" w:cs="Arial"/>
        </w:rPr>
        <w:t xml:space="preserve">Vu la loi du 26 janvier 1984 </w:t>
      </w:r>
      <w:r w:rsidRPr="00CF1E9F">
        <w:rPr>
          <w:rFonts w:ascii="Arial" w:hAnsi="Arial" w:cs="Arial"/>
        </w:rPr>
        <w:t>portant dispositions statutaires relatives à la fonction publique territoriale</w:t>
      </w:r>
      <w:r w:rsidR="00C06A03">
        <w:rPr>
          <w:rFonts w:ascii="Arial" w:hAnsi="Arial" w:cs="Arial"/>
        </w:rPr>
        <w:t> ;</w:t>
      </w:r>
    </w:p>
    <w:p w:rsidR="00251E41" w:rsidRDefault="00251E41" w:rsidP="00F36334">
      <w:pPr>
        <w:spacing w:after="0" w:line="240" w:lineRule="auto"/>
        <w:jc w:val="both"/>
        <w:rPr>
          <w:rFonts w:ascii="Arial" w:hAnsi="Arial" w:cs="Arial"/>
        </w:rPr>
      </w:pPr>
    </w:p>
    <w:p w:rsidR="00CF1E9F" w:rsidRDefault="00CF1E9F" w:rsidP="004F15C1">
      <w:pPr>
        <w:spacing w:after="0" w:line="240" w:lineRule="auto"/>
        <w:jc w:val="both"/>
        <w:rPr>
          <w:rFonts w:ascii="Arial" w:hAnsi="Arial" w:cs="Arial"/>
        </w:rPr>
      </w:pPr>
      <w:r w:rsidRPr="00692582">
        <w:rPr>
          <w:rFonts w:ascii="Arial" w:hAnsi="Arial" w:cs="Arial"/>
        </w:rPr>
        <w:t>Vu le décret n° 62-1587 du 29 décembre 1962 modifié portant règlement général sur la comptabilité publique ;</w:t>
      </w:r>
    </w:p>
    <w:p w:rsidR="00F36334" w:rsidRDefault="00F36334" w:rsidP="004F15C1">
      <w:pPr>
        <w:spacing w:after="0" w:line="240" w:lineRule="auto"/>
        <w:jc w:val="both"/>
        <w:rPr>
          <w:rFonts w:ascii="Arial" w:hAnsi="Arial" w:cs="Arial"/>
        </w:rPr>
      </w:pPr>
    </w:p>
    <w:p w:rsidR="00CF1E9F" w:rsidRDefault="00CF1E9F" w:rsidP="004F15C1">
      <w:pPr>
        <w:spacing w:after="0" w:line="240" w:lineRule="auto"/>
        <w:jc w:val="both"/>
        <w:rPr>
          <w:rFonts w:ascii="Arial" w:hAnsi="Arial" w:cs="Arial"/>
        </w:rPr>
      </w:pPr>
      <w:r>
        <w:rPr>
          <w:rFonts w:ascii="Arial" w:hAnsi="Arial" w:cs="Arial"/>
        </w:rPr>
        <w:t>Vu les pièces produites en appel ;</w:t>
      </w:r>
    </w:p>
    <w:p w:rsidR="004F15C1" w:rsidRPr="00692582" w:rsidRDefault="004F15C1" w:rsidP="004F15C1">
      <w:pPr>
        <w:spacing w:after="0" w:line="240" w:lineRule="auto"/>
        <w:jc w:val="both"/>
        <w:rPr>
          <w:rFonts w:ascii="Arial" w:hAnsi="Arial" w:cs="Arial"/>
        </w:rPr>
      </w:pPr>
    </w:p>
    <w:p w:rsidR="00CF1E9F" w:rsidRDefault="00CF1E9F" w:rsidP="004F15C1">
      <w:pPr>
        <w:spacing w:after="0" w:line="240" w:lineRule="auto"/>
        <w:jc w:val="both"/>
        <w:rPr>
          <w:rFonts w:ascii="Arial" w:hAnsi="Arial" w:cs="Arial"/>
        </w:rPr>
      </w:pPr>
      <w:r w:rsidRPr="00692582">
        <w:rPr>
          <w:rFonts w:ascii="Arial" w:hAnsi="Arial" w:cs="Arial"/>
        </w:rPr>
        <w:t xml:space="preserve">Vu le rapport de M. Thibault </w:t>
      </w:r>
      <w:r w:rsidRPr="00692582">
        <w:rPr>
          <w:rFonts w:ascii="Arial" w:hAnsi="Arial" w:cs="Arial"/>
          <w:caps/>
        </w:rPr>
        <w:t>Deloye</w:t>
      </w:r>
      <w:r w:rsidRPr="00692582">
        <w:rPr>
          <w:rFonts w:ascii="Arial" w:hAnsi="Arial" w:cs="Arial"/>
        </w:rPr>
        <w:t>, auditeur ;</w:t>
      </w:r>
    </w:p>
    <w:p w:rsidR="004F15C1" w:rsidRPr="00692582" w:rsidRDefault="004F15C1" w:rsidP="004F15C1">
      <w:pPr>
        <w:spacing w:after="0" w:line="240" w:lineRule="auto"/>
        <w:jc w:val="both"/>
        <w:rPr>
          <w:rFonts w:ascii="Arial" w:hAnsi="Arial" w:cs="Arial"/>
        </w:rPr>
      </w:pPr>
    </w:p>
    <w:p w:rsidR="00CF1E9F" w:rsidRDefault="008B5D23" w:rsidP="004F15C1">
      <w:pPr>
        <w:spacing w:after="0" w:line="240" w:lineRule="auto"/>
        <w:jc w:val="both"/>
        <w:rPr>
          <w:rFonts w:ascii="Arial" w:hAnsi="Arial" w:cs="Arial"/>
        </w:rPr>
      </w:pPr>
      <w:r>
        <w:rPr>
          <w:rFonts w:ascii="Arial" w:hAnsi="Arial" w:cs="Arial"/>
        </w:rPr>
        <w:t>Vu les conclusions n°</w:t>
      </w:r>
      <w:r w:rsidR="00CF1E9F" w:rsidRPr="00692582">
        <w:rPr>
          <w:rFonts w:ascii="Arial" w:hAnsi="Arial" w:cs="Arial"/>
        </w:rPr>
        <w:t xml:space="preserve"> </w:t>
      </w:r>
      <w:r w:rsidR="00AD071D">
        <w:rPr>
          <w:rFonts w:ascii="Arial" w:hAnsi="Arial" w:cs="Arial"/>
        </w:rPr>
        <w:t>247 du 13 avril 2015</w:t>
      </w:r>
      <w:r w:rsidR="00CF1E9F" w:rsidRPr="00692582">
        <w:rPr>
          <w:rFonts w:ascii="Arial" w:hAnsi="Arial" w:cs="Arial"/>
        </w:rPr>
        <w:t xml:space="preserve"> du Procureur général ;</w:t>
      </w:r>
    </w:p>
    <w:p w:rsidR="004F15C1" w:rsidRDefault="004F15C1" w:rsidP="004F15C1">
      <w:pPr>
        <w:spacing w:after="0" w:line="240" w:lineRule="auto"/>
        <w:jc w:val="both"/>
        <w:rPr>
          <w:rFonts w:ascii="Arial" w:hAnsi="Arial" w:cs="Arial"/>
        </w:rPr>
      </w:pPr>
    </w:p>
    <w:p w:rsidR="00E3137E" w:rsidRDefault="00E3137E" w:rsidP="004F15C1">
      <w:pPr>
        <w:spacing w:after="0" w:line="240" w:lineRule="auto"/>
        <w:jc w:val="both"/>
        <w:rPr>
          <w:rFonts w:ascii="Arial" w:hAnsi="Arial" w:cs="Arial"/>
        </w:rPr>
      </w:pPr>
      <w:r>
        <w:rPr>
          <w:rFonts w:ascii="Arial" w:hAnsi="Arial" w:cs="Arial"/>
        </w:rPr>
        <w:t xml:space="preserve">Vu le mémoire complémentaire de </w:t>
      </w:r>
      <w:r w:rsidR="00AA42D9">
        <w:rPr>
          <w:rFonts w:ascii="Arial" w:hAnsi="Arial" w:cs="Arial"/>
        </w:rPr>
        <w:t>M. X</w:t>
      </w:r>
      <w:r>
        <w:rPr>
          <w:rFonts w:ascii="Arial" w:hAnsi="Arial" w:cs="Arial"/>
        </w:rPr>
        <w:t xml:space="preserve"> en date du 3 avril 2015 ;</w:t>
      </w:r>
    </w:p>
    <w:p w:rsidR="004F15C1" w:rsidRPr="00692582" w:rsidRDefault="004F15C1" w:rsidP="004F15C1">
      <w:pPr>
        <w:spacing w:after="0" w:line="240" w:lineRule="auto"/>
        <w:jc w:val="both"/>
        <w:rPr>
          <w:rFonts w:ascii="Arial" w:hAnsi="Arial" w:cs="Arial"/>
        </w:rPr>
      </w:pPr>
    </w:p>
    <w:p w:rsidR="00CF1E9F" w:rsidRDefault="00CF1E9F" w:rsidP="004F15C1">
      <w:pPr>
        <w:spacing w:after="0" w:line="240" w:lineRule="auto"/>
        <w:jc w:val="both"/>
        <w:rPr>
          <w:rFonts w:ascii="Arial" w:hAnsi="Arial" w:cs="Arial"/>
        </w:rPr>
      </w:pPr>
      <w:r w:rsidRPr="00692582">
        <w:rPr>
          <w:rFonts w:ascii="Arial" w:hAnsi="Arial" w:cs="Arial"/>
        </w:rPr>
        <w:t xml:space="preserve">Entendu lors de l’audience publique de ce jour, M. </w:t>
      </w:r>
      <w:r w:rsidRPr="00692582">
        <w:rPr>
          <w:rFonts w:ascii="Arial" w:hAnsi="Arial" w:cs="Arial"/>
          <w:caps/>
        </w:rPr>
        <w:t>Deloye</w:t>
      </w:r>
      <w:r w:rsidRPr="00692582">
        <w:rPr>
          <w:rFonts w:ascii="Arial" w:hAnsi="Arial" w:cs="Arial"/>
        </w:rPr>
        <w:t>, en son rapport, M</w:t>
      </w:r>
      <w:r w:rsidR="00AD071D">
        <w:rPr>
          <w:rFonts w:ascii="Arial" w:hAnsi="Arial" w:cs="Arial"/>
        </w:rPr>
        <w:t>. Frédéric GUTHMAN</w:t>
      </w:r>
      <w:r w:rsidR="004F15C1">
        <w:rPr>
          <w:rFonts w:ascii="Arial" w:hAnsi="Arial" w:cs="Arial"/>
        </w:rPr>
        <w:t>N</w:t>
      </w:r>
      <w:r w:rsidRPr="00692582">
        <w:rPr>
          <w:rFonts w:ascii="Arial" w:hAnsi="Arial" w:cs="Arial"/>
        </w:rPr>
        <w:t xml:space="preserve">, </w:t>
      </w:r>
      <w:r w:rsidR="00AD071D">
        <w:rPr>
          <w:rFonts w:ascii="Arial" w:hAnsi="Arial" w:cs="Arial"/>
        </w:rPr>
        <w:t>chargé de mission</w:t>
      </w:r>
      <w:r w:rsidRPr="00692582">
        <w:rPr>
          <w:rFonts w:ascii="Arial" w:hAnsi="Arial" w:cs="Arial"/>
        </w:rPr>
        <w:t>, en les conclusions du ministère public</w:t>
      </w:r>
      <w:r>
        <w:rPr>
          <w:rFonts w:ascii="Arial" w:hAnsi="Arial" w:cs="Arial"/>
        </w:rPr>
        <w:t> ;</w:t>
      </w:r>
    </w:p>
    <w:p w:rsidR="004F15C1" w:rsidRDefault="004F15C1" w:rsidP="004F15C1">
      <w:pPr>
        <w:spacing w:after="0" w:line="240" w:lineRule="auto"/>
        <w:jc w:val="both"/>
        <w:rPr>
          <w:rFonts w:ascii="Arial" w:hAnsi="Arial" w:cs="Arial"/>
        </w:rPr>
      </w:pPr>
    </w:p>
    <w:p w:rsidR="00CF1E9F" w:rsidRDefault="00CF1E9F" w:rsidP="00CF1E9F">
      <w:pPr>
        <w:spacing w:after="0" w:line="240" w:lineRule="auto"/>
        <w:jc w:val="both"/>
        <w:rPr>
          <w:rFonts w:ascii="Arial" w:hAnsi="Arial" w:cs="Arial"/>
        </w:rPr>
      </w:pPr>
      <w:r w:rsidRPr="00692582">
        <w:rPr>
          <w:rFonts w:ascii="Arial" w:hAnsi="Arial" w:cs="Arial"/>
        </w:rPr>
        <w:t>Après avoir entendu, en délibéré, M</w:t>
      </w:r>
      <w:r w:rsidR="00AD071D">
        <w:rPr>
          <w:rFonts w:ascii="Arial" w:hAnsi="Arial" w:cs="Arial"/>
        </w:rPr>
        <w:t>. Yves ROLLAND</w:t>
      </w:r>
      <w:r w:rsidRPr="00692582">
        <w:rPr>
          <w:rFonts w:ascii="Arial" w:hAnsi="Arial" w:cs="Arial"/>
        </w:rPr>
        <w:t xml:space="preserve">, </w:t>
      </w:r>
      <w:r>
        <w:rPr>
          <w:rFonts w:ascii="Arial" w:hAnsi="Arial" w:cs="Arial"/>
        </w:rPr>
        <w:t>conseiller</w:t>
      </w:r>
      <w:r w:rsidR="00A003F6">
        <w:rPr>
          <w:rFonts w:ascii="Arial" w:hAnsi="Arial" w:cs="Arial"/>
        </w:rPr>
        <w:t xml:space="preserve"> </w:t>
      </w:r>
      <w:r>
        <w:rPr>
          <w:rFonts w:ascii="Arial" w:hAnsi="Arial" w:cs="Arial"/>
        </w:rPr>
        <w:t xml:space="preserve">maître, </w:t>
      </w:r>
      <w:r w:rsidRPr="00692582">
        <w:rPr>
          <w:rFonts w:ascii="Arial" w:hAnsi="Arial" w:cs="Arial"/>
        </w:rPr>
        <w:t>en ses observations</w:t>
      </w:r>
      <w:r w:rsidR="00085DCE">
        <w:rPr>
          <w:rFonts w:ascii="Arial" w:hAnsi="Arial" w:cs="Arial"/>
        </w:rPr>
        <w:t> ;</w:t>
      </w:r>
    </w:p>
    <w:p w:rsidR="00085DCE" w:rsidRDefault="00085DCE" w:rsidP="00CF1E9F">
      <w:pPr>
        <w:spacing w:after="0" w:line="240" w:lineRule="auto"/>
        <w:jc w:val="both"/>
        <w:rPr>
          <w:rFonts w:ascii="Arial" w:eastAsia="Times New Roman" w:hAnsi="Arial" w:cs="Arial"/>
          <w:lang w:eastAsia="fr-FR"/>
        </w:rPr>
      </w:pPr>
    </w:p>
    <w:p w:rsidR="00F54BBA" w:rsidRDefault="00F54BBA" w:rsidP="00CF1E9F">
      <w:pPr>
        <w:spacing w:after="0" w:line="240" w:lineRule="auto"/>
        <w:jc w:val="both"/>
        <w:rPr>
          <w:rFonts w:ascii="Arial" w:hAnsi="Arial" w:cs="Arial"/>
        </w:rPr>
      </w:pPr>
    </w:p>
    <w:p w:rsidR="00F54BBA" w:rsidRDefault="00F54BBA" w:rsidP="00CF1E9F">
      <w:pPr>
        <w:spacing w:after="0" w:line="240" w:lineRule="auto"/>
        <w:jc w:val="both"/>
        <w:rPr>
          <w:rFonts w:ascii="Arial" w:hAnsi="Arial" w:cs="Arial"/>
        </w:rPr>
      </w:pPr>
      <w:r w:rsidRPr="00F54BBA">
        <w:rPr>
          <w:rFonts w:ascii="Arial" w:hAnsi="Arial" w:cs="Arial"/>
          <w:b/>
          <w:i/>
        </w:rPr>
        <w:t xml:space="preserve">Sur </w:t>
      </w:r>
      <w:r w:rsidR="00AD071D">
        <w:rPr>
          <w:rFonts w:ascii="Arial" w:hAnsi="Arial" w:cs="Arial"/>
          <w:b/>
          <w:i/>
        </w:rPr>
        <w:t>l’existence d’un manquement</w:t>
      </w:r>
    </w:p>
    <w:p w:rsidR="00F54BBA" w:rsidRDefault="00F54BBA" w:rsidP="00CF1E9F">
      <w:pPr>
        <w:spacing w:after="0" w:line="240" w:lineRule="auto"/>
        <w:jc w:val="both"/>
        <w:rPr>
          <w:rFonts w:ascii="Arial" w:eastAsia="Times New Roman" w:hAnsi="Arial" w:cs="Arial"/>
          <w:lang w:eastAsia="fr-FR"/>
        </w:rPr>
      </w:pPr>
    </w:p>
    <w:p w:rsidR="007C1469" w:rsidRDefault="007C1469" w:rsidP="00CF1E9F">
      <w:pPr>
        <w:spacing w:after="0" w:line="240" w:lineRule="auto"/>
        <w:jc w:val="both"/>
        <w:rPr>
          <w:rFonts w:ascii="Arial" w:eastAsia="Times New Roman" w:hAnsi="Arial" w:cs="Arial"/>
          <w:lang w:eastAsia="fr-FR"/>
        </w:rPr>
      </w:pPr>
      <w:r>
        <w:rPr>
          <w:rFonts w:ascii="Arial" w:eastAsia="Times New Roman" w:hAnsi="Arial" w:cs="Arial"/>
          <w:lang w:eastAsia="fr-FR"/>
        </w:rPr>
        <w:t>Attendu que, par le jugement entrepris, la chambre régionale a considéré que la prime de fin d’année « </w:t>
      </w:r>
      <w:r w:rsidRPr="00C06A03">
        <w:rPr>
          <w:rFonts w:ascii="Arial" w:eastAsia="Times New Roman" w:hAnsi="Arial" w:cs="Arial"/>
          <w:i/>
          <w:lang w:eastAsia="fr-FR"/>
        </w:rPr>
        <w:t>semblait constituer un avantage collectivement acquis</w:t>
      </w:r>
      <w:r>
        <w:rPr>
          <w:rFonts w:ascii="Arial" w:eastAsia="Times New Roman" w:hAnsi="Arial" w:cs="Arial"/>
          <w:lang w:eastAsia="fr-FR"/>
        </w:rPr>
        <w:t> »</w:t>
      </w:r>
      <w:r w:rsidR="00452B73">
        <w:rPr>
          <w:rFonts w:ascii="Arial" w:eastAsia="Times New Roman" w:hAnsi="Arial" w:cs="Arial"/>
          <w:lang w:eastAsia="fr-FR"/>
        </w:rPr>
        <w:t xml:space="preserve"> </w:t>
      </w:r>
      <w:r>
        <w:rPr>
          <w:rFonts w:ascii="Arial" w:eastAsia="Times New Roman" w:hAnsi="Arial" w:cs="Arial"/>
          <w:lang w:eastAsia="fr-FR"/>
        </w:rPr>
        <w:t xml:space="preserve">mais que pour autant aucune disposition légale ou réglementaire ne permettait de considérer que cet avantage ne relevait pas du régime indemnitaire des fonctionnaires territoriaux ; que dès lors cet avantage relevait des dispositions relatives au régime indemnitaire prévues par la rubrique 210223 de l’annexe </w:t>
      </w:r>
      <w:r w:rsidR="004F15C1">
        <w:rPr>
          <w:rFonts w:ascii="Arial" w:eastAsia="Times New Roman" w:hAnsi="Arial" w:cs="Arial"/>
          <w:lang w:eastAsia="fr-FR"/>
        </w:rPr>
        <w:t xml:space="preserve">I </w:t>
      </w:r>
      <w:r>
        <w:rPr>
          <w:rFonts w:ascii="Arial" w:eastAsia="Times New Roman" w:hAnsi="Arial" w:cs="Arial"/>
          <w:lang w:eastAsia="fr-FR"/>
        </w:rPr>
        <w:t>de l’article D.</w:t>
      </w:r>
      <w:r w:rsidR="0044401F">
        <w:rPr>
          <w:rFonts w:ascii="Arial" w:eastAsia="Times New Roman" w:hAnsi="Arial" w:cs="Arial"/>
          <w:lang w:eastAsia="fr-FR"/>
        </w:rPr>
        <w:t> </w:t>
      </w:r>
      <w:r>
        <w:rPr>
          <w:rFonts w:ascii="Arial" w:eastAsia="Times New Roman" w:hAnsi="Arial" w:cs="Arial"/>
          <w:lang w:eastAsia="fr-FR"/>
        </w:rPr>
        <w:t xml:space="preserve">1617-19 du code général des collectivités territoriales susvisé ; </w:t>
      </w:r>
      <w:r w:rsidR="0044401F">
        <w:rPr>
          <w:rFonts w:ascii="Arial" w:eastAsia="Times New Roman" w:hAnsi="Arial" w:cs="Arial"/>
          <w:lang w:eastAsia="fr-FR"/>
        </w:rPr>
        <w:t xml:space="preserve"> </w:t>
      </w:r>
      <w:r>
        <w:rPr>
          <w:rFonts w:ascii="Arial" w:eastAsia="Times New Roman" w:hAnsi="Arial" w:cs="Arial"/>
          <w:lang w:eastAsia="fr-FR"/>
        </w:rPr>
        <w:t>qu’elle a ainsi considéré qu’en ayant effectué le paiement de ces primes sans avoir exigé communication des pièces justificatives prévues par cette rubrique, le requérant avait manqué à ses obligations et donc engagé sa responsabilité personnelle et pécuniaire ;</w:t>
      </w:r>
    </w:p>
    <w:p w:rsidR="007C1469" w:rsidRDefault="007C1469" w:rsidP="00CF1E9F">
      <w:pPr>
        <w:spacing w:after="0" w:line="240" w:lineRule="auto"/>
        <w:jc w:val="both"/>
        <w:rPr>
          <w:rFonts w:ascii="Arial" w:eastAsia="Times New Roman" w:hAnsi="Arial" w:cs="Arial"/>
          <w:lang w:eastAsia="fr-FR"/>
        </w:rPr>
      </w:pPr>
    </w:p>
    <w:p w:rsidR="002131F0" w:rsidRDefault="002131F0" w:rsidP="00CF1E9F">
      <w:pPr>
        <w:spacing w:after="0" w:line="240" w:lineRule="auto"/>
        <w:jc w:val="both"/>
        <w:rPr>
          <w:rFonts w:ascii="Arial" w:eastAsia="Times New Roman" w:hAnsi="Arial" w:cs="Arial"/>
          <w:lang w:eastAsia="fr-FR"/>
        </w:rPr>
      </w:pPr>
      <w:r>
        <w:rPr>
          <w:rFonts w:ascii="Arial" w:eastAsia="Times New Roman" w:hAnsi="Arial" w:cs="Arial"/>
          <w:lang w:eastAsia="fr-FR"/>
        </w:rPr>
        <w:t>Attendu que le requérant soutient qu’il n’y a pas lieu de retenir l’existence d’un manquement à ses obligations de contrôle dans la mesure où l’accord du conseil général était acquis en raison notamment de l’</w:t>
      </w:r>
      <w:r w:rsidR="00E85638">
        <w:rPr>
          <w:rFonts w:ascii="Arial" w:eastAsia="Times New Roman" w:hAnsi="Arial" w:cs="Arial"/>
          <w:lang w:eastAsia="fr-FR"/>
        </w:rPr>
        <w:t>inscription des conditions d’attribution de la prime de fin d’année en annexe du budget primitif</w:t>
      </w:r>
      <w:r>
        <w:rPr>
          <w:rFonts w:ascii="Arial" w:eastAsia="Times New Roman" w:hAnsi="Arial" w:cs="Arial"/>
          <w:lang w:eastAsia="fr-FR"/>
        </w:rPr>
        <w:t xml:space="preserve"> du conseil général ;</w:t>
      </w:r>
    </w:p>
    <w:p w:rsidR="00C06A03" w:rsidRDefault="00C06A03" w:rsidP="00C06A03">
      <w:pPr>
        <w:spacing w:after="0" w:line="240" w:lineRule="auto"/>
        <w:jc w:val="both"/>
        <w:rPr>
          <w:rFonts w:ascii="Arial" w:eastAsia="Times New Roman" w:hAnsi="Arial" w:cs="Arial"/>
          <w:lang w:eastAsia="fr-FR"/>
        </w:rPr>
      </w:pPr>
    </w:p>
    <w:p w:rsidR="0068779F" w:rsidRDefault="0068779F" w:rsidP="0068779F">
      <w:pPr>
        <w:spacing w:after="0" w:line="240" w:lineRule="auto"/>
        <w:jc w:val="both"/>
        <w:rPr>
          <w:rFonts w:ascii="Arial" w:hAnsi="Arial" w:cs="Arial"/>
        </w:rPr>
      </w:pPr>
      <w:r w:rsidRPr="00CB0860">
        <w:rPr>
          <w:rFonts w:ascii="Arial" w:eastAsia="Times New Roman" w:hAnsi="Arial" w:cs="Arial"/>
          <w:lang w:eastAsia="fr-FR"/>
        </w:rPr>
        <w:t>Attendu qu’en application du I</w:t>
      </w:r>
      <w:r w:rsidR="004F15C1">
        <w:rPr>
          <w:rFonts w:ascii="Arial" w:eastAsia="Times New Roman" w:hAnsi="Arial" w:cs="Arial"/>
          <w:lang w:eastAsia="fr-FR"/>
        </w:rPr>
        <w:t xml:space="preserve"> de</w:t>
      </w:r>
      <w:r w:rsidRPr="00CB0860">
        <w:rPr>
          <w:rFonts w:ascii="Arial" w:eastAsia="Times New Roman" w:hAnsi="Arial" w:cs="Arial"/>
          <w:lang w:eastAsia="fr-FR"/>
        </w:rPr>
        <w:t xml:space="preserve"> l’article 60 de la loi du 23 février 1963 susvisée, « </w:t>
      </w:r>
      <w:r w:rsidRPr="00CB0860">
        <w:rPr>
          <w:rFonts w:ascii="Arial" w:eastAsia="Times New Roman" w:hAnsi="Arial" w:cs="Arial"/>
          <w:i/>
          <w:lang w:eastAsia="fr-FR"/>
        </w:rPr>
        <w:t>Les comptables publics sont personnellement et pécuniairement responsables des contrôles qu’ils sont tenus d’assurer en matière</w:t>
      </w:r>
      <w:r w:rsidRPr="00CB0860">
        <w:rPr>
          <w:rFonts w:ascii="Arial" w:eastAsia="Times New Roman" w:hAnsi="Arial" w:cs="Arial"/>
          <w:lang w:eastAsia="fr-FR"/>
        </w:rPr>
        <w:t xml:space="preserve"> […] </w:t>
      </w:r>
      <w:r w:rsidRPr="00CB0860">
        <w:rPr>
          <w:rFonts w:ascii="Arial" w:eastAsia="Times New Roman" w:hAnsi="Arial" w:cs="Arial"/>
          <w:i/>
          <w:lang w:eastAsia="fr-FR"/>
        </w:rPr>
        <w:t>de dépenses</w:t>
      </w:r>
      <w:r w:rsidRPr="00CB0860">
        <w:rPr>
          <w:rFonts w:ascii="Arial" w:eastAsia="Times New Roman" w:hAnsi="Arial" w:cs="Arial"/>
          <w:lang w:eastAsia="fr-FR"/>
        </w:rPr>
        <w:t xml:space="preserve"> […] </w:t>
      </w:r>
      <w:r w:rsidRPr="00CB0860">
        <w:rPr>
          <w:rFonts w:ascii="Arial" w:eastAsia="Times New Roman" w:hAnsi="Arial" w:cs="Arial"/>
          <w:i/>
          <w:lang w:eastAsia="fr-FR"/>
        </w:rPr>
        <w:t>dans les conditions prévues par le règlement général sur la comptabilité publique</w:t>
      </w:r>
      <w:r w:rsidRPr="00CB0860">
        <w:rPr>
          <w:rFonts w:ascii="Arial" w:eastAsia="Times New Roman" w:hAnsi="Arial" w:cs="Arial"/>
          <w:lang w:eastAsia="fr-FR"/>
        </w:rPr>
        <w:t> » et que cette responsabilité « </w:t>
      </w:r>
      <w:r w:rsidRPr="00CB0860">
        <w:rPr>
          <w:rFonts w:ascii="Arial" w:eastAsia="Times New Roman" w:hAnsi="Arial" w:cs="Arial"/>
          <w:i/>
          <w:lang w:eastAsia="fr-FR"/>
        </w:rPr>
        <w:t xml:space="preserve">se trouve engagée </w:t>
      </w:r>
      <w:r w:rsidRPr="00CB0860">
        <w:rPr>
          <w:rFonts w:ascii="Arial" w:eastAsia="Times New Roman" w:hAnsi="Arial" w:cs="Arial"/>
          <w:lang w:eastAsia="fr-FR"/>
        </w:rPr>
        <w:t>[…]</w:t>
      </w:r>
      <w:r w:rsidRPr="00CB0860">
        <w:rPr>
          <w:rFonts w:ascii="Arial" w:eastAsia="Times New Roman" w:hAnsi="Arial" w:cs="Arial"/>
          <w:i/>
          <w:lang w:eastAsia="fr-FR"/>
        </w:rPr>
        <w:t xml:space="preserve"> dès lors qu’une dépense a été irrégulièrement payée..</w:t>
      </w:r>
      <w:r w:rsidRPr="00CB0860">
        <w:rPr>
          <w:rFonts w:ascii="Arial" w:eastAsia="Times New Roman" w:hAnsi="Arial" w:cs="Arial"/>
          <w:lang w:eastAsia="fr-FR"/>
        </w:rPr>
        <w:t> » ; que selon l’article 1</w:t>
      </w:r>
      <w:r w:rsidRPr="00692582">
        <w:rPr>
          <w:rFonts w:ascii="Arial" w:eastAsia="Times New Roman" w:hAnsi="Arial" w:cs="Arial"/>
          <w:lang w:eastAsia="fr-FR"/>
        </w:rPr>
        <w:t>2</w:t>
      </w:r>
      <w:r w:rsidRPr="00CB0860">
        <w:rPr>
          <w:rFonts w:ascii="Arial" w:eastAsia="Times New Roman" w:hAnsi="Arial" w:cs="Arial"/>
          <w:lang w:eastAsia="fr-FR"/>
        </w:rPr>
        <w:t xml:space="preserve"> du décret portant règlement général sur la comptabilité publique susvisé, « </w:t>
      </w:r>
      <w:r w:rsidRPr="00CB0860">
        <w:rPr>
          <w:rFonts w:ascii="Arial" w:eastAsia="Times New Roman" w:hAnsi="Arial" w:cs="Arial"/>
          <w:i/>
          <w:lang w:eastAsia="fr-FR"/>
        </w:rPr>
        <w:t xml:space="preserve">Les comptables sont tenus d'exercer </w:t>
      </w:r>
      <w:r w:rsidRPr="00CB0860">
        <w:rPr>
          <w:rFonts w:ascii="Arial" w:eastAsia="Times New Roman" w:hAnsi="Arial" w:cs="Arial"/>
          <w:lang w:eastAsia="fr-FR"/>
        </w:rPr>
        <w:t>[…]</w:t>
      </w:r>
      <w:r w:rsidRPr="00CB0860">
        <w:rPr>
          <w:rFonts w:ascii="Arial" w:eastAsia="Times New Roman" w:hAnsi="Arial" w:cs="Arial"/>
          <w:i/>
          <w:lang w:eastAsia="fr-FR"/>
        </w:rPr>
        <w:t xml:space="preserve"> B - En matière de dépenses, le contrôle </w:t>
      </w:r>
      <w:r w:rsidRPr="00CB0860">
        <w:rPr>
          <w:rFonts w:ascii="Arial" w:eastAsia="Times New Roman" w:hAnsi="Arial" w:cs="Arial"/>
          <w:lang w:eastAsia="fr-FR"/>
        </w:rPr>
        <w:t>[…]</w:t>
      </w:r>
      <w:r w:rsidRPr="00692582">
        <w:rPr>
          <w:rFonts w:ascii="Arial" w:eastAsia="Times New Roman" w:hAnsi="Arial" w:cs="Arial"/>
          <w:lang w:eastAsia="fr-FR"/>
        </w:rPr>
        <w:t xml:space="preserve"> d</w:t>
      </w:r>
      <w:r w:rsidRPr="00692582">
        <w:rPr>
          <w:rFonts w:ascii="Arial" w:eastAsia="Times New Roman" w:hAnsi="Arial" w:cs="Arial"/>
          <w:i/>
          <w:lang w:eastAsia="fr-FR"/>
        </w:rPr>
        <w:t xml:space="preserve">e la validité de la créance dans les conditions prévues à l'article 13 ci-après ; </w:t>
      </w:r>
      <w:r w:rsidRPr="00692582">
        <w:rPr>
          <w:rFonts w:ascii="Arial" w:eastAsia="Times New Roman" w:hAnsi="Arial" w:cs="Arial"/>
          <w:lang w:eastAsia="fr-FR"/>
        </w:rPr>
        <w:t>que selon cet article 13,</w:t>
      </w:r>
      <w:r w:rsidRPr="00692582">
        <w:rPr>
          <w:rFonts w:ascii="Arial" w:eastAsia="Times New Roman" w:hAnsi="Arial" w:cs="Arial"/>
          <w:i/>
          <w:lang w:eastAsia="fr-FR"/>
        </w:rPr>
        <w:t xml:space="preserve"> « </w:t>
      </w:r>
      <w:r w:rsidRPr="00692582">
        <w:rPr>
          <w:rFonts w:ascii="Arial" w:hAnsi="Arial" w:cs="Arial"/>
          <w:i/>
        </w:rPr>
        <w:t>En ce qui concerne la validité de la créance, le contrôle porte sur</w:t>
      </w:r>
      <w:r w:rsidRPr="00692582">
        <w:rPr>
          <w:rFonts w:ascii="Arial" w:hAnsi="Arial" w:cs="Arial"/>
        </w:rPr>
        <w:t xml:space="preserve"> […] </w:t>
      </w:r>
      <w:r w:rsidRPr="00692582">
        <w:rPr>
          <w:rFonts w:ascii="Arial" w:hAnsi="Arial" w:cs="Arial"/>
          <w:i/>
        </w:rPr>
        <w:t>la production des justifications </w:t>
      </w:r>
      <w:r w:rsidRPr="00692582">
        <w:rPr>
          <w:rFonts w:ascii="Arial" w:hAnsi="Arial" w:cs="Arial"/>
        </w:rPr>
        <w:t>» ;</w:t>
      </w:r>
    </w:p>
    <w:p w:rsidR="0068779F" w:rsidRDefault="0068779F" w:rsidP="0068779F">
      <w:pPr>
        <w:spacing w:after="0" w:line="240" w:lineRule="auto"/>
        <w:jc w:val="both"/>
        <w:rPr>
          <w:rFonts w:ascii="Arial" w:hAnsi="Arial" w:cs="Arial"/>
        </w:rPr>
      </w:pPr>
    </w:p>
    <w:p w:rsidR="0068779F" w:rsidRDefault="0068779F" w:rsidP="0068779F">
      <w:pPr>
        <w:spacing w:after="0" w:line="240" w:lineRule="auto"/>
        <w:jc w:val="both"/>
        <w:rPr>
          <w:rFonts w:ascii="Arial" w:hAnsi="Arial" w:cs="Arial"/>
        </w:rPr>
      </w:pPr>
      <w:r>
        <w:rPr>
          <w:rFonts w:ascii="Arial" w:eastAsia="Times New Roman" w:hAnsi="Arial" w:cs="Arial"/>
          <w:lang w:eastAsia="fr-FR"/>
        </w:rPr>
        <w:t xml:space="preserve">Attendu que les comptables ne peuvent </w:t>
      </w:r>
      <w:r w:rsidRPr="000917A4">
        <w:rPr>
          <w:rFonts w:ascii="Arial" w:eastAsia="Times New Roman" w:hAnsi="Arial" w:cs="Arial"/>
          <w:lang w:eastAsia="fr-FR"/>
        </w:rPr>
        <w:t xml:space="preserve">procéder au paiement qu’au vu des pièces prescrites par la réglementation, sans pouvoir leur substituer, de </w:t>
      </w:r>
      <w:r>
        <w:rPr>
          <w:rFonts w:ascii="Arial" w:eastAsia="Times New Roman" w:hAnsi="Arial" w:cs="Arial"/>
          <w:lang w:eastAsia="fr-FR"/>
        </w:rPr>
        <w:t>leur</w:t>
      </w:r>
      <w:r w:rsidRPr="000917A4">
        <w:rPr>
          <w:rFonts w:ascii="Arial" w:eastAsia="Times New Roman" w:hAnsi="Arial" w:cs="Arial"/>
          <w:lang w:eastAsia="fr-FR"/>
        </w:rPr>
        <w:t xml:space="preserve"> propre chef ou non, d’autres justifications particulières, fussent-elles à leurs yeux </w:t>
      </w:r>
      <w:proofErr w:type="gramStart"/>
      <w:r w:rsidRPr="000917A4">
        <w:rPr>
          <w:rFonts w:ascii="Arial" w:eastAsia="Times New Roman" w:hAnsi="Arial" w:cs="Arial"/>
          <w:lang w:eastAsia="fr-FR"/>
        </w:rPr>
        <w:t>équivalentes</w:t>
      </w:r>
      <w:proofErr w:type="gramEnd"/>
      <w:r>
        <w:rPr>
          <w:rFonts w:ascii="Arial" w:eastAsia="Times New Roman" w:hAnsi="Arial" w:cs="Arial"/>
          <w:lang w:eastAsia="fr-FR"/>
        </w:rPr>
        <w:t> ;</w:t>
      </w:r>
    </w:p>
    <w:p w:rsidR="0068779F" w:rsidRDefault="0068779F" w:rsidP="0068779F">
      <w:pPr>
        <w:spacing w:after="0" w:line="240" w:lineRule="auto"/>
        <w:jc w:val="both"/>
        <w:rPr>
          <w:rFonts w:ascii="Arial" w:hAnsi="Arial" w:cs="Arial"/>
        </w:rPr>
      </w:pPr>
    </w:p>
    <w:p w:rsidR="00696C17" w:rsidRDefault="00A003F6" w:rsidP="003C55E0">
      <w:pPr>
        <w:spacing w:after="0" w:line="240" w:lineRule="auto"/>
        <w:jc w:val="both"/>
        <w:rPr>
          <w:rFonts w:ascii="Arial" w:eastAsia="Times New Roman" w:hAnsi="Arial" w:cs="Arial"/>
          <w:lang w:eastAsia="fr-FR"/>
        </w:rPr>
      </w:pPr>
      <w:r>
        <w:rPr>
          <w:rFonts w:ascii="Arial" w:eastAsia="Times New Roman" w:hAnsi="Arial" w:cs="Arial"/>
          <w:lang w:eastAsia="fr-FR"/>
        </w:rPr>
        <w:t>Attendu</w:t>
      </w:r>
      <w:r w:rsidR="003C55E0">
        <w:rPr>
          <w:rFonts w:ascii="Arial" w:eastAsia="Times New Roman" w:hAnsi="Arial" w:cs="Arial"/>
          <w:lang w:eastAsia="fr-FR"/>
        </w:rPr>
        <w:t xml:space="preserve"> que conformément </w:t>
      </w:r>
      <w:r w:rsidR="0068779F">
        <w:rPr>
          <w:rFonts w:ascii="Arial" w:eastAsia="Times New Roman" w:hAnsi="Arial" w:cs="Arial"/>
          <w:lang w:eastAsia="fr-FR"/>
        </w:rPr>
        <w:t xml:space="preserve">à </w:t>
      </w:r>
      <w:r w:rsidR="003C55E0">
        <w:rPr>
          <w:rFonts w:ascii="Arial" w:eastAsia="Times New Roman" w:hAnsi="Arial" w:cs="Arial"/>
          <w:lang w:eastAsia="fr-FR"/>
        </w:rPr>
        <w:t xml:space="preserve">la rubrique 210223 de l’annexe </w:t>
      </w:r>
      <w:r w:rsidR="004F15C1">
        <w:rPr>
          <w:rFonts w:ascii="Arial" w:eastAsia="Times New Roman" w:hAnsi="Arial" w:cs="Arial"/>
          <w:lang w:eastAsia="fr-FR"/>
        </w:rPr>
        <w:t xml:space="preserve">I </w:t>
      </w:r>
      <w:r w:rsidR="003C55E0">
        <w:rPr>
          <w:rFonts w:ascii="Arial" w:eastAsia="Times New Roman" w:hAnsi="Arial" w:cs="Arial"/>
          <w:lang w:eastAsia="fr-FR"/>
        </w:rPr>
        <w:t>de l’article D. 1617-19 du code général des collectivités territoriales susvisé, le comptable ne pouvait valablement payer l</w:t>
      </w:r>
      <w:r w:rsidR="00EC1A33">
        <w:rPr>
          <w:rFonts w:ascii="Arial" w:eastAsia="Times New Roman" w:hAnsi="Arial" w:cs="Arial"/>
          <w:lang w:eastAsia="fr-FR"/>
        </w:rPr>
        <w:t>a prime</w:t>
      </w:r>
      <w:r w:rsidR="003C55E0">
        <w:rPr>
          <w:rFonts w:ascii="Arial" w:eastAsia="Times New Roman" w:hAnsi="Arial" w:cs="Arial"/>
          <w:lang w:eastAsia="fr-FR"/>
        </w:rPr>
        <w:t xml:space="preserve"> de fin d’année que s’il disposait, entre autres, d’une </w:t>
      </w:r>
      <w:r w:rsidR="003C55E0" w:rsidRPr="003C55E0">
        <w:rPr>
          <w:rFonts w:ascii="Arial" w:eastAsia="Times New Roman" w:hAnsi="Arial" w:cs="Arial"/>
          <w:lang w:eastAsia="fr-FR"/>
        </w:rPr>
        <w:t>décision de l'assemblée délibérante fixant la nature, les conditions d'attribution et le taux moyen des indemnités</w:t>
      </w:r>
      <w:r w:rsidR="003C55E0">
        <w:rPr>
          <w:rFonts w:ascii="Arial" w:eastAsia="Times New Roman" w:hAnsi="Arial" w:cs="Arial"/>
          <w:lang w:eastAsia="fr-FR"/>
        </w:rPr>
        <w:t xml:space="preserve"> ; </w:t>
      </w:r>
    </w:p>
    <w:p w:rsidR="009368BE" w:rsidRDefault="009368BE" w:rsidP="003C55E0">
      <w:pPr>
        <w:spacing w:after="0" w:line="240" w:lineRule="auto"/>
        <w:jc w:val="both"/>
        <w:rPr>
          <w:rFonts w:ascii="Arial" w:eastAsia="Times New Roman" w:hAnsi="Arial" w:cs="Arial"/>
          <w:lang w:eastAsia="fr-FR"/>
        </w:rPr>
      </w:pPr>
    </w:p>
    <w:p w:rsidR="009368BE" w:rsidRDefault="009368BE" w:rsidP="003C55E0">
      <w:pPr>
        <w:spacing w:after="0" w:line="240" w:lineRule="auto"/>
        <w:jc w:val="both"/>
        <w:rPr>
          <w:rFonts w:ascii="Arial" w:eastAsia="Times New Roman" w:hAnsi="Arial" w:cs="Arial"/>
          <w:lang w:eastAsia="fr-FR"/>
        </w:rPr>
      </w:pPr>
      <w:r>
        <w:rPr>
          <w:rFonts w:ascii="Arial" w:eastAsia="Times New Roman" w:hAnsi="Arial" w:cs="Arial"/>
          <w:lang w:eastAsia="fr-FR"/>
        </w:rPr>
        <w:t>Attendu qu</w:t>
      </w:r>
      <w:r w:rsidR="007059C5">
        <w:rPr>
          <w:rFonts w:ascii="Arial" w:eastAsia="Times New Roman" w:hAnsi="Arial" w:cs="Arial"/>
          <w:lang w:eastAsia="fr-FR"/>
        </w:rPr>
        <w:t>’aucune des pi</w:t>
      </w:r>
      <w:r w:rsidR="00E3137E">
        <w:rPr>
          <w:rFonts w:ascii="Arial" w:eastAsia="Times New Roman" w:hAnsi="Arial" w:cs="Arial"/>
          <w:lang w:eastAsia="fr-FR"/>
        </w:rPr>
        <w:t>èces présenté</w:t>
      </w:r>
      <w:r w:rsidR="004F15C1">
        <w:rPr>
          <w:rFonts w:ascii="Arial" w:eastAsia="Times New Roman" w:hAnsi="Arial" w:cs="Arial"/>
          <w:lang w:eastAsia="fr-FR"/>
        </w:rPr>
        <w:t>e</w:t>
      </w:r>
      <w:r w:rsidR="00E3137E">
        <w:rPr>
          <w:rFonts w:ascii="Arial" w:eastAsia="Times New Roman" w:hAnsi="Arial" w:cs="Arial"/>
          <w:lang w:eastAsia="fr-FR"/>
        </w:rPr>
        <w:t xml:space="preserve">s par le comptable, à savoir deux extraits de comptes rendus de séances du conseil général des 14 décembre 1962 et du 29 avril 1966 de portée générale et n’évoquant pas l’instauration d’une prime de fin d’année, et deux délibérations en date respectivement du 9 décembre 2004 et du 7 décembre 2006 portant sur les seules conditions de revalorisation de ladite prime, </w:t>
      </w:r>
      <w:r w:rsidR="007059C5">
        <w:rPr>
          <w:rFonts w:ascii="Arial" w:eastAsia="Times New Roman" w:hAnsi="Arial" w:cs="Arial"/>
          <w:lang w:eastAsia="fr-FR"/>
        </w:rPr>
        <w:t>ne constitue une décision de l’assemblée délibérante fixant la nature, les conditions d’attribution et le taux moyen des indemnités ; que dès lors</w:t>
      </w:r>
      <w:r>
        <w:rPr>
          <w:rFonts w:ascii="Arial" w:eastAsia="Times New Roman" w:hAnsi="Arial" w:cs="Arial"/>
          <w:lang w:eastAsia="fr-FR"/>
        </w:rPr>
        <w:t xml:space="preserve"> M. </w:t>
      </w:r>
      <w:r w:rsidR="00FA2097">
        <w:rPr>
          <w:rFonts w:ascii="Arial" w:eastAsia="Times New Roman" w:hAnsi="Arial" w:cs="Arial"/>
          <w:lang w:eastAsia="fr-FR"/>
        </w:rPr>
        <w:t xml:space="preserve">X </w:t>
      </w:r>
      <w:r>
        <w:rPr>
          <w:rFonts w:ascii="Arial" w:eastAsia="Times New Roman" w:hAnsi="Arial" w:cs="Arial"/>
          <w:lang w:eastAsia="fr-FR"/>
        </w:rPr>
        <w:t>a procédé aux paiements litigieux sans disposer des pièces requises</w:t>
      </w:r>
      <w:r w:rsidR="00452B73">
        <w:rPr>
          <w:rFonts w:ascii="Arial" w:eastAsia="Times New Roman" w:hAnsi="Arial" w:cs="Arial"/>
          <w:lang w:eastAsia="fr-FR"/>
        </w:rPr>
        <w:t xml:space="preserve"> </w:t>
      </w:r>
      <w:r>
        <w:rPr>
          <w:rFonts w:ascii="Arial" w:eastAsia="Times New Roman" w:hAnsi="Arial" w:cs="Arial"/>
          <w:lang w:eastAsia="fr-FR"/>
        </w:rPr>
        <w:t>par la nomenclature ; que ce faisant il n’a pu contrôler l’e</w:t>
      </w:r>
      <w:r w:rsidR="00BD22D0">
        <w:rPr>
          <w:rFonts w:ascii="Arial" w:eastAsia="Times New Roman" w:hAnsi="Arial" w:cs="Arial"/>
          <w:lang w:eastAsia="fr-FR"/>
        </w:rPr>
        <w:t>xact</w:t>
      </w:r>
      <w:r w:rsidR="00A003F6">
        <w:rPr>
          <w:rFonts w:ascii="Arial" w:eastAsia="Times New Roman" w:hAnsi="Arial" w:cs="Arial"/>
          <w:lang w:eastAsia="fr-FR"/>
        </w:rPr>
        <w:t>e</w:t>
      </w:r>
      <w:r w:rsidR="00BD22D0">
        <w:rPr>
          <w:rFonts w:ascii="Arial" w:eastAsia="Times New Roman" w:hAnsi="Arial" w:cs="Arial"/>
          <w:lang w:eastAsia="fr-FR"/>
        </w:rPr>
        <w:t xml:space="preserve"> liquidation de la dépense</w:t>
      </w:r>
      <w:r w:rsidR="00452B73">
        <w:rPr>
          <w:rFonts w:ascii="Arial" w:eastAsia="Times New Roman" w:hAnsi="Arial" w:cs="Arial"/>
          <w:lang w:eastAsia="fr-FR"/>
        </w:rPr>
        <w:t xml:space="preserve"> </w:t>
      </w:r>
      <w:r w:rsidR="00BD22D0">
        <w:rPr>
          <w:rFonts w:ascii="Arial" w:eastAsia="Times New Roman" w:hAnsi="Arial" w:cs="Arial"/>
          <w:lang w:eastAsia="fr-FR"/>
        </w:rPr>
        <w:t>et</w:t>
      </w:r>
      <w:r>
        <w:rPr>
          <w:rFonts w:ascii="Arial" w:eastAsia="Times New Roman" w:hAnsi="Arial" w:cs="Arial"/>
          <w:lang w:eastAsia="fr-FR"/>
        </w:rPr>
        <w:t xml:space="preserve"> qu’ainsi il a manqué à ses obligations de contrôle prévues à l’article 12 du décret du 29 décembre 1962 ; que par conséquent c’est à </w:t>
      </w:r>
      <w:r w:rsidR="0068779F">
        <w:rPr>
          <w:rFonts w:ascii="Arial" w:eastAsia="Times New Roman" w:hAnsi="Arial" w:cs="Arial"/>
          <w:lang w:eastAsia="fr-FR"/>
        </w:rPr>
        <w:t>bon droit que la</w:t>
      </w:r>
      <w:r w:rsidR="00A003F6">
        <w:rPr>
          <w:rFonts w:ascii="Arial" w:eastAsia="Times New Roman" w:hAnsi="Arial" w:cs="Arial"/>
          <w:lang w:eastAsia="fr-FR"/>
        </w:rPr>
        <w:t xml:space="preserve"> </w:t>
      </w:r>
      <w:r>
        <w:rPr>
          <w:rFonts w:ascii="Arial" w:eastAsia="Times New Roman" w:hAnsi="Arial" w:cs="Arial"/>
          <w:lang w:eastAsia="fr-FR"/>
        </w:rPr>
        <w:t>chambre régionale</w:t>
      </w:r>
      <w:r w:rsidR="00452B73">
        <w:rPr>
          <w:rFonts w:ascii="Arial" w:eastAsia="Times New Roman" w:hAnsi="Arial" w:cs="Arial"/>
          <w:lang w:eastAsia="fr-FR"/>
        </w:rPr>
        <w:t xml:space="preserve"> </w:t>
      </w:r>
      <w:r w:rsidR="0068779F">
        <w:rPr>
          <w:rFonts w:ascii="Arial" w:eastAsia="Times New Roman" w:hAnsi="Arial" w:cs="Arial"/>
          <w:lang w:eastAsia="fr-FR"/>
        </w:rPr>
        <w:t>a mis en jeu sa responsabilité personnelle et pécuniaire</w:t>
      </w:r>
      <w:r w:rsidR="00452B73">
        <w:rPr>
          <w:rFonts w:ascii="Arial" w:eastAsia="Times New Roman" w:hAnsi="Arial" w:cs="Arial"/>
          <w:lang w:eastAsia="fr-FR"/>
        </w:rPr>
        <w:t> </w:t>
      </w:r>
      <w:r>
        <w:rPr>
          <w:rFonts w:ascii="Arial" w:eastAsia="Times New Roman" w:hAnsi="Arial" w:cs="Arial"/>
          <w:lang w:eastAsia="fr-FR"/>
        </w:rPr>
        <w:t xml:space="preserve">; qu’il convient </w:t>
      </w:r>
      <w:r w:rsidR="0068779F">
        <w:rPr>
          <w:rFonts w:ascii="Arial" w:eastAsia="Times New Roman" w:hAnsi="Arial" w:cs="Arial"/>
          <w:lang w:eastAsia="fr-FR"/>
        </w:rPr>
        <w:t xml:space="preserve">donc </w:t>
      </w:r>
      <w:r>
        <w:rPr>
          <w:rFonts w:ascii="Arial" w:eastAsia="Times New Roman" w:hAnsi="Arial" w:cs="Arial"/>
          <w:lang w:eastAsia="fr-FR"/>
        </w:rPr>
        <w:t>de rejeter son moyen</w:t>
      </w:r>
      <w:r w:rsidR="002061ED">
        <w:rPr>
          <w:rFonts w:ascii="Arial" w:eastAsia="Times New Roman" w:hAnsi="Arial" w:cs="Arial"/>
          <w:lang w:eastAsia="fr-FR"/>
        </w:rPr>
        <w:t> ;</w:t>
      </w:r>
    </w:p>
    <w:p w:rsidR="002061ED" w:rsidRDefault="002061ED" w:rsidP="003C55E0">
      <w:pPr>
        <w:spacing w:after="0" w:line="240" w:lineRule="auto"/>
        <w:jc w:val="both"/>
        <w:rPr>
          <w:rFonts w:ascii="Arial" w:eastAsia="Times New Roman" w:hAnsi="Arial" w:cs="Arial"/>
          <w:lang w:eastAsia="fr-FR"/>
        </w:rPr>
      </w:pPr>
    </w:p>
    <w:p w:rsidR="002061ED" w:rsidRPr="00A003F6" w:rsidRDefault="002061ED" w:rsidP="003C55E0">
      <w:pPr>
        <w:spacing w:after="0" w:line="240" w:lineRule="auto"/>
        <w:jc w:val="both"/>
        <w:rPr>
          <w:rFonts w:ascii="Arial" w:eastAsia="Times New Roman" w:hAnsi="Arial" w:cs="Arial"/>
          <w:b/>
          <w:i/>
          <w:lang w:eastAsia="fr-FR"/>
        </w:rPr>
      </w:pPr>
      <w:r w:rsidRPr="00A003F6">
        <w:rPr>
          <w:rFonts w:ascii="Arial" w:eastAsia="Times New Roman" w:hAnsi="Arial" w:cs="Arial"/>
          <w:b/>
          <w:i/>
          <w:lang w:eastAsia="fr-FR"/>
        </w:rPr>
        <w:lastRenderedPageBreak/>
        <w:t>Sur l’existence d’un préjudice financier</w:t>
      </w:r>
      <w:r w:rsidR="00DC6F6C" w:rsidRPr="00A003F6">
        <w:rPr>
          <w:rFonts w:ascii="Arial" w:eastAsia="Times New Roman" w:hAnsi="Arial" w:cs="Arial"/>
          <w:b/>
          <w:i/>
          <w:lang w:eastAsia="fr-FR"/>
        </w:rPr>
        <w:t xml:space="preserve"> </w:t>
      </w:r>
    </w:p>
    <w:p w:rsidR="002061ED" w:rsidRDefault="002061ED" w:rsidP="003C55E0">
      <w:pPr>
        <w:spacing w:after="0" w:line="240" w:lineRule="auto"/>
        <w:jc w:val="both"/>
        <w:rPr>
          <w:rFonts w:ascii="Arial" w:eastAsia="Times New Roman" w:hAnsi="Arial" w:cs="Arial"/>
          <w:lang w:eastAsia="fr-FR"/>
        </w:rPr>
      </w:pPr>
    </w:p>
    <w:p w:rsidR="002061ED" w:rsidRDefault="002061ED" w:rsidP="003C55E0">
      <w:pPr>
        <w:spacing w:after="0" w:line="240" w:lineRule="auto"/>
        <w:jc w:val="both"/>
        <w:rPr>
          <w:rFonts w:ascii="Arial" w:eastAsia="Times New Roman" w:hAnsi="Arial" w:cs="Arial"/>
          <w:lang w:eastAsia="fr-FR"/>
        </w:rPr>
      </w:pPr>
      <w:r>
        <w:rPr>
          <w:rFonts w:ascii="Arial" w:eastAsia="Times New Roman" w:hAnsi="Arial" w:cs="Arial"/>
          <w:lang w:eastAsia="fr-FR"/>
        </w:rPr>
        <w:t>Attendu que M.</w:t>
      </w:r>
      <w:r w:rsidR="007A4FB8">
        <w:rPr>
          <w:rFonts w:ascii="Arial" w:eastAsia="Times New Roman" w:hAnsi="Arial" w:cs="Arial"/>
          <w:lang w:eastAsia="fr-FR"/>
        </w:rPr>
        <w:t> </w:t>
      </w:r>
      <w:r w:rsidR="00AA42D9">
        <w:rPr>
          <w:rFonts w:ascii="Arial" w:eastAsia="Times New Roman" w:hAnsi="Arial" w:cs="Arial"/>
          <w:lang w:eastAsia="fr-FR"/>
        </w:rPr>
        <w:t>X</w:t>
      </w:r>
      <w:r>
        <w:rPr>
          <w:rFonts w:ascii="Arial" w:eastAsia="Times New Roman" w:hAnsi="Arial" w:cs="Arial"/>
          <w:lang w:eastAsia="fr-FR"/>
        </w:rPr>
        <w:t xml:space="preserve"> </w:t>
      </w:r>
      <w:r w:rsidR="00BF58FF">
        <w:rPr>
          <w:rFonts w:ascii="Arial" w:eastAsia="Times New Roman" w:hAnsi="Arial" w:cs="Arial"/>
          <w:lang w:eastAsia="fr-FR"/>
        </w:rPr>
        <w:t xml:space="preserve">conteste que son manquement </w:t>
      </w:r>
      <w:proofErr w:type="gramStart"/>
      <w:r w:rsidR="00BF58FF">
        <w:rPr>
          <w:rFonts w:ascii="Arial" w:eastAsia="Times New Roman" w:hAnsi="Arial" w:cs="Arial"/>
          <w:lang w:eastAsia="fr-FR"/>
        </w:rPr>
        <w:t>aurait</w:t>
      </w:r>
      <w:proofErr w:type="gramEnd"/>
      <w:r w:rsidR="00BF58FF">
        <w:rPr>
          <w:rFonts w:ascii="Arial" w:eastAsia="Times New Roman" w:hAnsi="Arial" w:cs="Arial"/>
          <w:lang w:eastAsia="fr-FR"/>
        </w:rPr>
        <w:t xml:space="preserve"> </w:t>
      </w:r>
      <w:r>
        <w:rPr>
          <w:rFonts w:ascii="Arial" w:eastAsia="Times New Roman" w:hAnsi="Arial" w:cs="Arial"/>
          <w:lang w:eastAsia="fr-FR"/>
        </w:rPr>
        <w:t>entraîné un préjudice financier pour le département du Jura ;</w:t>
      </w:r>
      <w:r w:rsidR="00CA719C">
        <w:rPr>
          <w:rFonts w:ascii="Arial" w:eastAsia="Times New Roman" w:hAnsi="Arial" w:cs="Arial"/>
          <w:lang w:eastAsia="fr-FR"/>
        </w:rPr>
        <w:t xml:space="preserve"> </w:t>
      </w:r>
    </w:p>
    <w:p w:rsidR="002061ED" w:rsidRDefault="002061ED" w:rsidP="003C55E0">
      <w:pPr>
        <w:spacing w:after="0" w:line="240" w:lineRule="auto"/>
        <w:jc w:val="both"/>
        <w:rPr>
          <w:rFonts w:ascii="Arial" w:eastAsia="Times New Roman" w:hAnsi="Arial" w:cs="Arial"/>
          <w:lang w:eastAsia="fr-FR"/>
        </w:rPr>
      </w:pPr>
    </w:p>
    <w:p w:rsidR="002061ED" w:rsidRPr="002061ED" w:rsidRDefault="002061ED" w:rsidP="003C55E0">
      <w:pPr>
        <w:spacing w:after="0" w:line="240" w:lineRule="auto"/>
        <w:jc w:val="both"/>
        <w:rPr>
          <w:rFonts w:ascii="Arial" w:eastAsia="Times New Roman" w:hAnsi="Arial" w:cs="Arial"/>
          <w:lang w:eastAsia="fr-FR"/>
        </w:rPr>
      </w:pPr>
      <w:r>
        <w:rPr>
          <w:rFonts w:ascii="Arial" w:eastAsia="Times New Roman" w:hAnsi="Arial" w:cs="Arial"/>
          <w:lang w:eastAsia="fr-FR"/>
        </w:rPr>
        <w:t>Attendu qu</w:t>
      </w:r>
      <w:r w:rsidR="00A1586C">
        <w:rPr>
          <w:rFonts w:ascii="Arial" w:eastAsia="Times New Roman" w:hAnsi="Arial" w:cs="Arial"/>
          <w:lang w:eastAsia="fr-FR"/>
        </w:rPr>
        <w:t>’au soutien de son moyen</w:t>
      </w:r>
      <w:r>
        <w:rPr>
          <w:rFonts w:ascii="Arial" w:eastAsia="Times New Roman" w:hAnsi="Arial" w:cs="Arial"/>
          <w:lang w:eastAsia="fr-FR"/>
        </w:rPr>
        <w:t xml:space="preserve"> M. </w:t>
      </w:r>
      <w:r w:rsidR="00FA2097">
        <w:rPr>
          <w:rFonts w:ascii="Arial" w:eastAsia="Times New Roman" w:hAnsi="Arial" w:cs="Arial"/>
          <w:lang w:eastAsia="fr-FR"/>
        </w:rPr>
        <w:t xml:space="preserve">X </w:t>
      </w:r>
      <w:r w:rsidR="00A1586C">
        <w:rPr>
          <w:rFonts w:ascii="Arial" w:eastAsia="Times New Roman" w:hAnsi="Arial" w:cs="Arial"/>
          <w:lang w:eastAsia="fr-FR"/>
        </w:rPr>
        <w:t xml:space="preserve">fait état du courrier du président du conseil général du Jura du 25 février 2014 dans lequel ce dernier indique que sa collectivité n’a subi aucun préjudice ; qu’il </w:t>
      </w:r>
      <w:r w:rsidR="00AF4FE0">
        <w:rPr>
          <w:rFonts w:ascii="Arial" w:eastAsia="Times New Roman" w:hAnsi="Arial" w:cs="Arial"/>
          <w:lang w:eastAsia="fr-FR"/>
        </w:rPr>
        <w:t>fait valoir</w:t>
      </w:r>
      <w:r>
        <w:rPr>
          <w:rFonts w:ascii="Arial" w:eastAsia="Times New Roman" w:hAnsi="Arial" w:cs="Arial"/>
          <w:lang w:eastAsia="fr-FR"/>
        </w:rPr>
        <w:t xml:space="preserve"> que la volonté de l’organe délibérant était « </w:t>
      </w:r>
      <w:r>
        <w:rPr>
          <w:rFonts w:ascii="Arial" w:eastAsia="Times New Roman" w:hAnsi="Arial" w:cs="Arial"/>
          <w:i/>
          <w:lang w:eastAsia="fr-FR"/>
        </w:rPr>
        <w:t>non équivoque</w:t>
      </w:r>
      <w:r>
        <w:rPr>
          <w:rFonts w:ascii="Arial" w:eastAsia="Times New Roman" w:hAnsi="Arial" w:cs="Arial"/>
          <w:lang w:eastAsia="fr-FR"/>
        </w:rPr>
        <w:t> » au moment des paiements litigieux</w:t>
      </w:r>
      <w:r w:rsidR="00682138">
        <w:rPr>
          <w:rFonts w:ascii="Arial" w:eastAsia="Times New Roman" w:hAnsi="Arial" w:cs="Arial"/>
          <w:lang w:eastAsia="fr-FR"/>
        </w:rPr>
        <w:t xml:space="preserve">, </w:t>
      </w:r>
      <w:r w:rsidR="00BF58FF">
        <w:rPr>
          <w:rFonts w:ascii="Arial" w:eastAsia="Times New Roman" w:hAnsi="Arial" w:cs="Arial"/>
          <w:lang w:eastAsia="fr-FR"/>
        </w:rPr>
        <w:t>du fait</w:t>
      </w:r>
      <w:r w:rsidR="00682138">
        <w:rPr>
          <w:rFonts w:ascii="Arial" w:eastAsia="Times New Roman" w:hAnsi="Arial" w:cs="Arial"/>
          <w:lang w:eastAsia="fr-FR"/>
        </w:rPr>
        <w:t xml:space="preserve"> de l’inscription des crédits correspondant à la prime de fin d’année au budget primitif, d’arrêtés individuels par le président du conseil général et  de délibérations</w:t>
      </w:r>
      <w:r>
        <w:rPr>
          <w:rFonts w:ascii="Arial" w:eastAsia="Times New Roman" w:hAnsi="Arial" w:cs="Arial"/>
          <w:lang w:eastAsia="fr-FR"/>
        </w:rPr>
        <w:t> ; qu’il rappelle que la prime de fin d’année est versée de manière continue depuis 1962</w:t>
      </w:r>
      <w:r w:rsidR="00452B73">
        <w:rPr>
          <w:rFonts w:ascii="Arial" w:eastAsia="Times New Roman" w:hAnsi="Arial" w:cs="Arial"/>
          <w:lang w:eastAsia="fr-FR"/>
        </w:rPr>
        <w:t xml:space="preserve"> </w:t>
      </w:r>
      <w:r w:rsidR="00AF4FE0">
        <w:rPr>
          <w:rFonts w:ascii="Arial" w:eastAsia="Times New Roman" w:hAnsi="Arial" w:cs="Arial"/>
          <w:lang w:eastAsia="fr-FR"/>
        </w:rPr>
        <w:t xml:space="preserve">et qu’aucun des précédents rapports </w:t>
      </w:r>
      <w:r w:rsidR="00D51B12">
        <w:rPr>
          <w:rFonts w:ascii="Arial" w:eastAsia="Times New Roman" w:hAnsi="Arial" w:cs="Arial"/>
          <w:lang w:eastAsia="fr-FR"/>
        </w:rPr>
        <w:t xml:space="preserve">d’observations sur la gestion </w:t>
      </w:r>
      <w:r w:rsidR="00AF4FE0">
        <w:rPr>
          <w:rFonts w:ascii="Arial" w:eastAsia="Times New Roman" w:hAnsi="Arial" w:cs="Arial"/>
          <w:lang w:eastAsia="fr-FR"/>
        </w:rPr>
        <w:t xml:space="preserve">ni aucun des jugements successifs des comptes n’ont critiqué ou condamné cette pratique ; qu’il soutient que les versements effectués </w:t>
      </w:r>
      <w:r w:rsidR="00DD3489">
        <w:rPr>
          <w:rFonts w:ascii="Arial" w:eastAsia="Times New Roman" w:hAnsi="Arial" w:cs="Arial"/>
          <w:lang w:eastAsia="fr-FR"/>
        </w:rPr>
        <w:t>étaient</w:t>
      </w:r>
      <w:r w:rsidR="00AF4FE0">
        <w:rPr>
          <w:rFonts w:ascii="Arial" w:eastAsia="Times New Roman" w:hAnsi="Arial" w:cs="Arial"/>
          <w:lang w:eastAsia="fr-FR"/>
        </w:rPr>
        <w:t xml:space="preserve"> conformes </w:t>
      </w:r>
      <w:r w:rsidR="00E150CA">
        <w:rPr>
          <w:rFonts w:ascii="Arial" w:eastAsia="Times New Roman" w:hAnsi="Arial" w:cs="Arial"/>
          <w:lang w:eastAsia="fr-FR"/>
        </w:rPr>
        <w:t>aux sommes inscrites au budget primitif</w:t>
      </w:r>
      <w:r w:rsidR="00A1586C">
        <w:rPr>
          <w:rFonts w:ascii="Arial" w:eastAsia="Times New Roman" w:hAnsi="Arial" w:cs="Arial"/>
          <w:lang w:eastAsia="fr-FR"/>
        </w:rPr>
        <w:t> ;</w:t>
      </w:r>
    </w:p>
    <w:p w:rsidR="000917A4" w:rsidRDefault="000917A4" w:rsidP="003C55E0">
      <w:pPr>
        <w:spacing w:after="0" w:line="240" w:lineRule="auto"/>
        <w:jc w:val="both"/>
        <w:rPr>
          <w:rFonts w:ascii="Arial" w:eastAsia="Times New Roman" w:hAnsi="Arial" w:cs="Arial"/>
          <w:lang w:eastAsia="fr-FR"/>
        </w:rPr>
      </w:pPr>
    </w:p>
    <w:p w:rsidR="007C1469" w:rsidRDefault="007C1469" w:rsidP="004F15C1">
      <w:pPr>
        <w:tabs>
          <w:tab w:val="left" w:pos="2850"/>
        </w:tabs>
        <w:spacing w:after="0" w:line="240" w:lineRule="auto"/>
        <w:jc w:val="both"/>
        <w:rPr>
          <w:rStyle w:val="Accentuation"/>
          <w:rFonts w:ascii="Arial" w:hAnsi="Arial" w:cs="Arial"/>
          <w:i w:val="0"/>
        </w:rPr>
      </w:pPr>
      <w:r w:rsidRPr="00A003F6">
        <w:rPr>
          <w:rStyle w:val="Accentuation"/>
          <w:rFonts w:ascii="Arial" w:hAnsi="Arial" w:cs="Arial"/>
          <w:i w:val="0"/>
        </w:rPr>
        <w:t>Attendu que lorsque l’instance est ouverte devant le juge des comptes, le constat de l’existence ou non d’un préjudice financier relève de l’appréciation de ce juge ; que si</w:t>
      </w:r>
      <w:r w:rsidR="00D51B12">
        <w:rPr>
          <w:rStyle w:val="Accentuation"/>
          <w:rFonts w:ascii="Arial" w:hAnsi="Arial" w:cs="Arial"/>
          <w:i w:val="0"/>
        </w:rPr>
        <w:t>,</w:t>
      </w:r>
      <w:r w:rsidRPr="00A003F6">
        <w:rPr>
          <w:rStyle w:val="Accentuation"/>
          <w:rFonts w:ascii="Arial" w:hAnsi="Arial" w:cs="Arial"/>
          <w:i w:val="0"/>
        </w:rPr>
        <w:t xml:space="preserve"> au regard du caractère contradictoire de la procédure, ledit juge doit tenir compte, pour cette appréciation, des dires et actes éventuels de la collectivité qui figurent au dossier, il n’est pas lié par une déclaration de l’organe délibérant indiquant que la collectivité n’aurait subi aucun préjudice ;</w:t>
      </w:r>
    </w:p>
    <w:p w:rsidR="004F15C1" w:rsidRDefault="004F15C1" w:rsidP="004F15C1">
      <w:pPr>
        <w:tabs>
          <w:tab w:val="left" w:pos="2850"/>
        </w:tabs>
        <w:spacing w:after="0" w:line="240" w:lineRule="auto"/>
        <w:jc w:val="both"/>
        <w:rPr>
          <w:rStyle w:val="Accentuation"/>
          <w:rFonts w:ascii="Arial" w:hAnsi="Arial" w:cs="Arial"/>
          <w:i w:val="0"/>
        </w:rPr>
      </w:pPr>
    </w:p>
    <w:p w:rsidR="00682138" w:rsidRDefault="00682138" w:rsidP="004F15C1">
      <w:pPr>
        <w:spacing w:after="0" w:line="240" w:lineRule="auto"/>
        <w:jc w:val="both"/>
        <w:rPr>
          <w:rFonts w:ascii="Arial" w:hAnsi="Arial" w:cs="Arial"/>
        </w:rPr>
      </w:pPr>
      <w:r>
        <w:rPr>
          <w:rFonts w:ascii="Arial" w:hAnsi="Arial" w:cs="Arial"/>
        </w:rPr>
        <w:t>Attendu que la disponibilité des crédits ouverts au budget de la commune n’établit pas que les indemnités litigieuses étaient dues ;</w:t>
      </w:r>
      <w:r w:rsidR="00A003F6">
        <w:rPr>
          <w:rFonts w:ascii="Arial" w:hAnsi="Arial" w:cs="Arial"/>
        </w:rPr>
        <w:t xml:space="preserve"> </w:t>
      </w:r>
      <w:r>
        <w:rPr>
          <w:rFonts w:ascii="Arial" w:hAnsi="Arial" w:cs="Arial"/>
        </w:rPr>
        <w:t xml:space="preserve">que </w:t>
      </w:r>
      <w:r w:rsidR="00776E33">
        <w:rPr>
          <w:rFonts w:ascii="Arial" w:hAnsi="Arial" w:cs="Arial"/>
        </w:rPr>
        <w:t xml:space="preserve">par ailleurs </w:t>
      </w:r>
      <w:r>
        <w:rPr>
          <w:rFonts w:ascii="Arial" w:hAnsi="Arial" w:cs="Arial"/>
        </w:rPr>
        <w:t>des décisions individuelles d’attribution prises par l’ordonnateur ne sauraient valoir en l’absence d’une délibération du conseil général arrêtant les modalités précises d’attribution de la prime de fin d’année ; que ce</w:t>
      </w:r>
      <w:r w:rsidR="00776E33">
        <w:rPr>
          <w:rFonts w:ascii="Arial" w:hAnsi="Arial" w:cs="Arial"/>
        </w:rPr>
        <w:t>s deux arguments sont inopérants à décharge</w:t>
      </w:r>
      <w:r w:rsidR="006F5C0D">
        <w:rPr>
          <w:rFonts w:ascii="Arial" w:hAnsi="Arial" w:cs="Arial"/>
        </w:rPr>
        <w:t xml:space="preserve"> </w:t>
      </w:r>
      <w:r w:rsidR="00700E3B">
        <w:rPr>
          <w:rFonts w:ascii="Arial" w:hAnsi="Arial" w:cs="Arial"/>
        </w:rPr>
        <w:t>car ils manquent en droit</w:t>
      </w:r>
      <w:r w:rsidR="006F5C0D">
        <w:rPr>
          <w:rFonts w:ascii="Arial" w:hAnsi="Arial" w:cs="Arial"/>
        </w:rPr>
        <w:t> ;</w:t>
      </w:r>
    </w:p>
    <w:p w:rsidR="006F5C0D" w:rsidRDefault="006F5C0D" w:rsidP="004F15C1">
      <w:pPr>
        <w:spacing w:after="0" w:line="240" w:lineRule="auto"/>
        <w:jc w:val="both"/>
        <w:rPr>
          <w:rFonts w:ascii="Arial" w:hAnsi="Arial" w:cs="Arial"/>
        </w:rPr>
      </w:pPr>
    </w:p>
    <w:p w:rsidR="00EA0A05" w:rsidRDefault="00682138" w:rsidP="004F15C1">
      <w:pPr>
        <w:spacing w:after="0" w:line="240" w:lineRule="auto"/>
        <w:jc w:val="both"/>
        <w:rPr>
          <w:rFonts w:ascii="Arial" w:hAnsi="Arial" w:cs="Arial"/>
        </w:rPr>
      </w:pPr>
      <w:r>
        <w:rPr>
          <w:rFonts w:ascii="Arial" w:hAnsi="Arial" w:cs="Arial"/>
        </w:rPr>
        <w:t xml:space="preserve">Attendu qu’aucun des documents présentés par le comptable ne constitue une délibération du </w:t>
      </w:r>
      <w:proofErr w:type="gramStart"/>
      <w:r>
        <w:rPr>
          <w:rFonts w:ascii="Arial" w:hAnsi="Arial" w:cs="Arial"/>
        </w:rPr>
        <w:t>conseil</w:t>
      </w:r>
      <w:proofErr w:type="gramEnd"/>
      <w:r>
        <w:rPr>
          <w:rFonts w:ascii="Arial" w:hAnsi="Arial" w:cs="Arial"/>
        </w:rPr>
        <w:t xml:space="preserve"> général </w:t>
      </w:r>
      <w:r w:rsidR="00C21E11" w:rsidRPr="003C55E0">
        <w:rPr>
          <w:rFonts w:ascii="Arial" w:eastAsia="Times New Roman" w:hAnsi="Arial" w:cs="Arial"/>
          <w:lang w:eastAsia="fr-FR"/>
        </w:rPr>
        <w:t>fixant la nature, les conditions d'attribution et le taux moyen des indemnités</w:t>
      </w:r>
      <w:r>
        <w:rPr>
          <w:rFonts w:ascii="Arial" w:hAnsi="Arial" w:cs="Arial"/>
        </w:rPr>
        <w:t xml:space="preserve"> de la prime de fin d’année ;</w:t>
      </w:r>
      <w:r w:rsidR="00BF58FF">
        <w:rPr>
          <w:rFonts w:ascii="Arial" w:hAnsi="Arial" w:cs="Arial"/>
        </w:rPr>
        <w:t xml:space="preserve"> </w:t>
      </w:r>
      <w:r w:rsidR="004D5A4B">
        <w:rPr>
          <w:rFonts w:ascii="Arial" w:hAnsi="Arial" w:cs="Arial"/>
        </w:rPr>
        <w:t xml:space="preserve">que dès lors, les primes versées sont indues ; que la conformité des versements aux documents présentés par le comptable est sans effet sur </w:t>
      </w:r>
      <w:r w:rsidR="00BF58FF">
        <w:rPr>
          <w:rFonts w:ascii="Arial" w:hAnsi="Arial" w:cs="Arial"/>
        </w:rPr>
        <w:t>ce</w:t>
      </w:r>
      <w:r w:rsidR="004D5A4B">
        <w:rPr>
          <w:rFonts w:ascii="Arial" w:hAnsi="Arial" w:cs="Arial"/>
        </w:rPr>
        <w:t xml:space="preserve"> caractère indu ;</w:t>
      </w:r>
      <w:r w:rsidR="00BF58FF">
        <w:rPr>
          <w:rFonts w:ascii="Arial" w:hAnsi="Arial" w:cs="Arial"/>
        </w:rPr>
        <w:t xml:space="preserve"> </w:t>
      </w:r>
    </w:p>
    <w:p w:rsidR="004F15C1" w:rsidRDefault="004F15C1" w:rsidP="004F15C1">
      <w:pPr>
        <w:spacing w:after="0" w:line="240" w:lineRule="auto"/>
        <w:jc w:val="both"/>
        <w:rPr>
          <w:rFonts w:ascii="Arial" w:hAnsi="Arial" w:cs="Arial"/>
        </w:rPr>
      </w:pPr>
    </w:p>
    <w:p w:rsidR="0059562C" w:rsidRDefault="00EA0A05" w:rsidP="004F15C1">
      <w:pPr>
        <w:spacing w:after="0" w:line="240" w:lineRule="auto"/>
        <w:jc w:val="both"/>
        <w:rPr>
          <w:rFonts w:ascii="Arial" w:hAnsi="Arial" w:cs="Arial"/>
        </w:rPr>
      </w:pPr>
      <w:r>
        <w:rPr>
          <w:rFonts w:ascii="Arial" w:hAnsi="Arial" w:cs="Arial"/>
        </w:rPr>
        <w:t xml:space="preserve">Attendu </w:t>
      </w:r>
      <w:r w:rsidR="00BF58FF">
        <w:rPr>
          <w:rFonts w:ascii="Arial" w:hAnsi="Arial" w:cs="Arial"/>
        </w:rPr>
        <w:t xml:space="preserve">que, </w:t>
      </w:r>
      <w:r w:rsidR="0059562C">
        <w:rPr>
          <w:rFonts w:ascii="Arial" w:hAnsi="Arial" w:cs="Arial"/>
        </w:rPr>
        <w:t>par ailleurs</w:t>
      </w:r>
      <w:r w:rsidR="00BF58FF">
        <w:rPr>
          <w:rFonts w:ascii="Arial" w:hAnsi="Arial" w:cs="Arial"/>
        </w:rPr>
        <w:t>,</w:t>
      </w:r>
      <w:r w:rsidR="0059562C">
        <w:rPr>
          <w:rFonts w:ascii="Arial" w:hAnsi="Arial" w:cs="Arial"/>
        </w:rPr>
        <w:t xml:space="preserve"> l</w:t>
      </w:r>
      <w:r>
        <w:rPr>
          <w:rFonts w:ascii="Arial" w:hAnsi="Arial" w:cs="Arial"/>
        </w:rPr>
        <w:t>e moyen invoqué par le requérant de l</w:t>
      </w:r>
      <w:r w:rsidR="0059562C">
        <w:rPr>
          <w:rFonts w:ascii="Arial" w:hAnsi="Arial" w:cs="Arial"/>
        </w:rPr>
        <w:t>’ancienneté d</w:t>
      </w:r>
      <w:r>
        <w:rPr>
          <w:rFonts w:ascii="Arial" w:hAnsi="Arial" w:cs="Arial"/>
        </w:rPr>
        <w:t>e la</w:t>
      </w:r>
      <w:r w:rsidR="0059562C">
        <w:rPr>
          <w:rFonts w:ascii="Arial" w:hAnsi="Arial" w:cs="Arial"/>
        </w:rPr>
        <w:t xml:space="preserve"> pratique</w:t>
      </w:r>
      <w:r>
        <w:rPr>
          <w:rFonts w:ascii="Arial" w:hAnsi="Arial" w:cs="Arial"/>
        </w:rPr>
        <w:t>, est inopérant pour apprécier l’existence d’un préjudice financier</w:t>
      </w:r>
      <w:r w:rsidR="00682138">
        <w:rPr>
          <w:rFonts w:ascii="Arial" w:hAnsi="Arial" w:cs="Arial"/>
        </w:rPr>
        <w:t> ;</w:t>
      </w:r>
    </w:p>
    <w:p w:rsidR="004F15C1" w:rsidRDefault="004F15C1" w:rsidP="004F15C1">
      <w:pPr>
        <w:spacing w:after="0" w:line="240" w:lineRule="auto"/>
        <w:jc w:val="both"/>
        <w:rPr>
          <w:rFonts w:ascii="Arial" w:hAnsi="Arial" w:cs="Arial"/>
        </w:rPr>
      </w:pPr>
    </w:p>
    <w:p w:rsidR="004F15C1" w:rsidRDefault="004F15C1" w:rsidP="004F15C1">
      <w:pPr>
        <w:spacing w:after="0" w:line="240" w:lineRule="auto"/>
        <w:jc w:val="both"/>
        <w:rPr>
          <w:rFonts w:ascii="Arial" w:hAnsi="Arial" w:cs="Arial"/>
        </w:rPr>
      </w:pPr>
    </w:p>
    <w:p w:rsidR="00DA2BD1" w:rsidRPr="00A003F6" w:rsidRDefault="00DA2BD1" w:rsidP="003C55E0">
      <w:pPr>
        <w:spacing w:after="0" w:line="240" w:lineRule="auto"/>
        <w:jc w:val="both"/>
        <w:rPr>
          <w:rFonts w:ascii="Arial" w:eastAsia="Times New Roman" w:hAnsi="Arial" w:cs="Arial"/>
          <w:i/>
          <w:lang w:eastAsia="fr-FR"/>
        </w:rPr>
      </w:pPr>
      <w:r w:rsidRPr="00A003F6">
        <w:rPr>
          <w:rFonts w:ascii="Arial" w:eastAsia="Times New Roman" w:hAnsi="Arial" w:cs="Arial"/>
          <w:b/>
          <w:i/>
          <w:lang w:eastAsia="fr-FR"/>
        </w:rPr>
        <w:t>Sur le lien de causalité entre le manquement et le préjudice</w:t>
      </w:r>
    </w:p>
    <w:p w:rsidR="00DA2BD1" w:rsidRDefault="00DA2BD1" w:rsidP="003C55E0">
      <w:pPr>
        <w:spacing w:after="0" w:line="240" w:lineRule="auto"/>
        <w:jc w:val="both"/>
        <w:rPr>
          <w:rFonts w:ascii="Arial" w:eastAsia="Times New Roman" w:hAnsi="Arial" w:cs="Arial"/>
          <w:lang w:eastAsia="fr-FR"/>
        </w:rPr>
      </w:pPr>
    </w:p>
    <w:p w:rsidR="00DA2BD1" w:rsidRDefault="00DC6F6C" w:rsidP="003C55E0">
      <w:pPr>
        <w:spacing w:after="0" w:line="240" w:lineRule="auto"/>
        <w:jc w:val="both"/>
        <w:rPr>
          <w:rFonts w:ascii="Arial" w:eastAsia="Times New Roman" w:hAnsi="Arial" w:cs="Arial"/>
          <w:lang w:eastAsia="fr-FR"/>
        </w:rPr>
      </w:pPr>
      <w:r>
        <w:rPr>
          <w:rFonts w:ascii="Arial" w:eastAsia="Times New Roman" w:hAnsi="Arial" w:cs="Arial"/>
          <w:lang w:eastAsia="fr-FR"/>
        </w:rPr>
        <w:t xml:space="preserve">Attendu que </w:t>
      </w:r>
      <w:r w:rsidR="00DA2BD1">
        <w:rPr>
          <w:rFonts w:ascii="Arial" w:eastAsia="Times New Roman" w:hAnsi="Arial" w:cs="Arial"/>
          <w:lang w:eastAsia="fr-FR"/>
        </w:rPr>
        <w:t xml:space="preserve">le requérant conteste </w:t>
      </w:r>
      <w:r w:rsidR="00CA719C">
        <w:rPr>
          <w:rFonts w:ascii="Arial" w:eastAsia="Times New Roman" w:hAnsi="Arial" w:cs="Arial"/>
          <w:lang w:eastAsia="fr-FR"/>
        </w:rPr>
        <w:t xml:space="preserve">en troisième lieu </w:t>
      </w:r>
      <w:r w:rsidR="00DA2BD1">
        <w:rPr>
          <w:rFonts w:ascii="Arial" w:eastAsia="Times New Roman" w:hAnsi="Arial" w:cs="Arial"/>
          <w:lang w:eastAsia="fr-FR"/>
        </w:rPr>
        <w:t>le lien de causalité entre son manquement et un éventuel préjudice ;</w:t>
      </w:r>
    </w:p>
    <w:p w:rsidR="00DA2BD1" w:rsidRDefault="00DA2BD1" w:rsidP="003C55E0">
      <w:pPr>
        <w:spacing w:after="0" w:line="240" w:lineRule="auto"/>
        <w:jc w:val="both"/>
        <w:rPr>
          <w:rFonts w:ascii="Arial" w:eastAsia="Times New Roman" w:hAnsi="Arial" w:cs="Arial"/>
          <w:lang w:eastAsia="fr-FR"/>
        </w:rPr>
      </w:pPr>
    </w:p>
    <w:p w:rsidR="00BF58FF" w:rsidRDefault="00DA2BD1" w:rsidP="003C55E0">
      <w:pPr>
        <w:spacing w:after="0" w:line="240" w:lineRule="auto"/>
        <w:jc w:val="both"/>
        <w:rPr>
          <w:rFonts w:ascii="Arial" w:eastAsia="Times New Roman" w:hAnsi="Arial" w:cs="Arial"/>
          <w:lang w:eastAsia="fr-FR"/>
        </w:rPr>
      </w:pPr>
      <w:r>
        <w:rPr>
          <w:rFonts w:ascii="Arial" w:eastAsia="Times New Roman" w:hAnsi="Arial" w:cs="Arial"/>
          <w:lang w:eastAsia="fr-FR"/>
        </w:rPr>
        <w:t xml:space="preserve">Attendu </w:t>
      </w:r>
      <w:r w:rsidR="00BF58FF">
        <w:rPr>
          <w:rFonts w:ascii="Arial" w:eastAsia="Times New Roman" w:hAnsi="Arial" w:cs="Arial"/>
          <w:lang w:eastAsia="fr-FR"/>
        </w:rPr>
        <w:t xml:space="preserve">que le comptable ne fournit aucun argument à l’appui de ce moyen autre que le fait que </w:t>
      </w:r>
      <w:r>
        <w:rPr>
          <w:rFonts w:ascii="Arial" w:eastAsia="Times New Roman" w:hAnsi="Arial" w:cs="Arial"/>
          <w:lang w:eastAsia="fr-FR"/>
        </w:rPr>
        <w:t>le rapporteur de première instance a estimé qu’il n’existait pa</w:t>
      </w:r>
      <w:r w:rsidR="00DA5A09">
        <w:rPr>
          <w:rFonts w:ascii="Arial" w:eastAsia="Times New Roman" w:hAnsi="Arial" w:cs="Arial"/>
          <w:lang w:eastAsia="fr-FR"/>
        </w:rPr>
        <w:t>s de lien de causalité</w:t>
      </w:r>
      <w:r w:rsidR="006F5C0D">
        <w:rPr>
          <w:rFonts w:ascii="Arial" w:eastAsia="Times New Roman" w:hAnsi="Arial" w:cs="Arial"/>
          <w:lang w:eastAsia="fr-FR"/>
        </w:rPr>
        <w:t xml:space="preserve"> </w:t>
      </w:r>
      <w:bookmarkStart w:id="0" w:name="_GoBack"/>
      <w:bookmarkEnd w:id="0"/>
      <w:r w:rsidR="00DA5A09">
        <w:rPr>
          <w:rFonts w:ascii="Arial" w:eastAsia="Times New Roman" w:hAnsi="Arial" w:cs="Arial"/>
          <w:lang w:eastAsia="fr-FR"/>
        </w:rPr>
        <w:t>entre le</w:t>
      </w:r>
      <w:r>
        <w:rPr>
          <w:rFonts w:ascii="Arial" w:eastAsia="Times New Roman" w:hAnsi="Arial" w:cs="Arial"/>
          <w:lang w:eastAsia="fr-FR"/>
        </w:rPr>
        <w:t xml:space="preserve"> manquement </w:t>
      </w:r>
      <w:r w:rsidR="00DA5A09">
        <w:rPr>
          <w:rFonts w:ascii="Arial" w:eastAsia="Times New Roman" w:hAnsi="Arial" w:cs="Arial"/>
          <w:lang w:eastAsia="fr-FR"/>
        </w:rPr>
        <w:t xml:space="preserve">du comptable </w:t>
      </w:r>
      <w:r>
        <w:rPr>
          <w:rFonts w:ascii="Arial" w:eastAsia="Times New Roman" w:hAnsi="Arial" w:cs="Arial"/>
          <w:lang w:eastAsia="fr-FR"/>
        </w:rPr>
        <w:t xml:space="preserve">et le préjudice subi par le département ; </w:t>
      </w:r>
    </w:p>
    <w:p w:rsidR="00BF58FF" w:rsidRDefault="00BF58FF" w:rsidP="003C55E0">
      <w:pPr>
        <w:spacing w:after="0" w:line="240" w:lineRule="auto"/>
        <w:jc w:val="both"/>
        <w:rPr>
          <w:rFonts w:ascii="Arial" w:eastAsia="Times New Roman" w:hAnsi="Arial" w:cs="Arial"/>
          <w:lang w:eastAsia="fr-FR"/>
        </w:rPr>
      </w:pPr>
    </w:p>
    <w:p w:rsidR="00DA2BD1" w:rsidRDefault="00BF58FF" w:rsidP="003C55E0">
      <w:pPr>
        <w:spacing w:after="0" w:line="240" w:lineRule="auto"/>
        <w:jc w:val="both"/>
        <w:rPr>
          <w:rFonts w:ascii="Arial" w:eastAsia="Times New Roman" w:hAnsi="Arial" w:cs="Arial"/>
          <w:lang w:eastAsia="fr-FR"/>
        </w:rPr>
      </w:pPr>
      <w:r>
        <w:rPr>
          <w:rFonts w:ascii="Arial" w:eastAsia="Times New Roman" w:hAnsi="Arial" w:cs="Arial"/>
          <w:lang w:eastAsia="fr-FR"/>
        </w:rPr>
        <w:t xml:space="preserve">Attendu </w:t>
      </w:r>
      <w:r w:rsidR="00DA2BD1">
        <w:rPr>
          <w:rFonts w:ascii="Arial" w:eastAsia="Times New Roman" w:hAnsi="Arial" w:cs="Arial"/>
          <w:lang w:eastAsia="fr-FR"/>
        </w:rPr>
        <w:t xml:space="preserve">que le jugement </w:t>
      </w:r>
      <w:r>
        <w:rPr>
          <w:rFonts w:ascii="Arial" w:eastAsia="Times New Roman" w:hAnsi="Arial" w:cs="Arial"/>
          <w:lang w:eastAsia="fr-FR"/>
        </w:rPr>
        <w:t xml:space="preserve">entrepris </w:t>
      </w:r>
      <w:r w:rsidR="00DA2BD1">
        <w:rPr>
          <w:rFonts w:ascii="Arial" w:eastAsia="Times New Roman" w:hAnsi="Arial" w:cs="Arial"/>
          <w:lang w:eastAsia="fr-FR"/>
        </w:rPr>
        <w:t xml:space="preserve">a établi ce lien ; </w:t>
      </w:r>
      <w:r w:rsidR="007C1469">
        <w:rPr>
          <w:rFonts w:ascii="Arial" w:eastAsia="Times New Roman" w:hAnsi="Arial" w:cs="Arial"/>
          <w:lang w:eastAsia="fr-FR"/>
        </w:rPr>
        <w:t xml:space="preserve">que </w:t>
      </w:r>
      <w:r w:rsidR="00EA0A05">
        <w:rPr>
          <w:rFonts w:ascii="Arial" w:eastAsia="Times New Roman" w:hAnsi="Arial" w:cs="Arial"/>
          <w:lang w:eastAsia="fr-FR"/>
        </w:rPr>
        <w:t>le moyen doit donc être rejeté</w:t>
      </w:r>
      <w:r w:rsidR="007C1469">
        <w:rPr>
          <w:rFonts w:ascii="Arial" w:eastAsia="Times New Roman" w:hAnsi="Arial" w:cs="Arial"/>
          <w:lang w:eastAsia="fr-FR"/>
        </w:rPr>
        <w:t xml:space="preserve"> ; </w:t>
      </w:r>
    </w:p>
    <w:p w:rsidR="00DA2BD1" w:rsidRDefault="00DA2BD1" w:rsidP="003C55E0">
      <w:pPr>
        <w:spacing w:after="0" w:line="240" w:lineRule="auto"/>
        <w:jc w:val="both"/>
        <w:rPr>
          <w:rFonts w:ascii="Arial" w:eastAsia="Times New Roman" w:hAnsi="Arial" w:cs="Arial"/>
          <w:lang w:eastAsia="fr-FR"/>
        </w:rPr>
      </w:pPr>
    </w:p>
    <w:p w:rsidR="004F15C1" w:rsidRDefault="004F15C1" w:rsidP="003C55E0">
      <w:pPr>
        <w:spacing w:after="0" w:line="240" w:lineRule="auto"/>
        <w:jc w:val="both"/>
        <w:rPr>
          <w:rFonts w:ascii="Arial" w:eastAsia="Times New Roman" w:hAnsi="Arial" w:cs="Arial"/>
          <w:lang w:eastAsia="fr-FR"/>
        </w:rPr>
      </w:pPr>
    </w:p>
    <w:p w:rsidR="004F15C1" w:rsidRDefault="004F15C1" w:rsidP="003C55E0">
      <w:pPr>
        <w:spacing w:after="0" w:line="240" w:lineRule="auto"/>
        <w:jc w:val="both"/>
        <w:rPr>
          <w:rFonts w:ascii="Arial" w:eastAsia="Times New Roman" w:hAnsi="Arial" w:cs="Arial"/>
          <w:lang w:eastAsia="fr-FR"/>
        </w:rPr>
      </w:pPr>
      <w:r>
        <w:rPr>
          <w:rFonts w:ascii="Arial" w:eastAsia="Times New Roman" w:hAnsi="Arial" w:cs="Arial"/>
          <w:lang w:eastAsia="fr-FR"/>
        </w:rPr>
        <w:t>Par ces motifs :</w:t>
      </w:r>
    </w:p>
    <w:p w:rsidR="000223D3" w:rsidRPr="00692582" w:rsidRDefault="000223D3" w:rsidP="000223D3">
      <w:pPr>
        <w:spacing w:before="120" w:after="360" w:line="240" w:lineRule="auto"/>
        <w:jc w:val="center"/>
        <w:rPr>
          <w:rFonts w:ascii="Arial" w:hAnsi="Arial" w:cs="Arial"/>
        </w:rPr>
      </w:pPr>
      <w:r w:rsidRPr="00692582">
        <w:rPr>
          <w:rFonts w:ascii="Arial" w:hAnsi="Arial" w:cs="Arial"/>
        </w:rPr>
        <w:t>DECIDE</w:t>
      </w:r>
    </w:p>
    <w:p w:rsidR="000223D3" w:rsidRPr="00692582" w:rsidRDefault="000223D3" w:rsidP="000223D3">
      <w:pPr>
        <w:pStyle w:val="Paragraphedeliste"/>
        <w:spacing w:before="120" w:after="360" w:line="240" w:lineRule="auto"/>
        <w:ind w:left="0"/>
        <w:contextualSpacing w:val="0"/>
        <w:jc w:val="both"/>
        <w:rPr>
          <w:rFonts w:ascii="Arial" w:hAnsi="Arial" w:cs="Arial"/>
        </w:rPr>
      </w:pPr>
      <w:r w:rsidRPr="00692582">
        <w:rPr>
          <w:rFonts w:ascii="Arial" w:hAnsi="Arial" w:cs="Arial"/>
          <w:b/>
        </w:rPr>
        <w:t>Article</w:t>
      </w:r>
      <w:r>
        <w:rPr>
          <w:rFonts w:ascii="Arial" w:hAnsi="Arial" w:cs="Arial"/>
          <w:b/>
        </w:rPr>
        <w:t xml:space="preserve"> unique</w:t>
      </w:r>
      <w:r w:rsidRPr="00692582">
        <w:rPr>
          <w:rFonts w:ascii="Arial" w:hAnsi="Arial" w:cs="Arial"/>
        </w:rPr>
        <w:t xml:space="preserve"> – L</w:t>
      </w:r>
      <w:r>
        <w:rPr>
          <w:rFonts w:ascii="Arial" w:hAnsi="Arial" w:cs="Arial"/>
        </w:rPr>
        <w:t xml:space="preserve">a requête </w:t>
      </w:r>
      <w:r w:rsidRPr="00692582">
        <w:rPr>
          <w:rFonts w:ascii="Arial" w:hAnsi="Arial" w:cs="Arial"/>
        </w:rPr>
        <w:t xml:space="preserve">de </w:t>
      </w:r>
      <w:r w:rsidR="00AA42D9">
        <w:rPr>
          <w:rFonts w:ascii="Arial" w:hAnsi="Arial" w:cs="Arial"/>
        </w:rPr>
        <w:t>M. X</w:t>
      </w:r>
      <w:r w:rsidRPr="00692582">
        <w:rPr>
          <w:rFonts w:ascii="Arial" w:hAnsi="Arial" w:cs="Arial"/>
        </w:rPr>
        <w:t xml:space="preserve"> </w:t>
      </w:r>
      <w:r>
        <w:rPr>
          <w:rFonts w:ascii="Arial" w:hAnsi="Arial" w:cs="Arial"/>
        </w:rPr>
        <w:t>est rejetée.</w:t>
      </w:r>
    </w:p>
    <w:p w:rsidR="000223D3" w:rsidRPr="00692582" w:rsidRDefault="001976CB" w:rsidP="001976CB">
      <w:pPr>
        <w:pStyle w:val="Paragraphedeliste"/>
        <w:spacing w:before="120" w:after="360" w:line="240" w:lineRule="auto"/>
        <w:ind w:left="0"/>
        <w:contextualSpacing w:val="0"/>
        <w:jc w:val="center"/>
        <w:rPr>
          <w:rFonts w:ascii="Arial" w:hAnsi="Arial" w:cs="Arial"/>
        </w:rPr>
      </w:pPr>
      <w:r>
        <w:rPr>
          <w:rFonts w:ascii="Arial" w:hAnsi="Arial" w:cs="Arial"/>
        </w:rPr>
        <w:t>------</w:t>
      </w:r>
    </w:p>
    <w:p w:rsidR="00BD2543" w:rsidRPr="00EA0A05" w:rsidRDefault="00BD2543" w:rsidP="00BD2543">
      <w:pPr>
        <w:spacing w:before="120" w:after="360" w:line="240" w:lineRule="auto"/>
        <w:jc w:val="both"/>
        <w:rPr>
          <w:rFonts w:ascii="Arial" w:eastAsia="Times New Roman" w:hAnsi="Arial" w:cs="Arial"/>
          <w:lang w:eastAsia="fr-FR"/>
        </w:rPr>
      </w:pPr>
      <w:r w:rsidRPr="00C744AF">
        <w:rPr>
          <w:rFonts w:ascii="Arial" w:eastAsia="Times New Roman" w:hAnsi="Arial" w:cs="Arial"/>
          <w:lang w:eastAsia="fr-FR"/>
        </w:rPr>
        <w:lastRenderedPageBreak/>
        <w:t>Fait et jugé</w:t>
      </w:r>
      <w:r w:rsidR="000737DB">
        <w:rPr>
          <w:rFonts w:ascii="Arial" w:eastAsia="Times New Roman" w:hAnsi="Arial" w:cs="Arial"/>
          <w:lang w:eastAsia="fr-FR"/>
        </w:rPr>
        <w:t xml:space="preserve"> par</w:t>
      </w:r>
      <w:r w:rsidRPr="00C744AF">
        <w:rPr>
          <w:rFonts w:ascii="Arial" w:eastAsia="Times New Roman" w:hAnsi="Arial" w:cs="Arial"/>
          <w:lang w:eastAsia="fr-FR"/>
        </w:rPr>
        <w:t xml:space="preserve"> </w:t>
      </w:r>
      <w:r w:rsidRPr="00EA0A05">
        <w:rPr>
          <w:rFonts w:ascii="Arial" w:eastAsia="Times New Roman" w:hAnsi="Arial" w:cs="Arial"/>
          <w:lang w:eastAsia="fr-FR"/>
        </w:rPr>
        <w:t>M. Jean-Philippe V</w:t>
      </w:r>
      <w:r w:rsidR="000737DB">
        <w:rPr>
          <w:rFonts w:ascii="Arial" w:eastAsia="Times New Roman" w:hAnsi="Arial" w:cs="Arial"/>
          <w:lang w:eastAsia="fr-FR"/>
        </w:rPr>
        <w:t>achia</w:t>
      </w:r>
      <w:r w:rsidRPr="00EA0A05">
        <w:rPr>
          <w:rFonts w:ascii="Arial" w:eastAsia="Times New Roman" w:hAnsi="Arial" w:cs="Arial"/>
          <w:lang w:eastAsia="fr-FR"/>
        </w:rPr>
        <w:t xml:space="preserve">, président de chambre, président de la formation, </w:t>
      </w:r>
      <w:r w:rsidR="000737DB">
        <w:rPr>
          <w:rFonts w:ascii="Arial" w:eastAsia="Times New Roman" w:hAnsi="Arial" w:cs="Arial"/>
          <w:lang w:eastAsia="fr-FR"/>
        </w:rPr>
        <w:br/>
      </w:r>
      <w:r w:rsidR="00EA0A05">
        <w:rPr>
          <w:rFonts w:ascii="Arial" w:eastAsia="Times New Roman" w:hAnsi="Arial" w:cs="Arial"/>
          <w:lang w:eastAsia="fr-FR"/>
        </w:rPr>
        <w:t>M. Yves R</w:t>
      </w:r>
      <w:r w:rsidR="000737DB">
        <w:rPr>
          <w:rFonts w:ascii="Arial" w:eastAsia="Times New Roman" w:hAnsi="Arial" w:cs="Arial"/>
          <w:lang w:eastAsia="fr-FR"/>
        </w:rPr>
        <w:t>olland</w:t>
      </w:r>
      <w:r w:rsidR="00EA0A05">
        <w:rPr>
          <w:rFonts w:ascii="Arial" w:eastAsia="Times New Roman" w:hAnsi="Arial" w:cs="Arial"/>
          <w:lang w:eastAsia="fr-FR"/>
        </w:rPr>
        <w:t xml:space="preserve">, président de section, </w:t>
      </w:r>
      <w:r w:rsidRPr="00EA0A05">
        <w:rPr>
          <w:rFonts w:ascii="Arial" w:eastAsia="Times New Roman" w:hAnsi="Arial" w:cs="Arial"/>
          <w:lang w:eastAsia="fr-FR"/>
        </w:rPr>
        <w:t>Mme Anne F</w:t>
      </w:r>
      <w:r w:rsidR="000737DB">
        <w:rPr>
          <w:rFonts w:ascii="Arial" w:eastAsia="Times New Roman" w:hAnsi="Arial" w:cs="Arial"/>
          <w:lang w:eastAsia="fr-FR"/>
        </w:rPr>
        <w:t>roment-Meurice</w:t>
      </w:r>
      <w:r w:rsidRPr="00EA0A05">
        <w:rPr>
          <w:rFonts w:ascii="Arial" w:eastAsia="Times New Roman" w:hAnsi="Arial" w:cs="Arial"/>
          <w:lang w:eastAsia="fr-FR"/>
        </w:rPr>
        <w:t>, présidente de cha</w:t>
      </w:r>
      <w:r w:rsidR="00EA0A05">
        <w:rPr>
          <w:rFonts w:ascii="Arial" w:eastAsia="Times New Roman" w:hAnsi="Arial" w:cs="Arial"/>
          <w:lang w:eastAsia="fr-FR"/>
        </w:rPr>
        <w:t>mbre maintenue en activité, M</w:t>
      </w:r>
      <w:r w:rsidRPr="00EA0A05">
        <w:rPr>
          <w:rFonts w:ascii="Arial" w:eastAsia="Times New Roman" w:hAnsi="Arial" w:cs="Arial"/>
          <w:lang w:eastAsia="fr-FR"/>
        </w:rPr>
        <w:t>. Gérard G</w:t>
      </w:r>
      <w:r w:rsidR="000737DB">
        <w:rPr>
          <w:rFonts w:ascii="Arial" w:eastAsia="Times New Roman" w:hAnsi="Arial" w:cs="Arial"/>
          <w:lang w:eastAsia="fr-FR"/>
        </w:rPr>
        <w:t>anser</w:t>
      </w:r>
      <w:r w:rsidRPr="00EA0A05">
        <w:rPr>
          <w:rFonts w:ascii="Arial" w:eastAsia="Times New Roman" w:hAnsi="Arial" w:cs="Arial"/>
          <w:lang w:eastAsia="fr-FR"/>
        </w:rPr>
        <w:t>, conseiller maître</w:t>
      </w:r>
      <w:r w:rsidR="00BE7D9D">
        <w:rPr>
          <w:rFonts w:ascii="Arial" w:eastAsia="Times New Roman" w:hAnsi="Arial" w:cs="Arial"/>
          <w:lang w:eastAsia="fr-FR"/>
        </w:rPr>
        <w:t xml:space="preserve"> et</w:t>
      </w:r>
      <w:r w:rsidRPr="00EA0A05">
        <w:rPr>
          <w:rFonts w:ascii="Arial" w:eastAsia="Times New Roman" w:hAnsi="Arial" w:cs="Arial"/>
          <w:lang w:eastAsia="fr-FR"/>
        </w:rPr>
        <w:t xml:space="preserve"> Mme Laurence E</w:t>
      </w:r>
      <w:r w:rsidR="000737DB">
        <w:rPr>
          <w:rFonts w:ascii="Arial" w:eastAsia="Times New Roman" w:hAnsi="Arial" w:cs="Arial"/>
          <w:lang w:eastAsia="fr-FR"/>
        </w:rPr>
        <w:t>ngel</w:t>
      </w:r>
      <w:r w:rsidRPr="00EA0A05">
        <w:rPr>
          <w:rFonts w:ascii="Arial" w:eastAsia="Times New Roman" w:hAnsi="Arial" w:cs="Arial"/>
          <w:lang w:eastAsia="fr-FR"/>
        </w:rPr>
        <w:t xml:space="preserve"> conseillère maître.</w:t>
      </w:r>
    </w:p>
    <w:p w:rsidR="00BD2543" w:rsidRDefault="00BD2543" w:rsidP="00BD2543">
      <w:pPr>
        <w:tabs>
          <w:tab w:val="center" w:pos="4536"/>
          <w:tab w:val="right" w:pos="9072"/>
        </w:tabs>
        <w:spacing w:before="120" w:after="360" w:line="240" w:lineRule="auto"/>
        <w:jc w:val="both"/>
        <w:rPr>
          <w:rFonts w:ascii="Arial" w:eastAsia="Times New Roman" w:hAnsi="Arial" w:cs="Arial"/>
          <w:lang w:eastAsia="fr-FR"/>
        </w:rPr>
      </w:pPr>
      <w:r w:rsidRPr="00C744AF">
        <w:rPr>
          <w:rFonts w:ascii="Arial" w:eastAsia="Times New Roman" w:hAnsi="Arial" w:cs="Arial"/>
          <w:lang w:eastAsia="fr-FR"/>
        </w:rPr>
        <w:t xml:space="preserve">En présence de </w:t>
      </w:r>
      <w:r>
        <w:rPr>
          <w:rFonts w:ascii="Arial" w:eastAsia="Times New Roman" w:hAnsi="Arial" w:cs="Arial"/>
          <w:lang w:eastAsia="fr-FR"/>
        </w:rPr>
        <w:t>Mme</w:t>
      </w:r>
      <w:r w:rsidR="00EA0A05">
        <w:rPr>
          <w:rFonts w:ascii="Arial" w:eastAsia="Times New Roman" w:hAnsi="Arial" w:cs="Arial"/>
          <w:lang w:eastAsia="fr-FR"/>
        </w:rPr>
        <w:t xml:space="preserve"> </w:t>
      </w:r>
      <w:r w:rsidR="000737DB">
        <w:rPr>
          <w:rFonts w:ascii="Arial" w:eastAsia="Times New Roman" w:hAnsi="Arial" w:cs="Arial"/>
          <w:lang w:eastAsia="fr-FR"/>
        </w:rPr>
        <w:t>Marie-Hélène Paris-Varin</w:t>
      </w:r>
      <w:r w:rsidR="00EA0A05">
        <w:rPr>
          <w:rFonts w:ascii="Arial" w:eastAsia="Times New Roman" w:hAnsi="Arial" w:cs="Arial"/>
          <w:lang w:eastAsia="fr-FR"/>
        </w:rPr>
        <w:t xml:space="preserve">, </w:t>
      </w:r>
      <w:r>
        <w:rPr>
          <w:rFonts w:ascii="Arial" w:eastAsia="Times New Roman" w:hAnsi="Arial" w:cs="Arial"/>
          <w:lang w:eastAsia="fr-FR"/>
        </w:rPr>
        <w:t xml:space="preserve">greffière </w:t>
      </w:r>
      <w:r w:rsidRPr="00C744AF">
        <w:rPr>
          <w:rFonts w:ascii="Arial" w:eastAsia="Times New Roman" w:hAnsi="Arial" w:cs="Arial"/>
          <w:lang w:eastAsia="fr-FR"/>
        </w:rPr>
        <w:t>de séance.</w:t>
      </w:r>
    </w:p>
    <w:tbl>
      <w:tblPr>
        <w:tblW w:w="9257" w:type="dxa"/>
        <w:tblInd w:w="34" w:type="dxa"/>
        <w:tblLook w:val="00A0" w:firstRow="1" w:lastRow="0" w:firstColumn="1" w:lastColumn="0" w:noHBand="0" w:noVBand="0"/>
      </w:tblPr>
      <w:tblGrid>
        <w:gridCol w:w="4752"/>
        <w:gridCol w:w="4505"/>
      </w:tblGrid>
      <w:tr w:rsidR="00BE7D9D" w:rsidRPr="00BE7D9D" w:rsidTr="00F723FD">
        <w:tc>
          <w:tcPr>
            <w:tcW w:w="4752" w:type="dxa"/>
          </w:tcPr>
          <w:p w:rsidR="00BE7D9D" w:rsidRPr="00BE7D9D" w:rsidRDefault="00BE7D9D" w:rsidP="00BE7D9D">
            <w:pPr>
              <w:keepNext/>
              <w:keepLines/>
              <w:tabs>
                <w:tab w:val="center" w:pos="4536"/>
                <w:tab w:val="right" w:pos="9072"/>
              </w:tabs>
              <w:spacing w:before="120" w:after="120" w:line="240" w:lineRule="auto"/>
              <w:jc w:val="center"/>
              <w:rPr>
                <w:rFonts w:ascii="Arial" w:eastAsia="Times New Roman" w:hAnsi="Arial" w:cs="Arial"/>
                <w:b/>
                <w:lang w:eastAsia="fr-FR"/>
              </w:rPr>
            </w:pPr>
          </w:p>
          <w:p w:rsidR="00BE7D9D" w:rsidRPr="00BE7D9D" w:rsidRDefault="00BE7D9D" w:rsidP="00BE7D9D">
            <w:pPr>
              <w:keepNext/>
              <w:keepLines/>
              <w:tabs>
                <w:tab w:val="center" w:pos="4536"/>
                <w:tab w:val="right" w:pos="9072"/>
              </w:tabs>
              <w:spacing w:before="120" w:after="120" w:line="240" w:lineRule="auto"/>
              <w:jc w:val="center"/>
              <w:rPr>
                <w:rFonts w:ascii="Arial" w:eastAsia="Times New Roman" w:hAnsi="Arial" w:cs="Arial"/>
                <w:b/>
                <w:lang w:eastAsia="fr-FR"/>
              </w:rPr>
            </w:pPr>
          </w:p>
          <w:p w:rsidR="00BE7D9D" w:rsidRPr="00BE7D9D" w:rsidRDefault="00BE7D9D" w:rsidP="00BE7D9D">
            <w:pPr>
              <w:keepNext/>
              <w:keepLines/>
              <w:tabs>
                <w:tab w:val="center" w:pos="4536"/>
                <w:tab w:val="right" w:pos="9072"/>
              </w:tabs>
              <w:spacing w:before="120" w:after="120" w:line="240" w:lineRule="auto"/>
              <w:jc w:val="center"/>
              <w:rPr>
                <w:rFonts w:ascii="Arial" w:eastAsia="Times New Roman" w:hAnsi="Arial" w:cs="Arial"/>
                <w:b/>
                <w:lang w:eastAsia="fr-FR"/>
              </w:rPr>
            </w:pPr>
          </w:p>
          <w:p w:rsidR="00BE7D9D" w:rsidRPr="00BE7D9D" w:rsidRDefault="00BE7D9D" w:rsidP="00BE7D9D">
            <w:pPr>
              <w:keepNext/>
              <w:keepLines/>
              <w:tabs>
                <w:tab w:val="center" w:pos="4536"/>
                <w:tab w:val="right" w:pos="9072"/>
              </w:tabs>
              <w:spacing w:before="120" w:after="120" w:line="240" w:lineRule="auto"/>
              <w:jc w:val="center"/>
              <w:rPr>
                <w:rFonts w:ascii="Arial" w:eastAsia="Times New Roman" w:hAnsi="Arial" w:cs="Arial"/>
                <w:b/>
                <w:lang w:eastAsia="fr-FR"/>
              </w:rPr>
            </w:pPr>
          </w:p>
          <w:p w:rsidR="00BE7D9D" w:rsidRPr="00BE7D9D" w:rsidRDefault="00BE7D9D" w:rsidP="00BE7D9D">
            <w:pPr>
              <w:keepNext/>
              <w:keepLines/>
              <w:tabs>
                <w:tab w:val="center" w:pos="4536"/>
                <w:tab w:val="right" w:pos="9072"/>
              </w:tabs>
              <w:spacing w:before="120" w:after="120" w:line="240" w:lineRule="auto"/>
              <w:jc w:val="center"/>
              <w:rPr>
                <w:rFonts w:ascii="Arial" w:eastAsia="Times New Roman" w:hAnsi="Arial" w:cs="Arial"/>
                <w:b/>
                <w:lang w:eastAsia="fr-FR"/>
              </w:rPr>
            </w:pPr>
            <w:r>
              <w:rPr>
                <w:rFonts w:ascii="Arial" w:eastAsia="Times New Roman" w:hAnsi="Arial" w:cs="Arial"/>
                <w:b/>
                <w:lang w:eastAsia="fr-FR"/>
              </w:rPr>
              <w:t>Marie-Hélène PARIS-VARIN</w:t>
            </w:r>
          </w:p>
          <w:p w:rsidR="00BE7D9D" w:rsidRPr="00BE7D9D" w:rsidRDefault="00BE7D9D" w:rsidP="00BE7D9D">
            <w:pPr>
              <w:keepNext/>
              <w:keepLines/>
              <w:tabs>
                <w:tab w:val="center" w:pos="4536"/>
                <w:tab w:val="right" w:pos="9072"/>
              </w:tabs>
              <w:spacing w:before="120" w:after="120" w:line="240" w:lineRule="auto"/>
              <w:jc w:val="center"/>
              <w:rPr>
                <w:rFonts w:ascii="Arial" w:eastAsia="Times New Roman" w:hAnsi="Arial" w:cs="Arial"/>
                <w:b/>
                <w:lang w:eastAsia="fr-FR"/>
              </w:rPr>
            </w:pPr>
          </w:p>
        </w:tc>
        <w:tc>
          <w:tcPr>
            <w:tcW w:w="4505" w:type="dxa"/>
          </w:tcPr>
          <w:p w:rsidR="00BE7D9D" w:rsidRPr="00BE7D9D" w:rsidRDefault="00BE7D9D" w:rsidP="00BE7D9D">
            <w:pPr>
              <w:keepNext/>
              <w:keepLines/>
              <w:tabs>
                <w:tab w:val="center" w:pos="4536"/>
                <w:tab w:val="right" w:pos="9072"/>
              </w:tabs>
              <w:spacing w:before="120" w:after="120" w:line="240" w:lineRule="auto"/>
              <w:jc w:val="center"/>
              <w:rPr>
                <w:rFonts w:ascii="Arial" w:eastAsia="Times New Roman" w:hAnsi="Arial" w:cs="Arial"/>
                <w:b/>
                <w:lang w:eastAsia="fr-FR"/>
              </w:rPr>
            </w:pPr>
          </w:p>
          <w:p w:rsidR="00BE7D9D" w:rsidRPr="00BE7D9D" w:rsidRDefault="00BE7D9D" w:rsidP="00BE7D9D">
            <w:pPr>
              <w:keepNext/>
              <w:keepLines/>
              <w:tabs>
                <w:tab w:val="center" w:pos="4536"/>
                <w:tab w:val="right" w:pos="9072"/>
              </w:tabs>
              <w:spacing w:before="120" w:after="120" w:line="240" w:lineRule="auto"/>
              <w:jc w:val="center"/>
              <w:rPr>
                <w:rFonts w:ascii="Arial" w:eastAsia="Times New Roman" w:hAnsi="Arial" w:cs="Arial"/>
                <w:b/>
                <w:lang w:eastAsia="fr-FR"/>
              </w:rPr>
            </w:pPr>
          </w:p>
          <w:p w:rsidR="00BE7D9D" w:rsidRPr="00BE7D9D" w:rsidRDefault="00BE7D9D" w:rsidP="00BE7D9D">
            <w:pPr>
              <w:keepNext/>
              <w:keepLines/>
              <w:tabs>
                <w:tab w:val="center" w:pos="4536"/>
                <w:tab w:val="right" w:pos="9072"/>
              </w:tabs>
              <w:spacing w:before="120" w:after="120" w:line="240" w:lineRule="auto"/>
              <w:jc w:val="center"/>
              <w:rPr>
                <w:rFonts w:ascii="Arial" w:eastAsia="Times New Roman" w:hAnsi="Arial" w:cs="Arial"/>
                <w:b/>
                <w:lang w:eastAsia="fr-FR"/>
              </w:rPr>
            </w:pPr>
          </w:p>
          <w:p w:rsidR="00BE7D9D" w:rsidRPr="00BE7D9D" w:rsidRDefault="00BE7D9D" w:rsidP="00BE7D9D">
            <w:pPr>
              <w:keepNext/>
              <w:keepLines/>
              <w:tabs>
                <w:tab w:val="center" w:pos="4536"/>
                <w:tab w:val="right" w:pos="9072"/>
              </w:tabs>
              <w:spacing w:before="120" w:after="120" w:line="240" w:lineRule="auto"/>
              <w:jc w:val="center"/>
              <w:rPr>
                <w:rFonts w:ascii="Arial" w:eastAsia="Times New Roman" w:hAnsi="Arial" w:cs="Arial"/>
                <w:b/>
                <w:lang w:eastAsia="fr-FR"/>
              </w:rPr>
            </w:pPr>
          </w:p>
          <w:p w:rsidR="00BE7D9D" w:rsidRPr="00BE7D9D" w:rsidRDefault="00BE7D9D" w:rsidP="00BE7D9D">
            <w:pPr>
              <w:keepNext/>
              <w:keepLines/>
              <w:tabs>
                <w:tab w:val="center" w:pos="4536"/>
                <w:tab w:val="right" w:pos="9072"/>
              </w:tabs>
              <w:spacing w:before="120" w:after="120" w:line="240" w:lineRule="auto"/>
              <w:jc w:val="center"/>
              <w:rPr>
                <w:rFonts w:ascii="Arial" w:eastAsia="Times New Roman" w:hAnsi="Arial" w:cs="Arial"/>
                <w:b/>
                <w:lang w:eastAsia="fr-FR"/>
              </w:rPr>
            </w:pPr>
            <w:r w:rsidRPr="00BE7D9D">
              <w:rPr>
                <w:rFonts w:ascii="Arial" w:eastAsia="Times New Roman" w:hAnsi="Arial" w:cs="Arial"/>
                <w:b/>
                <w:lang w:eastAsia="fr-FR"/>
              </w:rPr>
              <w:t xml:space="preserve">Jean-Philippe VACHIA </w:t>
            </w:r>
          </w:p>
          <w:p w:rsidR="00BE7D9D" w:rsidRPr="00BE7D9D" w:rsidRDefault="00BE7D9D" w:rsidP="00BE7D9D">
            <w:pPr>
              <w:keepNext/>
              <w:keepLines/>
              <w:tabs>
                <w:tab w:val="center" w:pos="4536"/>
                <w:tab w:val="right" w:pos="9072"/>
              </w:tabs>
              <w:spacing w:before="120" w:after="120" w:line="240" w:lineRule="auto"/>
              <w:jc w:val="center"/>
              <w:rPr>
                <w:rFonts w:ascii="Arial" w:eastAsia="Times New Roman" w:hAnsi="Arial" w:cs="Arial"/>
                <w:b/>
                <w:lang w:eastAsia="fr-FR"/>
              </w:rPr>
            </w:pPr>
          </w:p>
        </w:tc>
      </w:tr>
    </w:tbl>
    <w:p w:rsidR="001976CB" w:rsidRDefault="001976CB" w:rsidP="00BD2543">
      <w:pPr>
        <w:tabs>
          <w:tab w:val="center" w:pos="4536"/>
          <w:tab w:val="right" w:pos="9072"/>
        </w:tabs>
        <w:spacing w:before="120" w:after="360" w:line="240" w:lineRule="auto"/>
        <w:jc w:val="both"/>
        <w:rPr>
          <w:rFonts w:ascii="Arial" w:eastAsia="Times New Roman" w:hAnsi="Arial" w:cs="Arial"/>
          <w:lang w:eastAsia="fr-FR"/>
        </w:rPr>
      </w:pPr>
    </w:p>
    <w:p w:rsidR="00001524" w:rsidRPr="00001524" w:rsidRDefault="00001524" w:rsidP="00001524">
      <w:pPr>
        <w:tabs>
          <w:tab w:val="center" w:pos="4536"/>
          <w:tab w:val="right" w:pos="9072"/>
        </w:tabs>
        <w:spacing w:before="120" w:after="360" w:line="240" w:lineRule="auto"/>
        <w:jc w:val="both"/>
        <w:rPr>
          <w:rFonts w:ascii="Arial" w:eastAsia="Times New Roman" w:hAnsi="Arial" w:cs="Arial"/>
          <w:lang w:eastAsia="fr-FR"/>
        </w:rPr>
      </w:pPr>
      <w:r w:rsidRPr="00001524">
        <w:rPr>
          <w:rFonts w:ascii="Arial" w:eastAsia="Times New Roman" w:hAnsi="Arial" w:cs="Arial"/>
          <w:lang w:eastAsia="fr-FR"/>
        </w:rPr>
        <w:t>Conformément aux dispositions de l’article R. 142-16 du code des juridictions financières, les arrêts prononcés par la Cour des comptes peuvent faire l’objet d’un pourvoi en cassation présenté, sous peine d’irrecevabilité, par le ministère d’un avocat au Conseil d’État dans le délai de deux mois à compter de la notification de l’acte. La révision d’un arrêt ou d’une ordonnance peut être demandée après expiration des délais de pourvoi en cassation, et ce dans les conditions prévues à l’article R. 142-15-I du même code.</w:t>
      </w:r>
    </w:p>
    <w:p w:rsidR="001976CB" w:rsidRPr="00C744AF" w:rsidRDefault="001976CB" w:rsidP="00BD2543">
      <w:pPr>
        <w:tabs>
          <w:tab w:val="center" w:pos="4536"/>
          <w:tab w:val="right" w:pos="9072"/>
        </w:tabs>
        <w:spacing w:before="120" w:after="360" w:line="240" w:lineRule="auto"/>
        <w:jc w:val="both"/>
        <w:rPr>
          <w:rFonts w:ascii="Arial" w:eastAsia="Times New Roman" w:hAnsi="Arial" w:cs="Arial"/>
          <w:lang w:eastAsia="fr-FR"/>
        </w:rPr>
      </w:pPr>
    </w:p>
    <w:sectPr w:rsidR="001976CB" w:rsidRPr="00C744AF" w:rsidSect="001976CB">
      <w:headerReference w:type="default" r:id="rId7"/>
      <w:headerReference w:type="first" r:id="rId8"/>
      <w:pgSz w:w="11906" w:h="16838"/>
      <w:pgMar w:top="1417" w:right="1133"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14B9" w:rsidRDefault="001F14B9" w:rsidP="00BD5C45">
      <w:pPr>
        <w:spacing w:after="0" w:line="240" w:lineRule="auto"/>
      </w:pPr>
      <w:r>
        <w:separator/>
      </w:r>
    </w:p>
  </w:endnote>
  <w:endnote w:type="continuationSeparator" w:id="0">
    <w:p w:rsidR="001F14B9" w:rsidRDefault="001F14B9" w:rsidP="00BD5C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14B9" w:rsidRDefault="001F14B9" w:rsidP="00BD5C45">
      <w:pPr>
        <w:spacing w:after="0" w:line="240" w:lineRule="auto"/>
      </w:pPr>
      <w:r>
        <w:separator/>
      </w:r>
    </w:p>
  </w:footnote>
  <w:footnote w:type="continuationSeparator" w:id="0">
    <w:p w:rsidR="001F14B9" w:rsidRDefault="001F14B9" w:rsidP="00BD5C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0248801"/>
      <w:docPartObj>
        <w:docPartGallery w:val="Page Numbers (Top of Page)"/>
        <w:docPartUnique/>
      </w:docPartObj>
    </w:sdtPr>
    <w:sdtEndPr>
      <w:rPr>
        <w:rFonts w:ascii="Arial" w:hAnsi="Arial" w:cs="Arial"/>
        <w:sz w:val="20"/>
        <w:szCs w:val="20"/>
      </w:rPr>
    </w:sdtEndPr>
    <w:sdtContent>
      <w:p w:rsidR="00776456" w:rsidRPr="00776456" w:rsidRDefault="00776456">
        <w:pPr>
          <w:pStyle w:val="En-tte"/>
          <w:jc w:val="right"/>
          <w:rPr>
            <w:rFonts w:ascii="Arial" w:hAnsi="Arial" w:cs="Arial"/>
            <w:sz w:val="20"/>
            <w:szCs w:val="20"/>
          </w:rPr>
        </w:pPr>
        <w:r w:rsidRPr="00776456">
          <w:rPr>
            <w:rFonts w:ascii="Arial" w:hAnsi="Arial" w:cs="Arial"/>
            <w:sz w:val="20"/>
            <w:szCs w:val="20"/>
          </w:rPr>
          <w:fldChar w:fldCharType="begin"/>
        </w:r>
        <w:r w:rsidRPr="00776456">
          <w:rPr>
            <w:rFonts w:ascii="Arial" w:hAnsi="Arial" w:cs="Arial"/>
            <w:sz w:val="20"/>
            <w:szCs w:val="20"/>
          </w:rPr>
          <w:instrText>PAGE   \* MERGEFORMAT</w:instrText>
        </w:r>
        <w:r w:rsidRPr="00776456">
          <w:rPr>
            <w:rFonts w:ascii="Arial" w:hAnsi="Arial" w:cs="Arial"/>
            <w:sz w:val="20"/>
            <w:szCs w:val="20"/>
          </w:rPr>
          <w:fldChar w:fldCharType="separate"/>
        </w:r>
        <w:r w:rsidR="006F5C0D">
          <w:rPr>
            <w:rFonts w:ascii="Arial" w:hAnsi="Arial" w:cs="Arial"/>
            <w:noProof/>
            <w:sz w:val="20"/>
            <w:szCs w:val="20"/>
          </w:rPr>
          <w:t>4</w:t>
        </w:r>
        <w:r w:rsidRPr="00776456">
          <w:rPr>
            <w:rFonts w:ascii="Arial" w:hAnsi="Arial" w:cs="Arial"/>
            <w:sz w:val="20"/>
            <w:szCs w:val="20"/>
          </w:rPr>
          <w:fldChar w:fldCharType="end"/>
        </w:r>
        <w:r w:rsidRPr="00776456">
          <w:rPr>
            <w:rFonts w:ascii="Arial" w:hAnsi="Arial" w:cs="Arial"/>
            <w:sz w:val="20"/>
            <w:szCs w:val="20"/>
          </w:rPr>
          <w:t>/4</w:t>
        </w:r>
      </w:p>
    </w:sdtContent>
  </w:sdt>
  <w:p w:rsidR="00BD5C45" w:rsidRDefault="00BD5C45" w:rsidP="00BD5C45">
    <w:pPr>
      <w:pStyle w:val="En-tte"/>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1469" w:rsidRDefault="007C1469" w:rsidP="001976CB">
    <w:pPr>
      <w:pStyle w:val="En-tte"/>
      <w:tabs>
        <w:tab w:val="clear" w:pos="4536"/>
      </w:tabs>
      <w:ind w:left="-1417"/>
      <w:jc w:val="center"/>
    </w:pPr>
    <w:r>
      <w:rPr>
        <w:rFonts w:ascii="Times New Roman" w:eastAsia="Times New Roman" w:hAnsi="Times New Roman" w:cs="Times New Roman"/>
        <w:noProof/>
        <w:sz w:val="20"/>
        <w:szCs w:val="20"/>
        <w:lang w:eastAsia="fr-FR"/>
      </w:rPr>
      <w:drawing>
        <wp:inline distT="0" distB="0" distL="0" distR="0" wp14:anchorId="310B5E9C" wp14:editId="1C3942FE">
          <wp:extent cx="2861310" cy="981710"/>
          <wp:effectExtent l="0" t="0" r="0" b="0"/>
          <wp:docPr id="2" name="Image 2" descr="logo-C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logo-Cou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61310" cy="98171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C45"/>
    <w:rsid w:val="00001524"/>
    <w:rsid w:val="000223D3"/>
    <w:rsid w:val="000737DB"/>
    <w:rsid w:val="00085DCE"/>
    <w:rsid w:val="000917A4"/>
    <w:rsid w:val="000D6C56"/>
    <w:rsid w:val="000D706A"/>
    <w:rsid w:val="001976CB"/>
    <w:rsid w:val="001F14B9"/>
    <w:rsid w:val="002061ED"/>
    <w:rsid w:val="002131F0"/>
    <w:rsid w:val="00251E41"/>
    <w:rsid w:val="002F1262"/>
    <w:rsid w:val="003A38C1"/>
    <w:rsid w:val="003C55E0"/>
    <w:rsid w:val="00433100"/>
    <w:rsid w:val="0044401F"/>
    <w:rsid w:val="00452B73"/>
    <w:rsid w:val="004D5A4B"/>
    <w:rsid w:val="004F15C1"/>
    <w:rsid w:val="005005B0"/>
    <w:rsid w:val="0059562C"/>
    <w:rsid w:val="005A1B33"/>
    <w:rsid w:val="00655A6B"/>
    <w:rsid w:val="00674992"/>
    <w:rsid w:val="00682138"/>
    <w:rsid w:val="0068779F"/>
    <w:rsid w:val="00696C17"/>
    <w:rsid w:val="006B02A8"/>
    <w:rsid w:val="006C1839"/>
    <w:rsid w:val="006E5901"/>
    <w:rsid w:val="006F5C0D"/>
    <w:rsid w:val="00700E3B"/>
    <w:rsid w:val="007059C5"/>
    <w:rsid w:val="00762D02"/>
    <w:rsid w:val="00776456"/>
    <w:rsid w:val="00776E33"/>
    <w:rsid w:val="007A4FB8"/>
    <w:rsid w:val="007B218E"/>
    <w:rsid w:val="007C1469"/>
    <w:rsid w:val="00810C31"/>
    <w:rsid w:val="008B5D23"/>
    <w:rsid w:val="009368BE"/>
    <w:rsid w:val="009F01C2"/>
    <w:rsid w:val="00A003F6"/>
    <w:rsid w:val="00A1586C"/>
    <w:rsid w:val="00A41AAC"/>
    <w:rsid w:val="00A611E4"/>
    <w:rsid w:val="00AA42D9"/>
    <w:rsid w:val="00AD071D"/>
    <w:rsid w:val="00AD7B03"/>
    <w:rsid w:val="00AF4FE0"/>
    <w:rsid w:val="00B53E94"/>
    <w:rsid w:val="00B915D9"/>
    <w:rsid w:val="00BC11B4"/>
    <w:rsid w:val="00BC5E93"/>
    <w:rsid w:val="00BD22D0"/>
    <w:rsid w:val="00BD2543"/>
    <w:rsid w:val="00BD5C45"/>
    <w:rsid w:val="00BE7D9D"/>
    <w:rsid w:val="00BF58FF"/>
    <w:rsid w:val="00C0639E"/>
    <w:rsid w:val="00C06A03"/>
    <w:rsid w:val="00C163EE"/>
    <w:rsid w:val="00C21E11"/>
    <w:rsid w:val="00C32F40"/>
    <w:rsid w:val="00CA719C"/>
    <w:rsid w:val="00CD6A52"/>
    <w:rsid w:val="00CF1E9F"/>
    <w:rsid w:val="00D51B12"/>
    <w:rsid w:val="00D707BD"/>
    <w:rsid w:val="00DA095B"/>
    <w:rsid w:val="00DA2BD1"/>
    <w:rsid w:val="00DA5A09"/>
    <w:rsid w:val="00DC6F6C"/>
    <w:rsid w:val="00DD3489"/>
    <w:rsid w:val="00E0285A"/>
    <w:rsid w:val="00E13B6F"/>
    <w:rsid w:val="00E150CA"/>
    <w:rsid w:val="00E3137E"/>
    <w:rsid w:val="00E62A10"/>
    <w:rsid w:val="00E85638"/>
    <w:rsid w:val="00E929F6"/>
    <w:rsid w:val="00EA0A05"/>
    <w:rsid w:val="00EC1A33"/>
    <w:rsid w:val="00F36334"/>
    <w:rsid w:val="00F52E9D"/>
    <w:rsid w:val="00F54BBA"/>
    <w:rsid w:val="00F5663F"/>
    <w:rsid w:val="00FA2097"/>
    <w:rsid w:val="00FA319E"/>
    <w:rsid w:val="00FB2E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C4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D5C45"/>
    <w:pPr>
      <w:tabs>
        <w:tab w:val="center" w:pos="4536"/>
        <w:tab w:val="right" w:pos="9072"/>
      </w:tabs>
      <w:spacing w:after="0" w:line="240" w:lineRule="auto"/>
    </w:pPr>
  </w:style>
  <w:style w:type="character" w:customStyle="1" w:styleId="En-tteCar">
    <w:name w:val="En-tête Car"/>
    <w:basedOn w:val="Policepardfaut"/>
    <w:link w:val="En-tte"/>
    <w:uiPriority w:val="99"/>
    <w:rsid w:val="00BD5C45"/>
  </w:style>
  <w:style w:type="paragraph" w:styleId="Pieddepage">
    <w:name w:val="footer"/>
    <w:basedOn w:val="Normal"/>
    <w:link w:val="PieddepageCar"/>
    <w:uiPriority w:val="99"/>
    <w:unhideWhenUsed/>
    <w:rsid w:val="00BD5C4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D5C45"/>
  </w:style>
  <w:style w:type="paragraph" w:styleId="Textedebulles">
    <w:name w:val="Balloon Text"/>
    <w:basedOn w:val="Normal"/>
    <w:link w:val="TextedebullesCar"/>
    <w:uiPriority w:val="99"/>
    <w:semiHidden/>
    <w:unhideWhenUsed/>
    <w:rsid w:val="00BD5C4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D5C45"/>
    <w:rPr>
      <w:rFonts w:ascii="Tahoma" w:hAnsi="Tahoma" w:cs="Tahoma"/>
      <w:sz w:val="16"/>
      <w:szCs w:val="16"/>
    </w:rPr>
  </w:style>
  <w:style w:type="paragraph" w:styleId="Paragraphedeliste">
    <w:name w:val="List Paragraph"/>
    <w:basedOn w:val="Normal"/>
    <w:uiPriority w:val="34"/>
    <w:qFormat/>
    <w:rsid w:val="000223D3"/>
    <w:pPr>
      <w:ind w:left="720"/>
      <w:contextualSpacing/>
    </w:pPr>
  </w:style>
  <w:style w:type="paragraph" w:styleId="Corpsdetexte">
    <w:name w:val="Body Text"/>
    <w:basedOn w:val="Normal"/>
    <w:link w:val="CorpsdetexteCar"/>
    <w:rsid w:val="000223D3"/>
    <w:pPr>
      <w:spacing w:after="120" w:line="240" w:lineRule="auto"/>
      <w:ind w:firstLine="851"/>
      <w:jc w:val="both"/>
    </w:pPr>
    <w:rPr>
      <w:rFonts w:ascii="Times New Roman" w:eastAsia="Times New Roman" w:hAnsi="Times New Roman" w:cs="Times New Roman"/>
      <w:b/>
      <w:i/>
      <w:szCs w:val="24"/>
      <w:lang w:eastAsia="fr-FR"/>
    </w:rPr>
  </w:style>
  <w:style w:type="character" w:customStyle="1" w:styleId="CorpsdetexteCar">
    <w:name w:val="Corps de texte Car"/>
    <w:basedOn w:val="Policepardfaut"/>
    <w:link w:val="Corpsdetexte"/>
    <w:rsid w:val="000223D3"/>
    <w:rPr>
      <w:rFonts w:ascii="Times New Roman" w:eastAsia="Times New Roman" w:hAnsi="Times New Roman" w:cs="Times New Roman"/>
      <w:b/>
      <w:i/>
      <w:szCs w:val="24"/>
      <w:lang w:eastAsia="fr-FR"/>
    </w:rPr>
  </w:style>
  <w:style w:type="character" w:styleId="Accentuation">
    <w:name w:val="Emphasis"/>
    <w:basedOn w:val="Policepardfaut"/>
    <w:uiPriority w:val="20"/>
    <w:qFormat/>
    <w:rsid w:val="007C1469"/>
    <w:rPr>
      <w:i/>
      <w:iCs/>
    </w:rPr>
  </w:style>
  <w:style w:type="character" w:styleId="Marquedecommentaire">
    <w:name w:val="annotation reference"/>
    <w:basedOn w:val="Policepardfaut"/>
    <w:uiPriority w:val="99"/>
    <w:semiHidden/>
    <w:unhideWhenUsed/>
    <w:rsid w:val="009F01C2"/>
    <w:rPr>
      <w:sz w:val="16"/>
      <w:szCs w:val="16"/>
    </w:rPr>
  </w:style>
  <w:style w:type="paragraph" w:styleId="Commentaire">
    <w:name w:val="annotation text"/>
    <w:basedOn w:val="Normal"/>
    <w:link w:val="CommentaireCar"/>
    <w:uiPriority w:val="99"/>
    <w:semiHidden/>
    <w:unhideWhenUsed/>
    <w:rsid w:val="009F01C2"/>
    <w:pPr>
      <w:spacing w:line="240" w:lineRule="auto"/>
    </w:pPr>
    <w:rPr>
      <w:sz w:val="20"/>
      <w:szCs w:val="20"/>
    </w:rPr>
  </w:style>
  <w:style w:type="character" w:customStyle="1" w:styleId="CommentaireCar">
    <w:name w:val="Commentaire Car"/>
    <w:basedOn w:val="Policepardfaut"/>
    <w:link w:val="Commentaire"/>
    <w:uiPriority w:val="99"/>
    <w:semiHidden/>
    <w:rsid w:val="009F01C2"/>
    <w:rPr>
      <w:sz w:val="20"/>
      <w:szCs w:val="20"/>
    </w:rPr>
  </w:style>
  <w:style w:type="paragraph" w:styleId="Objetducommentaire">
    <w:name w:val="annotation subject"/>
    <w:basedOn w:val="Commentaire"/>
    <w:next w:val="Commentaire"/>
    <w:link w:val="ObjetducommentaireCar"/>
    <w:uiPriority w:val="99"/>
    <w:semiHidden/>
    <w:unhideWhenUsed/>
    <w:rsid w:val="009F01C2"/>
    <w:rPr>
      <w:b/>
      <w:bCs/>
    </w:rPr>
  </w:style>
  <w:style w:type="character" w:customStyle="1" w:styleId="ObjetducommentaireCar">
    <w:name w:val="Objet du commentaire Car"/>
    <w:basedOn w:val="CommentaireCar"/>
    <w:link w:val="Objetducommentaire"/>
    <w:uiPriority w:val="99"/>
    <w:semiHidden/>
    <w:rsid w:val="009F01C2"/>
    <w:rPr>
      <w:b/>
      <w:bCs/>
      <w:sz w:val="20"/>
      <w:szCs w:val="20"/>
    </w:rPr>
  </w:style>
  <w:style w:type="paragraph" w:styleId="Rvision">
    <w:name w:val="Revision"/>
    <w:hidden/>
    <w:uiPriority w:val="99"/>
    <w:semiHidden/>
    <w:rsid w:val="009F01C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C4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D5C45"/>
    <w:pPr>
      <w:tabs>
        <w:tab w:val="center" w:pos="4536"/>
        <w:tab w:val="right" w:pos="9072"/>
      </w:tabs>
      <w:spacing w:after="0" w:line="240" w:lineRule="auto"/>
    </w:pPr>
  </w:style>
  <w:style w:type="character" w:customStyle="1" w:styleId="En-tteCar">
    <w:name w:val="En-tête Car"/>
    <w:basedOn w:val="Policepardfaut"/>
    <w:link w:val="En-tte"/>
    <w:uiPriority w:val="99"/>
    <w:rsid w:val="00BD5C45"/>
  </w:style>
  <w:style w:type="paragraph" w:styleId="Pieddepage">
    <w:name w:val="footer"/>
    <w:basedOn w:val="Normal"/>
    <w:link w:val="PieddepageCar"/>
    <w:uiPriority w:val="99"/>
    <w:unhideWhenUsed/>
    <w:rsid w:val="00BD5C4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D5C45"/>
  </w:style>
  <w:style w:type="paragraph" w:styleId="Textedebulles">
    <w:name w:val="Balloon Text"/>
    <w:basedOn w:val="Normal"/>
    <w:link w:val="TextedebullesCar"/>
    <w:uiPriority w:val="99"/>
    <w:semiHidden/>
    <w:unhideWhenUsed/>
    <w:rsid w:val="00BD5C4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D5C45"/>
    <w:rPr>
      <w:rFonts w:ascii="Tahoma" w:hAnsi="Tahoma" w:cs="Tahoma"/>
      <w:sz w:val="16"/>
      <w:szCs w:val="16"/>
    </w:rPr>
  </w:style>
  <w:style w:type="paragraph" w:styleId="Paragraphedeliste">
    <w:name w:val="List Paragraph"/>
    <w:basedOn w:val="Normal"/>
    <w:uiPriority w:val="34"/>
    <w:qFormat/>
    <w:rsid w:val="000223D3"/>
    <w:pPr>
      <w:ind w:left="720"/>
      <w:contextualSpacing/>
    </w:pPr>
  </w:style>
  <w:style w:type="paragraph" w:styleId="Corpsdetexte">
    <w:name w:val="Body Text"/>
    <w:basedOn w:val="Normal"/>
    <w:link w:val="CorpsdetexteCar"/>
    <w:rsid w:val="000223D3"/>
    <w:pPr>
      <w:spacing w:after="120" w:line="240" w:lineRule="auto"/>
      <w:ind w:firstLine="851"/>
      <w:jc w:val="both"/>
    </w:pPr>
    <w:rPr>
      <w:rFonts w:ascii="Times New Roman" w:eastAsia="Times New Roman" w:hAnsi="Times New Roman" w:cs="Times New Roman"/>
      <w:b/>
      <w:i/>
      <w:szCs w:val="24"/>
      <w:lang w:eastAsia="fr-FR"/>
    </w:rPr>
  </w:style>
  <w:style w:type="character" w:customStyle="1" w:styleId="CorpsdetexteCar">
    <w:name w:val="Corps de texte Car"/>
    <w:basedOn w:val="Policepardfaut"/>
    <w:link w:val="Corpsdetexte"/>
    <w:rsid w:val="000223D3"/>
    <w:rPr>
      <w:rFonts w:ascii="Times New Roman" w:eastAsia="Times New Roman" w:hAnsi="Times New Roman" w:cs="Times New Roman"/>
      <w:b/>
      <w:i/>
      <w:szCs w:val="24"/>
      <w:lang w:eastAsia="fr-FR"/>
    </w:rPr>
  </w:style>
  <w:style w:type="character" w:styleId="Accentuation">
    <w:name w:val="Emphasis"/>
    <w:basedOn w:val="Policepardfaut"/>
    <w:uiPriority w:val="20"/>
    <w:qFormat/>
    <w:rsid w:val="007C1469"/>
    <w:rPr>
      <w:i/>
      <w:iCs/>
    </w:rPr>
  </w:style>
  <w:style w:type="character" w:styleId="Marquedecommentaire">
    <w:name w:val="annotation reference"/>
    <w:basedOn w:val="Policepardfaut"/>
    <w:uiPriority w:val="99"/>
    <w:semiHidden/>
    <w:unhideWhenUsed/>
    <w:rsid w:val="009F01C2"/>
    <w:rPr>
      <w:sz w:val="16"/>
      <w:szCs w:val="16"/>
    </w:rPr>
  </w:style>
  <w:style w:type="paragraph" w:styleId="Commentaire">
    <w:name w:val="annotation text"/>
    <w:basedOn w:val="Normal"/>
    <w:link w:val="CommentaireCar"/>
    <w:uiPriority w:val="99"/>
    <w:semiHidden/>
    <w:unhideWhenUsed/>
    <w:rsid w:val="009F01C2"/>
    <w:pPr>
      <w:spacing w:line="240" w:lineRule="auto"/>
    </w:pPr>
    <w:rPr>
      <w:sz w:val="20"/>
      <w:szCs w:val="20"/>
    </w:rPr>
  </w:style>
  <w:style w:type="character" w:customStyle="1" w:styleId="CommentaireCar">
    <w:name w:val="Commentaire Car"/>
    <w:basedOn w:val="Policepardfaut"/>
    <w:link w:val="Commentaire"/>
    <w:uiPriority w:val="99"/>
    <w:semiHidden/>
    <w:rsid w:val="009F01C2"/>
    <w:rPr>
      <w:sz w:val="20"/>
      <w:szCs w:val="20"/>
    </w:rPr>
  </w:style>
  <w:style w:type="paragraph" w:styleId="Objetducommentaire">
    <w:name w:val="annotation subject"/>
    <w:basedOn w:val="Commentaire"/>
    <w:next w:val="Commentaire"/>
    <w:link w:val="ObjetducommentaireCar"/>
    <w:uiPriority w:val="99"/>
    <w:semiHidden/>
    <w:unhideWhenUsed/>
    <w:rsid w:val="009F01C2"/>
    <w:rPr>
      <w:b/>
      <w:bCs/>
    </w:rPr>
  </w:style>
  <w:style w:type="character" w:customStyle="1" w:styleId="ObjetducommentaireCar">
    <w:name w:val="Objet du commentaire Car"/>
    <w:basedOn w:val="CommentaireCar"/>
    <w:link w:val="Objetducommentaire"/>
    <w:uiPriority w:val="99"/>
    <w:semiHidden/>
    <w:rsid w:val="009F01C2"/>
    <w:rPr>
      <w:b/>
      <w:bCs/>
      <w:sz w:val="20"/>
      <w:szCs w:val="20"/>
    </w:rPr>
  </w:style>
  <w:style w:type="paragraph" w:styleId="Rvision">
    <w:name w:val="Revision"/>
    <w:hidden/>
    <w:uiPriority w:val="99"/>
    <w:semiHidden/>
    <w:rsid w:val="009F01C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935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1462</Words>
  <Characters>8042</Characters>
  <Application>Microsoft Office Word</Application>
  <DocSecurity>0</DocSecurity>
  <Lines>67</Lines>
  <Paragraphs>18</Paragraphs>
  <ScaleCrop>false</ScaleCrop>
  <HeadingPairs>
    <vt:vector size="2" baseType="variant">
      <vt:variant>
        <vt:lpstr>Titre</vt:lpstr>
      </vt:variant>
      <vt:variant>
        <vt:i4>1</vt:i4>
      </vt:variant>
    </vt:vector>
  </HeadingPairs>
  <TitlesOfParts>
    <vt:vector size="1" baseType="lpstr">
      <vt:lpstr/>
    </vt:vector>
  </TitlesOfParts>
  <Company>Cour des Comptes</Company>
  <LinksUpToDate>false</LinksUpToDate>
  <CharactersWithSpaces>9486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Deloye, Thibault</dc:creator>
  <cp:lastModifiedBy>Jean-Pierre Bonin</cp:lastModifiedBy>
  <cp:revision>5</cp:revision>
  <cp:lastPrinted>2015-04-21T14:07:00Z</cp:lastPrinted>
  <dcterms:created xsi:type="dcterms:W3CDTF">2015-05-21T08:23:00Z</dcterms:created>
  <dcterms:modified xsi:type="dcterms:W3CDTF">2015-06-27T16:40:00Z</dcterms:modified>
</cp:coreProperties>
</file>